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773F436" w:rsidR="004C5767" w:rsidRPr="008859E1" w:rsidRDefault="004C5767" w:rsidP="00D27533">
      <w:pPr>
        <w:pStyle w:val="tbody"/>
        <w:rPr>
          <w:b w:val="0"/>
          <w:bCs/>
        </w:rPr>
      </w:pPr>
      <w:r w:rsidRPr="00C02553">
        <w:t>Drug/Drug Class:</w:t>
      </w:r>
      <w:r w:rsidR="003B4820" w:rsidRPr="00573856">
        <w:rPr>
          <w:b w:val="0"/>
          <w:bCs/>
        </w:rPr>
        <w:t xml:space="preserve"> </w:t>
      </w:r>
      <w:r w:rsidR="00555789" w:rsidRPr="00555789">
        <w:rPr>
          <w:b w:val="0"/>
          <w:bCs/>
        </w:rPr>
        <w:t>Thiazolidinediones &amp; Combination Agents PDL Edit</w:t>
      </w:r>
    </w:p>
    <w:p w14:paraId="7AD7FFCE" w14:textId="02C27443" w:rsidR="004C5767" w:rsidRPr="00C02553" w:rsidRDefault="004C5767" w:rsidP="00D27533">
      <w:pPr>
        <w:pStyle w:val="tbody"/>
      </w:pPr>
      <w:r w:rsidRPr="00C02553">
        <w:t>First Implementation Date:</w:t>
      </w:r>
      <w:r w:rsidRPr="00573856">
        <w:rPr>
          <w:b w:val="0"/>
          <w:bCs/>
        </w:rPr>
        <w:t xml:space="preserve"> </w:t>
      </w:r>
      <w:r w:rsidR="002759C8" w:rsidRPr="002759C8">
        <w:rPr>
          <w:b w:val="0"/>
          <w:bCs/>
        </w:rPr>
        <w:t>January 8, 2009</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7909635" w:rsidR="004C5767" w:rsidRPr="00D27533" w:rsidRDefault="004C5767" w:rsidP="00D27533">
      <w:pPr>
        <w:pStyle w:val="tbody"/>
        <w:rPr>
          <w:b w:val="0"/>
          <w:bCs/>
          <w:spacing w:val="-3"/>
        </w:rPr>
      </w:pPr>
      <w:r w:rsidRPr="0096313D">
        <w:t xml:space="preserve">Criteria Status: </w:t>
      </w:r>
      <w:r w:rsidR="00566BE4" w:rsidRPr="0096313D">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DD012EB" w14:textId="77777777" w:rsidR="00595EFC" w:rsidRPr="00777CEE" w:rsidRDefault="00595EFC" w:rsidP="00595EFC">
      <w:pPr>
        <w:pStyle w:val="Header"/>
        <w:tabs>
          <w:tab w:val="clear" w:pos="4320"/>
          <w:tab w:val="clear" w:pos="8640"/>
        </w:tabs>
        <w:rPr>
          <w:rFonts w:cs="Arial"/>
          <w:spacing w:val="-3"/>
          <w:sz w:val="20"/>
        </w:rPr>
      </w:pPr>
      <w:r w:rsidRPr="000C50C2">
        <w:rPr>
          <w:rFonts w:cs="Arial"/>
          <w:spacing w:val="-3"/>
          <w:sz w:val="20"/>
        </w:rPr>
        <w:t xml:space="preserve">Type 2 diabetes mellitus is a </w:t>
      </w:r>
      <w:r>
        <w:rPr>
          <w:rFonts w:cs="Arial"/>
          <w:spacing w:val="-3"/>
          <w:sz w:val="20"/>
        </w:rPr>
        <w:t>significant</w:t>
      </w:r>
      <w:r w:rsidRPr="000C50C2">
        <w:rPr>
          <w:rFonts w:cs="Arial"/>
          <w:spacing w:val="-3"/>
          <w:sz w:val="20"/>
        </w:rPr>
        <w:t xml:space="preserve"> health problem associated with excess</w:t>
      </w:r>
      <w:r>
        <w:rPr>
          <w:rFonts w:cs="Arial"/>
          <w:spacing w:val="-3"/>
          <w:sz w:val="20"/>
        </w:rPr>
        <w:t>ive</w:t>
      </w:r>
      <w:r w:rsidRPr="000C50C2">
        <w:rPr>
          <w:rFonts w:cs="Arial"/>
          <w:spacing w:val="-3"/>
          <w:sz w:val="20"/>
        </w:rPr>
        <w:t xml:space="preserve"> morbidity and mortality. As the prevalence of this metabolic disorder is rapidly increasing and </w:t>
      </w:r>
      <w:r>
        <w:rPr>
          <w:rFonts w:cs="Arial"/>
          <w:spacing w:val="-3"/>
          <w:sz w:val="20"/>
        </w:rPr>
        <w:t xml:space="preserve">as </w:t>
      </w:r>
      <w:r w:rsidRPr="000C50C2">
        <w:rPr>
          <w:rFonts w:cs="Arial"/>
          <w:spacing w:val="-3"/>
          <w:sz w:val="20"/>
        </w:rPr>
        <w:t>older treatment</w:t>
      </w:r>
      <w:r>
        <w:rPr>
          <w:rFonts w:cs="Arial"/>
          <w:spacing w:val="-3"/>
          <w:sz w:val="20"/>
        </w:rPr>
        <w:t>s</w:t>
      </w:r>
      <w:r w:rsidRPr="000C50C2">
        <w:rPr>
          <w:rFonts w:cs="Arial"/>
          <w:spacing w:val="-3"/>
          <w:sz w:val="20"/>
        </w:rPr>
        <w:t xml:space="preserve"> fail to stabilize the disease in many pa</w:t>
      </w:r>
      <w:r>
        <w:rPr>
          <w:rFonts w:cs="Arial"/>
          <w:spacing w:val="-3"/>
          <w:sz w:val="20"/>
        </w:rPr>
        <w:t>rticipants</w:t>
      </w:r>
      <w:r w:rsidRPr="000C50C2">
        <w:rPr>
          <w:rFonts w:cs="Arial"/>
          <w:spacing w:val="-3"/>
          <w:sz w:val="20"/>
        </w:rPr>
        <w:t xml:space="preserve">, prevention and control are considered key objectives. </w:t>
      </w:r>
      <w:r w:rsidRPr="006E3080">
        <w:rPr>
          <w:rFonts w:cs="Arial"/>
          <w:spacing w:val="-3"/>
          <w:sz w:val="20"/>
        </w:rPr>
        <w:t>Thiazolidinediones (TZDs) improve glycemic control by improving insulin sensitivity in muscle and adipose tissue and inhibit</w:t>
      </w:r>
      <w:r>
        <w:rPr>
          <w:rFonts w:cs="Arial"/>
          <w:spacing w:val="-3"/>
          <w:sz w:val="20"/>
        </w:rPr>
        <w:t>ing</w:t>
      </w:r>
      <w:r w:rsidRPr="006E3080">
        <w:rPr>
          <w:rFonts w:cs="Arial"/>
          <w:spacing w:val="-3"/>
          <w:sz w:val="20"/>
        </w:rPr>
        <w:t xml:space="preserve"> hepatic gluconeogenesis. They depend on the presence of insulin for their mechanism of action.</w:t>
      </w:r>
      <w:r>
        <w:rPr>
          <w:rFonts w:cs="Arial"/>
          <w:spacing w:val="-3"/>
          <w:sz w:val="20"/>
        </w:rPr>
        <w:t xml:space="preserve"> TZDs have known significant adverse events, such as new </w:t>
      </w:r>
      <w:proofErr w:type="gramStart"/>
      <w:r>
        <w:rPr>
          <w:rFonts w:cs="Arial"/>
          <w:spacing w:val="-3"/>
          <w:sz w:val="20"/>
        </w:rPr>
        <w:t>onset</w:t>
      </w:r>
      <w:proofErr w:type="gramEnd"/>
      <w:r>
        <w:rPr>
          <w:rFonts w:cs="Arial"/>
          <w:spacing w:val="-3"/>
          <w:sz w:val="20"/>
        </w:rPr>
        <w:t xml:space="preserve"> of congestive heart failure, edema, and hepatic failure. TZDs are contraindicated in individuals with New York Heart Association (NYHA) Class III or IV and are not recommended in those with symptomatic heart failure, as they can cause fluid retention.</w:t>
      </w:r>
      <w:r w:rsidRPr="00FA43D9">
        <w:rPr>
          <w:rFonts w:cs="Arial"/>
          <w:spacing w:val="-3"/>
          <w:sz w:val="20"/>
        </w:rPr>
        <w:t xml:space="preserve"> </w:t>
      </w:r>
      <w:r>
        <w:rPr>
          <w:rFonts w:cs="Arial"/>
          <w:spacing w:val="-3"/>
          <w:sz w:val="20"/>
        </w:rPr>
        <w:t>They should also be used cautiously in patients on insulin therapy, or at risk for osteoporosis, falls or fractures, and/or macular edema. TZDs are available as a single-ingredient entity (pioglitazone) and combination agents (pioglitazone/metformin and pioglitazone/glimepiride).</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48EFA76E" w:rsidR="00846FA4" w:rsidRPr="000C5A88" w:rsidRDefault="000C5A88" w:rsidP="00846FA4">
      <w:pPr>
        <w:pStyle w:val="ListParagraph"/>
      </w:pPr>
      <w:r w:rsidRPr="000C5A88">
        <w:rPr>
          <w:rFonts w:cs="Arial"/>
          <w:spacing w:val="-3"/>
          <w:szCs w:val="20"/>
        </w:rPr>
        <w:t>Pioglitazone</w:t>
      </w:r>
      <w:r w:rsidRPr="000C5A88">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5D77E59" w14:textId="77777777" w:rsidR="005C2982" w:rsidRPr="00E8022E" w:rsidRDefault="005C2982" w:rsidP="005C2982">
      <w:pPr>
        <w:pStyle w:val="ListParagraph"/>
      </w:pPr>
      <w:bookmarkStart w:id="1" w:name="_Hlk49852982"/>
      <w:r w:rsidRPr="00E8022E">
        <w:t>ActoplusMet</w:t>
      </w:r>
      <w:r w:rsidRPr="00E8022E">
        <w:rPr>
          <w:vertAlign w:val="superscript"/>
        </w:rPr>
        <w:t>®</w:t>
      </w:r>
    </w:p>
    <w:bookmarkEnd w:id="1"/>
    <w:p w14:paraId="3716DD12" w14:textId="77777777" w:rsidR="005C2982" w:rsidRPr="00E8022E" w:rsidRDefault="005C2982" w:rsidP="005C2982">
      <w:pPr>
        <w:pStyle w:val="ListParagraph"/>
      </w:pPr>
      <w:r w:rsidRPr="00E8022E">
        <w:t>Actos</w:t>
      </w:r>
      <w:r w:rsidRPr="00E8022E">
        <w:rPr>
          <w:rFonts w:ascii="Symbol" w:eastAsia="Symbol" w:hAnsi="Symbol" w:cs="Symbol"/>
          <w:vertAlign w:val="superscript"/>
        </w:rPr>
        <w:t>â</w:t>
      </w:r>
    </w:p>
    <w:p w14:paraId="032BD2FC" w14:textId="77777777" w:rsidR="005C2982" w:rsidRPr="00E8022E" w:rsidRDefault="005C2982" w:rsidP="005C2982">
      <w:pPr>
        <w:pStyle w:val="ListParagraph"/>
      </w:pPr>
      <w:bookmarkStart w:id="2" w:name="_Hlk49853060"/>
      <w:r w:rsidRPr="00E8022E">
        <w:t>Duetact</w:t>
      </w:r>
      <w:r w:rsidRPr="00E8022E">
        <w:rPr>
          <w:rFonts w:ascii="Symbol" w:eastAsia="Symbol" w:hAnsi="Symbol" w:cs="Symbol"/>
          <w:vertAlign w:val="superscript"/>
        </w:rPr>
        <w:t>â</w:t>
      </w:r>
    </w:p>
    <w:p w14:paraId="4349C00C" w14:textId="77777777" w:rsidR="005C2982" w:rsidRPr="00E8022E" w:rsidRDefault="005C2982" w:rsidP="005C2982">
      <w:pPr>
        <w:pStyle w:val="ListParagraph"/>
      </w:pPr>
      <w:r w:rsidRPr="00E8022E">
        <w:t>Pioglitazone/Glimepiride</w:t>
      </w:r>
    </w:p>
    <w:p w14:paraId="079F807A" w14:textId="3336E91A" w:rsidR="00846FA4" w:rsidRPr="00696E3A" w:rsidRDefault="005C2982" w:rsidP="005C2982">
      <w:pPr>
        <w:pStyle w:val="ListParagraph"/>
      </w:pPr>
      <w:r w:rsidRPr="00E8022E">
        <w:t>Pioglitazone/Metformin</w:t>
      </w:r>
      <w:bookmarkEnd w:id="2"/>
      <w:r w:rsidRPr="00F43E41">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3D14D3A" w:rsidR="0097028A" w:rsidRPr="0079438F" w:rsidRDefault="0097028A" w:rsidP="00696E3A">
      <w:pPr>
        <w:rPr>
          <w:b/>
        </w:rPr>
      </w:pPr>
      <w:r w:rsidRPr="00696E3A">
        <w:rPr>
          <w:b/>
          <w:bCs/>
        </w:rPr>
        <w:t>Drug class for review:</w:t>
      </w:r>
      <w:r w:rsidRPr="00C02553">
        <w:t xml:space="preserve"> </w:t>
      </w:r>
      <w:r w:rsidR="001147AE" w:rsidRPr="001147AE">
        <w:t>Thiazolidinediones &amp; Combination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1A04969" w14:textId="77777777" w:rsidR="00146A72" w:rsidRDefault="00146A72" w:rsidP="00146A72">
      <w:pPr>
        <w:numPr>
          <w:ilvl w:val="0"/>
          <w:numId w:val="16"/>
        </w:numPr>
        <w:rPr>
          <w:rFonts w:cs="Arial"/>
          <w:szCs w:val="20"/>
        </w:rPr>
      </w:pPr>
      <w:r>
        <w:rPr>
          <w:rFonts w:cs="Arial"/>
          <w:szCs w:val="20"/>
        </w:rPr>
        <w:t>Must meet one of the following:</w:t>
      </w:r>
    </w:p>
    <w:p w14:paraId="1D2D03FC" w14:textId="77777777" w:rsidR="00146A72" w:rsidRDefault="00146A72" w:rsidP="00146A72">
      <w:pPr>
        <w:numPr>
          <w:ilvl w:val="1"/>
          <w:numId w:val="16"/>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Pr>
          <w:rFonts w:cs="Arial"/>
          <w:b/>
          <w:bCs/>
          <w:szCs w:val="20"/>
        </w:rPr>
        <w:t>OR</w:t>
      </w:r>
    </w:p>
    <w:p w14:paraId="62FE8EEC" w14:textId="77777777" w:rsidR="00146A72" w:rsidRPr="00C1018C" w:rsidRDefault="00146A72" w:rsidP="00146A72">
      <w:pPr>
        <w:numPr>
          <w:ilvl w:val="1"/>
          <w:numId w:val="16"/>
        </w:numPr>
        <w:rPr>
          <w:rFonts w:cs="Arial"/>
          <w:szCs w:val="20"/>
        </w:rPr>
      </w:pPr>
      <w:r w:rsidRPr="00C1018C">
        <w:rPr>
          <w:rFonts w:cs="Arial"/>
          <w:szCs w:val="20"/>
        </w:rPr>
        <w:lastRenderedPageBreak/>
        <w:t xml:space="preserve">Failure to achieve desired therapeutic outcomes with trial on </w:t>
      </w:r>
      <w:r>
        <w:rPr>
          <w:rFonts w:cs="Arial"/>
          <w:szCs w:val="20"/>
        </w:rPr>
        <w:t>1</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r w:rsidRPr="00C1018C">
        <w:rPr>
          <w:rFonts w:cs="Arial"/>
          <w:szCs w:val="20"/>
        </w:rPr>
        <w:t xml:space="preserve"> </w:t>
      </w:r>
    </w:p>
    <w:p w14:paraId="5ABDCC4C" w14:textId="77777777" w:rsidR="00146A72" w:rsidRPr="00C1018C" w:rsidRDefault="00146A72" w:rsidP="00146A72">
      <w:pPr>
        <w:numPr>
          <w:ilvl w:val="2"/>
          <w:numId w:val="16"/>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0B0C0D72" w14:textId="3E537446" w:rsidR="005328B2" w:rsidRDefault="00146A72" w:rsidP="00146A72">
      <w:pPr>
        <w:numPr>
          <w:ilvl w:val="2"/>
          <w:numId w:val="16"/>
        </w:numPr>
        <w:jc w:val="both"/>
        <w:rPr>
          <w:rFonts w:cs="Arial"/>
          <w:szCs w:val="20"/>
        </w:rPr>
      </w:pPr>
      <w:r w:rsidRPr="00C1018C">
        <w:rPr>
          <w:rFonts w:cs="Arial"/>
          <w:szCs w:val="20"/>
        </w:rPr>
        <w:t>Documen</w:t>
      </w:r>
      <w:r>
        <w:rPr>
          <w:rFonts w:cs="Arial"/>
          <w:szCs w:val="20"/>
        </w:rPr>
        <w:t>ted ADE/ADR to preferred agents.</w:t>
      </w:r>
    </w:p>
    <w:p w14:paraId="797F3EF9" w14:textId="77777777" w:rsidR="00146A72" w:rsidRPr="002C2C41" w:rsidRDefault="00146A72" w:rsidP="00146A72">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6FA6A5F2" w14:textId="673932F1" w:rsidR="00146A72" w:rsidRDefault="00904D7A" w:rsidP="00C722C9">
      <w:pPr>
        <w:pStyle w:val="ListParagraph"/>
        <w:numPr>
          <w:ilvl w:val="1"/>
          <w:numId w:val="6"/>
        </w:numPr>
      </w:pPr>
      <w:r w:rsidRPr="005328B2">
        <w:t xml:space="preserve">Any approval criteria are not </w:t>
      </w:r>
      <w:proofErr w:type="gramStart"/>
      <w:r w:rsidRPr="005328B2">
        <w:t>met</w:t>
      </w:r>
      <w:r w:rsidR="00146A72">
        <w:t>;</w:t>
      </w:r>
      <w:proofErr w:type="gramEnd"/>
    </w:p>
    <w:p w14:paraId="34DD01B8" w14:textId="6A9ADC3D" w:rsidR="00904D7A" w:rsidRPr="005328B2" w:rsidRDefault="00146A72" w:rsidP="00C722C9">
      <w:pPr>
        <w:pStyle w:val="ListParagraph"/>
        <w:numPr>
          <w:ilvl w:val="1"/>
          <w:numId w:val="6"/>
        </w:numPr>
      </w:pPr>
      <w:r>
        <w:t>Documented diagnosis of heart failure</w:t>
      </w:r>
      <w:r w:rsidR="00904D7A" w:rsidRPr="005328B2">
        <w:t>;</w:t>
      </w:r>
      <w:r w:rsidR="00904D7A">
        <w:t xml:space="preserve"> </w:t>
      </w:r>
      <w:r w:rsidR="00904D7A"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275FEF" w:rsidRPr="00C02553" w14:paraId="05C5E883" w14:textId="77777777" w:rsidTr="0050014C">
        <w:trPr>
          <w:trHeight w:val="276"/>
        </w:trPr>
        <w:tc>
          <w:tcPr>
            <w:tcW w:w="3417" w:type="dxa"/>
          </w:tcPr>
          <w:p w14:paraId="556501BF" w14:textId="446B7508" w:rsidR="00275FEF" w:rsidRPr="00F730BA" w:rsidRDefault="00275FEF" w:rsidP="00275FEF">
            <w:pPr>
              <w:rPr>
                <w:rFonts w:cs="Arial"/>
                <w:szCs w:val="20"/>
              </w:rPr>
            </w:pPr>
            <w:r w:rsidRPr="00A94C68">
              <w:rPr>
                <w:rFonts w:cs="Arial"/>
                <w:caps/>
                <w:szCs w:val="20"/>
              </w:rPr>
              <w:t>ActoPlus Met 15mg/500mg</w:t>
            </w:r>
          </w:p>
        </w:tc>
        <w:tc>
          <w:tcPr>
            <w:tcW w:w="3418" w:type="dxa"/>
          </w:tcPr>
          <w:p w14:paraId="1F00DA46" w14:textId="5B14095B" w:rsidR="00275FEF" w:rsidRPr="00F730BA" w:rsidRDefault="00275FEF" w:rsidP="00275FEF">
            <w:pPr>
              <w:rPr>
                <w:rFonts w:cs="Arial"/>
                <w:caps/>
                <w:szCs w:val="20"/>
              </w:rPr>
            </w:pPr>
            <w:r w:rsidRPr="00A94C68">
              <w:rPr>
                <w:rFonts w:cs="Arial"/>
                <w:caps/>
                <w:szCs w:val="20"/>
              </w:rPr>
              <w:t>Pioglitazone/Metformin</w:t>
            </w:r>
          </w:p>
        </w:tc>
        <w:tc>
          <w:tcPr>
            <w:tcW w:w="2515" w:type="dxa"/>
          </w:tcPr>
          <w:p w14:paraId="7EC279C1" w14:textId="667F6742" w:rsidR="00275FEF" w:rsidRPr="00F730BA" w:rsidRDefault="00275FEF" w:rsidP="00275FEF">
            <w:pPr>
              <w:rPr>
                <w:rFonts w:cs="Arial"/>
                <w:szCs w:val="20"/>
              </w:rPr>
            </w:pPr>
            <w:r>
              <w:rPr>
                <w:rFonts w:cs="Arial"/>
                <w:szCs w:val="20"/>
              </w:rPr>
              <w:t>3</w:t>
            </w:r>
            <w:r w:rsidRPr="008B6456">
              <w:rPr>
                <w:rFonts w:cs="Arial"/>
                <w:szCs w:val="20"/>
              </w:rPr>
              <w:t xml:space="preserve"> tablet</w:t>
            </w:r>
            <w:r>
              <w:rPr>
                <w:rFonts w:cs="Arial"/>
                <w:szCs w:val="20"/>
              </w:rPr>
              <w:t>s</w:t>
            </w:r>
            <w:r w:rsidRPr="008B6456">
              <w:rPr>
                <w:rFonts w:cs="Arial"/>
                <w:szCs w:val="20"/>
              </w:rPr>
              <w:t xml:space="preserve"> per day</w:t>
            </w:r>
          </w:p>
        </w:tc>
      </w:tr>
      <w:tr w:rsidR="00275FEF" w:rsidRPr="00C02553" w14:paraId="33D16B79" w14:textId="77777777" w:rsidTr="0050014C">
        <w:trPr>
          <w:trHeight w:val="276"/>
        </w:trPr>
        <w:tc>
          <w:tcPr>
            <w:tcW w:w="3417" w:type="dxa"/>
          </w:tcPr>
          <w:p w14:paraId="490147AF" w14:textId="0414CE97" w:rsidR="00275FEF" w:rsidRPr="00A94C68" w:rsidRDefault="00275FEF" w:rsidP="00275FEF">
            <w:pPr>
              <w:rPr>
                <w:rFonts w:cs="Arial"/>
                <w:caps/>
                <w:szCs w:val="20"/>
              </w:rPr>
            </w:pPr>
            <w:r w:rsidRPr="00A94C68">
              <w:rPr>
                <w:rFonts w:cs="Arial"/>
                <w:caps/>
                <w:szCs w:val="20"/>
              </w:rPr>
              <w:t>ActoPlus Met 15mg/850mg</w:t>
            </w:r>
          </w:p>
        </w:tc>
        <w:tc>
          <w:tcPr>
            <w:tcW w:w="3418" w:type="dxa"/>
          </w:tcPr>
          <w:p w14:paraId="5127D69F" w14:textId="2D461940" w:rsidR="00275FEF" w:rsidRPr="00A94C68" w:rsidRDefault="00275FEF" w:rsidP="00275FEF">
            <w:pPr>
              <w:rPr>
                <w:rFonts w:cs="Arial"/>
                <w:caps/>
                <w:szCs w:val="20"/>
              </w:rPr>
            </w:pPr>
            <w:r w:rsidRPr="00A94C68">
              <w:rPr>
                <w:rFonts w:cs="Arial"/>
                <w:caps/>
                <w:szCs w:val="20"/>
              </w:rPr>
              <w:t>Pioglitazone/Metformin</w:t>
            </w:r>
          </w:p>
        </w:tc>
        <w:tc>
          <w:tcPr>
            <w:tcW w:w="2515" w:type="dxa"/>
          </w:tcPr>
          <w:p w14:paraId="006167A2" w14:textId="75436E09" w:rsidR="00275FEF" w:rsidRDefault="00275FEF" w:rsidP="00275FEF">
            <w:pPr>
              <w:rPr>
                <w:rFonts w:cs="Arial"/>
                <w:szCs w:val="20"/>
              </w:rPr>
            </w:pPr>
            <w:r>
              <w:rPr>
                <w:rFonts w:cs="Arial"/>
                <w:szCs w:val="20"/>
              </w:rPr>
              <w:t>3</w:t>
            </w:r>
            <w:r w:rsidRPr="008B6456">
              <w:rPr>
                <w:rFonts w:cs="Arial"/>
                <w:szCs w:val="20"/>
              </w:rPr>
              <w:t xml:space="preserve"> tablet</w:t>
            </w:r>
            <w:r>
              <w:rPr>
                <w:rFonts w:cs="Arial"/>
                <w:szCs w:val="20"/>
              </w:rPr>
              <w:t>s</w:t>
            </w:r>
            <w:r w:rsidRPr="008B6456">
              <w:rPr>
                <w:rFonts w:cs="Arial"/>
                <w:szCs w:val="20"/>
              </w:rPr>
              <w:t xml:space="preserve"> per day</w:t>
            </w:r>
          </w:p>
        </w:tc>
      </w:tr>
      <w:tr w:rsidR="00275FEF" w:rsidRPr="00C02553" w14:paraId="3319B4E2" w14:textId="77777777" w:rsidTr="0050014C">
        <w:trPr>
          <w:trHeight w:val="276"/>
        </w:trPr>
        <w:tc>
          <w:tcPr>
            <w:tcW w:w="3417" w:type="dxa"/>
          </w:tcPr>
          <w:p w14:paraId="1C6064EC" w14:textId="7C3D1BF0" w:rsidR="00275FEF" w:rsidRPr="00A94C68" w:rsidRDefault="00275FEF" w:rsidP="00275FEF">
            <w:pPr>
              <w:rPr>
                <w:rFonts w:cs="Arial"/>
                <w:caps/>
                <w:szCs w:val="20"/>
              </w:rPr>
            </w:pPr>
            <w:r w:rsidRPr="002158E1">
              <w:rPr>
                <w:rFonts w:cs="Arial"/>
                <w:caps/>
              </w:rPr>
              <w:t>Actos 15 mg</w:t>
            </w:r>
          </w:p>
        </w:tc>
        <w:tc>
          <w:tcPr>
            <w:tcW w:w="3418" w:type="dxa"/>
          </w:tcPr>
          <w:p w14:paraId="390C6789" w14:textId="4F65BE39" w:rsidR="00275FEF" w:rsidRPr="00A94C68" w:rsidRDefault="00275FEF" w:rsidP="00275FEF">
            <w:pPr>
              <w:rPr>
                <w:rFonts w:cs="Arial"/>
                <w:caps/>
                <w:szCs w:val="20"/>
              </w:rPr>
            </w:pPr>
            <w:r w:rsidRPr="002158E1">
              <w:rPr>
                <w:rFonts w:cs="Arial"/>
                <w:caps/>
              </w:rPr>
              <w:t>Pioglitazone</w:t>
            </w:r>
          </w:p>
        </w:tc>
        <w:tc>
          <w:tcPr>
            <w:tcW w:w="2515" w:type="dxa"/>
          </w:tcPr>
          <w:p w14:paraId="2BECB648" w14:textId="0D3F6A40" w:rsidR="00275FEF" w:rsidRDefault="00275FEF" w:rsidP="00275FEF">
            <w:pPr>
              <w:rPr>
                <w:rFonts w:cs="Arial"/>
                <w:szCs w:val="20"/>
              </w:rPr>
            </w:pPr>
            <w:r>
              <w:rPr>
                <w:rFonts w:cs="Arial"/>
                <w:szCs w:val="20"/>
              </w:rPr>
              <w:t>1 tablet per day</w:t>
            </w:r>
          </w:p>
        </w:tc>
      </w:tr>
      <w:tr w:rsidR="00275FEF" w:rsidRPr="00C02553" w14:paraId="760CD516" w14:textId="77777777" w:rsidTr="0050014C">
        <w:trPr>
          <w:trHeight w:val="276"/>
        </w:trPr>
        <w:tc>
          <w:tcPr>
            <w:tcW w:w="3417" w:type="dxa"/>
          </w:tcPr>
          <w:p w14:paraId="11F54186" w14:textId="65579F8E" w:rsidR="00275FEF" w:rsidRPr="002158E1" w:rsidRDefault="00275FEF" w:rsidP="00275FEF">
            <w:pPr>
              <w:rPr>
                <w:rFonts w:cs="Arial"/>
                <w:caps/>
              </w:rPr>
            </w:pPr>
            <w:r w:rsidRPr="002158E1">
              <w:rPr>
                <w:rFonts w:cs="Arial"/>
                <w:caps/>
              </w:rPr>
              <w:t>Actos 30 mg</w:t>
            </w:r>
          </w:p>
        </w:tc>
        <w:tc>
          <w:tcPr>
            <w:tcW w:w="3418" w:type="dxa"/>
          </w:tcPr>
          <w:p w14:paraId="08DF5D11" w14:textId="6D910072" w:rsidR="00275FEF" w:rsidRPr="002158E1" w:rsidRDefault="00275FEF" w:rsidP="00275FEF">
            <w:pPr>
              <w:rPr>
                <w:rFonts w:cs="Arial"/>
                <w:caps/>
              </w:rPr>
            </w:pPr>
            <w:r w:rsidRPr="002158E1">
              <w:rPr>
                <w:rFonts w:cs="Arial"/>
                <w:caps/>
              </w:rPr>
              <w:t>Pioglitazone</w:t>
            </w:r>
          </w:p>
        </w:tc>
        <w:tc>
          <w:tcPr>
            <w:tcW w:w="2515" w:type="dxa"/>
          </w:tcPr>
          <w:p w14:paraId="7C020F2B" w14:textId="6ECB0AE6" w:rsidR="00275FEF" w:rsidRDefault="00275FEF" w:rsidP="00275FEF">
            <w:pPr>
              <w:rPr>
                <w:rFonts w:cs="Arial"/>
                <w:szCs w:val="20"/>
              </w:rPr>
            </w:pPr>
            <w:r w:rsidRPr="008B6456">
              <w:rPr>
                <w:rFonts w:cs="Arial"/>
                <w:szCs w:val="20"/>
              </w:rPr>
              <w:t>1 tablet per day</w:t>
            </w:r>
          </w:p>
        </w:tc>
      </w:tr>
      <w:tr w:rsidR="00275FEF" w:rsidRPr="00C02553" w14:paraId="1A8A37A4" w14:textId="77777777" w:rsidTr="0050014C">
        <w:trPr>
          <w:trHeight w:val="276"/>
        </w:trPr>
        <w:tc>
          <w:tcPr>
            <w:tcW w:w="3417" w:type="dxa"/>
          </w:tcPr>
          <w:p w14:paraId="570482AF" w14:textId="438552D7" w:rsidR="00275FEF" w:rsidRPr="002158E1" w:rsidRDefault="00275FEF" w:rsidP="00275FEF">
            <w:pPr>
              <w:rPr>
                <w:rFonts w:cs="Arial"/>
                <w:caps/>
              </w:rPr>
            </w:pPr>
            <w:r w:rsidRPr="002158E1">
              <w:rPr>
                <w:rFonts w:cs="Arial"/>
                <w:caps/>
              </w:rPr>
              <w:t>Actos 45 mg</w:t>
            </w:r>
          </w:p>
        </w:tc>
        <w:tc>
          <w:tcPr>
            <w:tcW w:w="3418" w:type="dxa"/>
          </w:tcPr>
          <w:p w14:paraId="63165AC0" w14:textId="6CC7C7C9" w:rsidR="00275FEF" w:rsidRPr="002158E1" w:rsidRDefault="00275FEF" w:rsidP="00275FEF">
            <w:pPr>
              <w:rPr>
                <w:rFonts w:cs="Arial"/>
                <w:caps/>
              </w:rPr>
            </w:pPr>
            <w:r w:rsidRPr="002158E1">
              <w:rPr>
                <w:rFonts w:cs="Arial"/>
                <w:caps/>
              </w:rPr>
              <w:t>Pioglitazone</w:t>
            </w:r>
          </w:p>
        </w:tc>
        <w:tc>
          <w:tcPr>
            <w:tcW w:w="2515" w:type="dxa"/>
          </w:tcPr>
          <w:p w14:paraId="6BA45628" w14:textId="47486760" w:rsidR="00275FEF" w:rsidRPr="008B6456" w:rsidRDefault="00275FEF" w:rsidP="00275FEF">
            <w:pPr>
              <w:rPr>
                <w:rFonts w:cs="Arial"/>
                <w:szCs w:val="20"/>
              </w:rPr>
            </w:pPr>
            <w:r w:rsidRPr="008B6456">
              <w:rPr>
                <w:rFonts w:cs="Arial"/>
                <w:szCs w:val="20"/>
              </w:rPr>
              <w:t>1 tablet per day</w:t>
            </w:r>
          </w:p>
        </w:tc>
      </w:tr>
      <w:tr w:rsidR="00275FEF" w:rsidRPr="00C02553" w14:paraId="7C766416" w14:textId="77777777" w:rsidTr="0050014C">
        <w:trPr>
          <w:trHeight w:val="276"/>
        </w:trPr>
        <w:tc>
          <w:tcPr>
            <w:tcW w:w="3417" w:type="dxa"/>
          </w:tcPr>
          <w:p w14:paraId="383C4E6A" w14:textId="64EA9B06" w:rsidR="00275FEF" w:rsidRPr="002158E1" w:rsidRDefault="00275FEF" w:rsidP="00275FEF">
            <w:pPr>
              <w:rPr>
                <w:rFonts w:cs="Arial"/>
                <w:caps/>
              </w:rPr>
            </w:pPr>
            <w:r w:rsidRPr="00F96737">
              <w:rPr>
                <w:rFonts w:cs="Arial"/>
                <w:caps/>
              </w:rPr>
              <w:t>duetact 30-4 mg tablet</w:t>
            </w:r>
          </w:p>
        </w:tc>
        <w:tc>
          <w:tcPr>
            <w:tcW w:w="3418" w:type="dxa"/>
          </w:tcPr>
          <w:p w14:paraId="7C9910D8" w14:textId="174A18E9" w:rsidR="00275FEF" w:rsidRPr="002158E1" w:rsidRDefault="00275FEF" w:rsidP="00275FEF">
            <w:pPr>
              <w:rPr>
                <w:rFonts w:cs="Arial"/>
                <w:caps/>
              </w:rPr>
            </w:pPr>
            <w:r w:rsidRPr="00F96737">
              <w:rPr>
                <w:rFonts w:cs="Arial"/>
                <w:caps/>
              </w:rPr>
              <w:t>pioglitazone/glimepiride</w:t>
            </w:r>
          </w:p>
        </w:tc>
        <w:tc>
          <w:tcPr>
            <w:tcW w:w="2515" w:type="dxa"/>
          </w:tcPr>
          <w:p w14:paraId="17283498" w14:textId="10AA736C" w:rsidR="00275FEF" w:rsidRPr="008B6456" w:rsidRDefault="00275FEF" w:rsidP="00275FEF">
            <w:pPr>
              <w:rPr>
                <w:rFonts w:cs="Arial"/>
                <w:szCs w:val="20"/>
              </w:rPr>
            </w:pPr>
            <w:r w:rsidRPr="00F96737">
              <w:rPr>
                <w:rFonts w:cs="Arial"/>
                <w:szCs w:val="20"/>
              </w:rPr>
              <w:t>1 tablet per day</w:t>
            </w:r>
          </w:p>
        </w:tc>
      </w:tr>
      <w:tr w:rsidR="00275FEF" w:rsidRPr="00C02553" w14:paraId="773A3C15" w14:textId="77777777" w:rsidTr="0050014C">
        <w:trPr>
          <w:trHeight w:val="276"/>
        </w:trPr>
        <w:tc>
          <w:tcPr>
            <w:tcW w:w="3417" w:type="dxa"/>
          </w:tcPr>
          <w:p w14:paraId="1F14085C" w14:textId="101FE83E" w:rsidR="00275FEF" w:rsidRPr="00F96737" w:rsidRDefault="00275FEF" w:rsidP="00275FEF">
            <w:pPr>
              <w:rPr>
                <w:rFonts w:cs="Arial"/>
                <w:caps/>
              </w:rPr>
            </w:pPr>
            <w:r w:rsidRPr="00F96737">
              <w:rPr>
                <w:rFonts w:cs="Arial"/>
                <w:caps/>
              </w:rPr>
              <w:t>duetact 30-2 mg tablet</w:t>
            </w:r>
          </w:p>
        </w:tc>
        <w:tc>
          <w:tcPr>
            <w:tcW w:w="3418" w:type="dxa"/>
          </w:tcPr>
          <w:p w14:paraId="5E9183FE" w14:textId="331D5AAE" w:rsidR="00275FEF" w:rsidRPr="00F96737" w:rsidRDefault="00275FEF" w:rsidP="00275FEF">
            <w:pPr>
              <w:rPr>
                <w:rFonts w:cs="Arial"/>
                <w:caps/>
              </w:rPr>
            </w:pPr>
            <w:r w:rsidRPr="00F96737">
              <w:rPr>
                <w:rFonts w:cs="Arial"/>
                <w:caps/>
              </w:rPr>
              <w:t>pioglitazone/glimepiride</w:t>
            </w:r>
          </w:p>
        </w:tc>
        <w:tc>
          <w:tcPr>
            <w:tcW w:w="2515" w:type="dxa"/>
          </w:tcPr>
          <w:p w14:paraId="0F81878F" w14:textId="082C9BFB" w:rsidR="00275FEF" w:rsidRPr="00F96737" w:rsidRDefault="00275FEF" w:rsidP="00275FEF">
            <w:pPr>
              <w:rPr>
                <w:rFonts w:cs="Arial"/>
                <w:szCs w:val="20"/>
              </w:rPr>
            </w:pPr>
            <w:r w:rsidRPr="00F96737">
              <w:rPr>
                <w:rFonts w:cs="Arial"/>
                <w:szCs w:val="20"/>
              </w:rPr>
              <w:t>1 tablet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18C888A0" w14:textId="77777777" w:rsidR="00840AF6" w:rsidRPr="008178D8" w:rsidRDefault="00840AF6" w:rsidP="00840AF6">
      <w:pPr>
        <w:pStyle w:val="ListParagraph"/>
      </w:pPr>
      <w:bookmarkStart w:id="4" w:name="_Hlk134790252"/>
      <w:r w:rsidRPr="008178D8">
        <w:t xml:space="preserve">Evidence-Based Medicine and Fiscal Analysis: “Therapeutic Class Review: </w:t>
      </w:r>
      <w:r w:rsidRPr="00426243">
        <w:t>ENDOCRINE AND METABOLIC AGENTS: Antihyperglycemic, Thiazolidinediones (TZDs) &amp; Combination Agents</w:t>
      </w:r>
      <w:r w:rsidRPr="008178D8">
        <w:t xml:space="preserve">”, Gainwell Technologies; Last updated </w:t>
      </w:r>
      <w:r>
        <w:t>April 4, 2024</w:t>
      </w:r>
      <w:r w:rsidRPr="008178D8">
        <w:t>.</w:t>
      </w:r>
    </w:p>
    <w:p w14:paraId="602E17B2" w14:textId="5B59F2FD" w:rsidR="00840AF6" w:rsidRPr="00A97E55" w:rsidRDefault="00840AF6" w:rsidP="00840AF6">
      <w:pPr>
        <w:pStyle w:val="ListParagraph"/>
      </w:pPr>
      <w:r>
        <w:t>Evidence-Based Medicine Analysis: “Thiazolidinediones”, UMKC-DIC; May 202</w:t>
      </w:r>
      <w:r w:rsidR="6154CF6F">
        <w:t>6</w:t>
      </w:r>
      <w:r>
        <w:t>.</w:t>
      </w:r>
    </w:p>
    <w:bookmarkEnd w:id="4"/>
    <w:p w14:paraId="635002FF" w14:textId="77777777" w:rsidR="00840AF6" w:rsidRPr="00950FD3" w:rsidRDefault="00840AF6" w:rsidP="00840AF6">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0F8FC9BB" w14:textId="1D5928CC" w:rsidR="00840AF6" w:rsidRPr="00700A44" w:rsidRDefault="00840AF6" w:rsidP="00840AF6">
      <w:pPr>
        <w:pStyle w:val="ListParagraph"/>
        <w:rPr>
          <w:rStyle w:val="normaltextrun"/>
          <w:rFonts w:cs="Arial"/>
        </w:rPr>
      </w:pPr>
      <w:r>
        <w:t>USPDI, Micromedex; 202</w:t>
      </w:r>
      <w:r w:rsidR="444B62CF">
        <w:t>6</w:t>
      </w:r>
      <w:r>
        <w:t xml:space="preserve">. </w:t>
      </w:r>
    </w:p>
    <w:p w14:paraId="3FA1E7DB" w14:textId="700661F6" w:rsidR="00777CA4" w:rsidRDefault="00840AF6" w:rsidP="00840AF6">
      <w:pPr>
        <w:pStyle w:val="ListParagraph"/>
      </w:pPr>
      <w:r w:rsidRPr="42346A81">
        <w:rPr>
          <w:rStyle w:val="normaltextrun"/>
          <w:rFonts w:cs="Arial"/>
        </w:rPr>
        <w:t>Facts and Comparisons </w:t>
      </w:r>
      <w:r w:rsidRPr="42346A81">
        <w:rPr>
          <w:rStyle w:val="spellingerror"/>
          <w:rFonts w:cs="Arial"/>
        </w:rPr>
        <w:t>eAnswers</w:t>
      </w:r>
      <w:r w:rsidRPr="42346A81">
        <w:rPr>
          <w:rStyle w:val="normaltextrun"/>
          <w:rFonts w:cs="Arial"/>
        </w:rPr>
        <w:t> (online); 202</w:t>
      </w:r>
      <w:r w:rsidR="20B94AF3" w:rsidRPr="42346A81">
        <w:rPr>
          <w:rStyle w:val="normaltextrun"/>
          <w:rFonts w:cs="Arial"/>
        </w:rPr>
        <w:t>6</w:t>
      </w:r>
      <w:r w:rsidRPr="42346A81">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09F30" w14:textId="77777777" w:rsidR="00D5024A" w:rsidRPr="00C02553" w:rsidRDefault="00D5024A" w:rsidP="00AE77DB">
      <w:r w:rsidRPr="00C02553">
        <w:separator/>
      </w:r>
    </w:p>
  </w:endnote>
  <w:endnote w:type="continuationSeparator" w:id="0">
    <w:p w14:paraId="4A113082" w14:textId="77777777" w:rsidR="00D5024A" w:rsidRPr="00C02553" w:rsidRDefault="00D5024A" w:rsidP="00AE77DB">
      <w:r w:rsidRPr="00C02553">
        <w:continuationSeparator/>
      </w:r>
    </w:p>
  </w:endnote>
  <w:endnote w:type="continuationNotice" w:id="1">
    <w:p w14:paraId="6B608314" w14:textId="77777777" w:rsidR="00D5024A" w:rsidRPr="00C02553" w:rsidRDefault="00D50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ECCC7" w14:textId="77777777" w:rsidR="00D5024A" w:rsidRPr="00C02553" w:rsidRDefault="00D5024A" w:rsidP="00AE77DB">
      <w:r w:rsidRPr="00C02553">
        <w:separator/>
      </w:r>
    </w:p>
  </w:footnote>
  <w:footnote w:type="continuationSeparator" w:id="0">
    <w:p w14:paraId="626EA8F5" w14:textId="77777777" w:rsidR="00D5024A" w:rsidRPr="00C02553" w:rsidRDefault="00D5024A" w:rsidP="00AE77DB">
      <w:r w:rsidRPr="00C02553">
        <w:continuationSeparator/>
      </w:r>
    </w:p>
  </w:footnote>
  <w:footnote w:type="continuationNotice" w:id="1">
    <w:p w14:paraId="2F928164" w14:textId="77777777" w:rsidR="00D5024A" w:rsidRPr="00C02553" w:rsidRDefault="00D50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141DD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141DD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141DD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6033C6"/>
    <w:multiLevelType w:val="hybridMultilevel"/>
    <w:tmpl w:val="446AE50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754521697">
    <w:abstractNumId w:val="5"/>
  </w:num>
  <w:num w:numId="16" w16cid:durableId="1415735822">
    <w:abstractNumId w:val="12"/>
  </w:num>
  <w:num w:numId="17" w16cid:durableId="158325071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lVuJl0hleNMFMtCWZ2eJs51xDhUAAXRfGfuTcC+lakm9T3QzBNn5F+CtYO+zt/JoTvsFx52QoYjMHB15zTyHw==" w:salt="yGZafv0PPIHTANeHe4w6y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77647"/>
    <w:rsid w:val="00082590"/>
    <w:rsid w:val="000913C3"/>
    <w:rsid w:val="000953B9"/>
    <w:rsid w:val="000A413B"/>
    <w:rsid w:val="000A6279"/>
    <w:rsid w:val="000B496B"/>
    <w:rsid w:val="000C3940"/>
    <w:rsid w:val="000C5992"/>
    <w:rsid w:val="000C5A88"/>
    <w:rsid w:val="000E1479"/>
    <w:rsid w:val="000E231E"/>
    <w:rsid w:val="000E247D"/>
    <w:rsid w:val="000E6B14"/>
    <w:rsid w:val="000E70D8"/>
    <w:rsid w:val="000F7D04"/>
    <w:rsid w:val="00102167"/>
    <w:rsid w:val="001062F6"/>
    <w:rsid w:val="00112FC7"/>
    <w:rsid w:val="001147AE"/>
    <w:rsid w:val="00125F5F"/>
    <w:rsid w:val="00126951"/>
    <w:rsid w:val="00126B60"/>
    <w:rsid w:val="001273EB"/>
    <w:rsid w:val="00127EF6"/>
    <w:rsid w:val="001310AD"/>
    <w:rsid w:val="001314A5"/>
    <w:rsid w:val="00132C7F"/>
    <w:rsid w:val="00141DD0"/>
    <w:rsid w:val="00144DBE"/>
    <w:rsid w:val="00146A72"/>
    <w:rsid w:val="00152C8B"/>
    <w:rsid w:val="0015636A"/>
    <w:rsid w:val="00172053"/>
    <w:rsid w:val="00177A80"/>
    <w:rsid w:val="001A50CB"/>
    <w:rsid w:val="001A74B7"/>
    <w:rsid w:val="001B2D47"/>
    <w:rsid w:val="001C0250"/>
    <w:rsid w:val="001C6DA4"/>
    <w:rsid w:val="001C73B1"/>
    <w:rsid w:val="001D131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4F9F"/>
    <w:rsid w:val="00255404"/>
    <w:rsid w:val="0025594F"/>
    <w:rsid w:val="00270C5E"/>
    <w:rsid w:val="002759C8"/>
    <w:rsid w:val="00275FEF"/>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57A09"/>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305"/>
    <w:rsid w:val="00535BD5"/>
    <w:rsid w:val="00537AC0"/>
    <w:rsid w:val="00540977"/>
    <w:rsid w:val="00551668"/>
    <w:rsid w:val="00555789"/>
    <w:rsid w:val="005572D5"/>
    <w:rsid w:val="00566BE4"/>
    <w:rsid w:val="00570D21"/>
    <w:rsid w:val="00573856"/>
    <w:rsid w:val="00576113"/>
    <w:rsid w:val="00590652"/>
    <w:rsid w:val="0059235F"/>
    <w:rsid w:val="00595EFC"/>
    <w:rsid w:val="00596936"/>
    <w:rsid w:val="005A2F1E"/>
    <w:rsid w:val="005A4232"/>
    <w:rsid w:val="005C2982"/>
    <w:rsid w:val="005C3616"/>
    <w:rsid w:val="005D36B2"/>
    <w:rsid w:val="005D52E7"/>
    <w:rsid w:val="005D78B5"/>
    <w:rsid w:val="005E3572"/>
    <w:rsid w:val="005E45E4"/>
    <w:rsid w:val="005F0A81"/>
    <w:rsid w:val="005F0FCF"/>
    <w:rsid w:val="0060042F"/>
    <w:rsid w:val="0060067D"/>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0AF6"/>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3D"/>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5024A"/>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087"/>
    <w:rsid w:val="00DF3146"/>
    <w:rsid w:val="00DF57C3"/>
    <w:rsid w:val="00E008D9"/>
    <w:rsid w:val="00E02FE0"/>
    <w:rsid w:val="00E07ABE"/>
    <w:rsid w:val="00E11A3F"/>
    <w:rsid w:val="00E1386E"/>
    <w:rsid w:val="00E2369B"/>
    <w:rsid w:val="00E23EC0"/>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A0EFB"/>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137C6FA9"/>
    <w:rsid w:val="20B94AF3"/>
    <w:rsid w:val="42346A81"/>
    <w:rsid w:val="444B62CF"/>
    <w:rsid w:val="6154CF6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840AF6"/>
  </w:style>
  <w:style w:type="character" w:styleId="CommentReference">
    <w:name w:val="annotation reference"/>
    <w:basedOn w:val="DefaultParagraphFont"/>
    <w:uiPriority w:val="99"/>
    <w:semiHidden/>
    <w:unhideWhenUsed/>
    <w:rsid w:val="0096313D"/>
    <w:rPr>
      <w:sz w:val="16"/>
      <w:szCs w:val="16"/>
    </w:rPr>
  </w:style>
  <w:style w:type="paragraph" w:styleId="CommentSubject">
    <w:name w:val="annotation subject"/>
    <w:basedOn w:val="CommentText"/>
    <w:next w:val="CommentText"/>
    <w:link w:val="CommentSubjectChar"/>
    <w:uiPriority w:val="99"/>
    <w:semiHidden/>
    <w:unhideWhenUsed/>
    <w:rsid w:val="0096313D"/>
    <w:rPr>
      <w:b/>
      <w:bCs/>
    </w:rPr>
  </w:style>
  <w:style w:type="character" w:customStyle="1" w:styleId="CommentTextChar">
    <w:name w:val="Comment Text Char"/>
    <w:basedOn w:val="DefaultParagraphFont"/>
    <w:link w:val="CommentText"/>
    <w:semiHidden/>
    <w:rsid w:val="0096313D"/>
    <w:rPr>
      <w:rFonts w:ascii="Arial" w:hAnsi="Arial"/>
    </w:rPr>
  </w:style>
  <w:style w:type="character" w:customStyle="1" w:styleId="CommentSubjectChar">
    <w:name w:val="Comment Subject Char"/>
    <w:basedOn w:val="CommentTextChar"/>
    <w:link w:val="CommentSubject"/>
    <w:uiPriority w:val="99"/>
    <w:semiHidden/>
    <w:rsid w:val="009631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5eefb00-5952-4f7e-8cf8-96f81cfadd01"/>
    <ds:schemaRef ds:uri="http://purl.org/dc/elements/1.1/"/>
    <ds:schemaRef ds:uri="http://schemas.microsoft.com/office/2006/metadata/properties"/>
    <ds:schemaRef ds:uri="aba01ddc-ae9a-4c9e-819c-7140b4239cde"/>
    <ds:schemaRef ds:uri="http://www.w3.org/XML/1998/namespace"/>
    <ds:schemaRef ds:uri="http://purl.org/dc/dcmitype/"/>
  </ds:schemaRefs>
</ds:datastoreItem>
</file>

<file path=customXml/itemProps4.xml><?xml version="1.0" encoding="utf-8"?>
<ds:datastoreItem xmlns:ds="http://schemas.openxmlformats.org/officeDocument/2006/customXml" ds:itemID="{774A7D64-CD9A-48B3-B425-E9FB87DED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2990</Characters>
  <Application>Microsoft Office Word</Application>
  <DocSecurity>10</DocSecurity>
  <Lines>24</Lines>
  <Paragraphs>6</Paragraphs>
  <ScaleCrop>false</ScaleCrop>
  <HeadingPairs>
    <vt:vector size="2" baseType="variant">
      <vt:variant>
        <vt:lpstr>Title</vt:lpstr>
      </vt:variant>
      <vt:variant>
        <vt:i4>1</vt:i4>
      </vt:variant>
    </vt:vector>
  </HeadingPairs>
  <TitlesOfParts>
    <vt:vector size="1" baseType="lpstr">
      <vt:lpstr>Thiazolidinediones &amp; Combination Agents PDL Edit</vt:lpstr>
    </vt:vector>
  </TitlesOfParts>
  <Company>DSS</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Thiazolidinediones &amp; Combination Agents PDL Edit</dc:title>
  <dc:creator>DMS</dc:creator>
  <cp:lastModifiedBy>Heriford, Katherine</cp:lastModifiedBy>
  <cp:revision>18</cp:revision>
  <cp:lastPrinted>2018-10-31T20:17:00Z</cp:lastPrinted>
  <dcterms:created xsi:type="dcterms:W3CDTF">2026-05-01T22:37:00Z</dcterms:created>
  <dcterms:modified xsi:type="dcterms:W3CDTF">2026-07-06T21:59:00Z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