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3F824B4" w:rsidR="004C5767" w:rsidRPr="00C2075E" w:rsidRDefault="004C5767" w:rsidP="00D27533">
      <w:pPr>
        <w:pStyle w:val="tbody"/>
        <w:rPr>
          <w:b w:val="0"/>
          <w:bCs/>
        </w:rPr>
      </w:pPr>
      <w:r w:rsidRPr="00040BD0">
        <w:t>Drug/Drug Class:</w:t>
      </w:r>
      <w:r w:rsidR="003B4820" w:rsidRPr="00040BD0">
        <w:rPr>
          <w:b w:val="0"/>
          <w:bCs/>
        </w:rPr>
        <w:t xml:space="preserve"> </w:t>
      </w:r>
      <w:r w:rsidR="00796C2A" w:rsidRPr="00040BD0">
        <w:rPr>
          <w:b w:val="0"/>
          <w:bCs/>
        </w:rPr>
        <w:t>T</w:t>
      </w:r>
      <w:r w:rsidR="0052627B" w:rsidRPr="00040BD0">
        <w:rPr>
          <w:b w:val="0"/>
          <w:bCs/>
        </w:rPr>
        <w:t>argeted Immun</w:t>
      </w:r>
      <w:r w:rsidR="00326963" w:rsidRPr="00040BD0">
        <w:rPr>
          <w:b w:val="0"/>
          <w:bCs/>
        </w:rPr>
        <w:t>e M</w:t>
      </w:r>
      <w:r w:rsidR="0052627B" w:rsidRPr="00040BD0">
        <w:rPr>
          <w:b w:val="0"/>
          <w:bCs/>
        </w:rPr>
        <w:t>odulators</w:t>
      </w:r>
      <w:r w:rsidR="00796C2A" w:rsidRPr="00040BD0">
        <w:rPr>
          <w:b w:val="0"/>
          <w:bCs/>
        </w:rPr>
        <w:t>, Generalized Myasthenia Gravis (</w:t>
      </w:r>
      <w:proofErr w:type="spellStart"/>
      <w:r w:rsidR="00796C2A" w:rsidRPr="00040BD0">
        <w:rPr>
          <w:b w:val="0"/>
          <w:bCs/>
        </w:rPr>
        <w:t>gMG</w:t>
      </w:r>
      <w:proofErr w:type="spellEnd"/>
      <w:r w:rsidR="00796C2A" w:rsidRPr="00040BD0">
        <w:rPr>
          <w:b w:val="0"/>
          <w:bCs/>
        </w:rPr>
        <w:t>) Agents PDL</w:t>
      </w:r>
      <w:r w:rsidR="00796C2A" w:rsidRPr="00796C2A">
        <w:rPr>
          <w:b w:val="0"/>
          <w:bCs/>
        </w:rPr>
        <w:t xml:space="preserve"> Edit</w:t>
      </w:r>
      <w:r w:rsidR="00796C2A">
        <w:rPr>
          <w:b w:val="0"/>
          <w:bCs/>
        </w:rPr>
        <w:t xml:space="preserve"> (</w:t>
      </w:r>
      <w:r w:rsidR="00796C2A">
        <w:rPr>
          <w:b w:val="0"/>
          <w:bCs/>
          <w:i/>
          <w:iCs/>
        </w:rPr>
        <w:t xml:space="preserve">previously </w:t>
      </w:r>
      <w:r w:rsidR="00C2075E" w:rsidRPr="00C2075E">
        <w:rPr>
          <w:b w:val="0"/>
          <w:bCs/>
          <w:i/>
          <w:iCs/>
        </w:rPr>
        <w:t>Neonatal Fc Receptor Antagonists PDL Edit</w:t>
      </w:r>
      <w:r w:rsidR="00C2075E">
        <w:rPr>
          <w:b w:val="0"/>
          <w:bCs/>
        </w:rPr>
        <w:t>)</w:t>
      </w:r>
    </w:p>
    <w:p w14:paraId="7AD7FFCE" w14:textId="0941F31A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D4BF9" w:rsidRPr="004D4BF9">
        <w:rPr>
          <w:b w:val="0"/>
          <w:bCs/>
        </w:rPr>
        <w:t>October 3, 2024</w:t>
      </w:r>
    </w:p>
    <w:p w14:paraId="4B7D760D" w14:textId="42DE2784" w:rsidR="004C5767" w:rsidRPr="00057F84" w:rsidRDefault="00F41F69" w:rsidP="70E341D6">
      <w:pPr>
        <w:pStyle w:val="tbody"/>
        <w:rPr>
          <w:b w:val="0"/>
        </w:rPr>
      </w:pPr>
      <w:r>
        <w:t>Pro</w:t>
      </w:r>
      <w:r w:rsidR="00FA2CFB">
        <w:t>posed</w:t>
      </w:r>
      <w:r w:rsidR="004C5767">
        <w:t xml:space="preserve"> Date:</w:t>
      </w:r>
      <w:r w:rsidR="00065C22">
        <w:t xml:space="preserve"> </w:t>
      </w:r>
      <w:r w:rsidR="00B04A72">
        <w:rPr>
          <w:b w:val="0"/>
          <w:bCs/>
        </w:rPr>
        <w:t>July</w:t>
      </w:r>
      <w:r w:rsidR="00BD4DC4" w:rsidRPr="00BD4DC4">
        <w:rPr>
          <w:b w:val="0"/>
          <w:bCs/>
        </w:rPr>
        <w:t xml:space="preserve">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52E01D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4B6013">
        <w:t xml:space="preserve">Criteria Status: </w:t>
      </w:r>
      <w:r w:rsidR="00566BE4" w:rsidRPr="004B6013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4903117B" w:rsidR="00D47996" w:rsidRDefault="00D47996" w:rsidP="00696E3A">
      <w:r w:rsidRPr="00D47996">
        <w:t>The MO HealthNet Pharmacy Program will implement a state-specific preferred drug list</w:t>
      </w:r>
      <w:r w:rsidRPr="00D47996" w:rsidDel="005A5E7D">
        <w:t xml:space="preserve">.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E9A3D2F" w14:textId="22AF7CAD" w:rsidR="007E2AE2" w:rsidRPr="008121F9" w:rsidRDefault="00195D84" w:rsidP="00130E2D">
      <w:pPr>
        <w:pStyle w:val="Header"/>
        <w:rPr>
          <w:rFonts w:cs="Arial"/>
          <w:color w:val="1F497D" w:themeColor="text2"/>
          <w:spacing w:val="-3"/>
          <w:sz w:val="20"/>
        </w:rPr>
      </w:pPr>
      <w:r w:rsidRPr="00067845">
        <w:rPr>
          <w:rFonts w:cs="Arial"/>
          <w:spacing w:val="-3"/>
          <w:sz w:val="20"/>
        </w:rPr>
        <w:t>Generalized myasthenia gravis (</w:t>
      </w:r>
      <w:proofErr w:type="spellStart"/>
      <w:r w:rsidRPr="00067845">
        <w:rPr>
          <w:rFonts w:cs="Arial"/>
          <w:spacing w:val="-3"/>
          <w:sz w:val="20"/>
        </w:rPr>
        <w:t>gMG</w:t>
      </w:r>
      <w:proofErr w:type="spellEnd"/>
      <w:r w:rsidRPr="00067845">
        <w:rPr>
          <w:rFonts w:cs="Arial"/>
          <w:spacing w:val="-3"/>
          <w:sz w:val="20"/>
        </w:rPr>
        <w:t xml:space="preserve">) is an autoimmune neuromuscular disorder caused by antibody-mediated damage at the neuromuscular junction. Novel therapies for </w:t>
      </w:r>
      <w:proofErr w:type="spellStart"/>
      <w:r w:rsidRPr="00067845">
        <w:rPr>
          <w:rFonts w:cs="Arial"/>
          <w:spacing w:val="-3"/>
          <w:sz w:val="20"/>
        </w:rPr>
        <w:t>gMG</w:t>
      </w:r>
      <w:proofErr w:type="spellEnd"/>
      <w:r w:rsidRPr="00067845">
        <w:rPr>
          <w:rFonts w:cs="Arial"/>
          <w:spacing w:val="-3"/>
          <w:sz w:val="20"/>
        </w:rPr>
        <w:t xml:space="preserve"> include neonatal Fc receptor (FcRn) antagonists to decrease levels of circulating Immunoglobulin G (IgG), complement inhibitors targeting the immune pathways, and regulation of CD19+ B cells</w:t>
      </w:r>
      <w:r w:rsidR="0037210C" w:rsidRPr="00067845">
        <w:rPr>
          <w:rFonts w:cs="Arial"/>
          <w:spacing w:val="-3"/>
          <w:sz w:val="20"/>
        </w:rPr>
        <w:t xml:space="preserve"> leading to antibody-dependent cellular cytolysis</w:t>
      </w:r>
      <w:r w:rsidRPr="00067845">
        <w:rPr>
          <w:rFonts w:cs="Arial"/>
          <w:spacing w:val="-3"/>
          <w:sz w:val="20"/>
        </w:rPr>
        <w:t>.</w:t>
      </w:r>
      <w:r w:rsidR="00DE44F5" w:rsidRPr="00067845">
        <w:rPr>
          <w:rFonts w:cs="Arial"/>
          <w:spacing w:val="-3"/>
          <w:sz w:val="20"/>
        </w:rPr>
        <w:t xml:space="preserve"> The complement inhibitors indicated for the treatment of </w:t>
      </w:r>
      <w:proofErr w:type="spellStart"/>
      <w:r w:rsidR="00DE44F5" w:rsidRPr="00067845">
        <w:rPr>
          <w:rFonts w:cs="Arial"/>
          <w:spacing w:val="-3"/>
          <w:sz w:val="20"/>
        </w:rPr>
        <w:t>gMG</w:t>
      </w:r>
      <w:proofErr w:type="spellEnd"/>
      <w:r w:rsidR="00DE44F5" w:rsidRPr="00067845">
        <w:rPr>
          <w:rFonts w:cs="Arial"/>
          <w:spacing w:val="-3"/>
          <w:sz w:val="20"/>
        </w:rPr>
        <w:t xml:space="preserve"> are </w:t>
      </w:r>
      <w:r w:rsidR="003B79AD" w:rsidRPr="00067845">
        <w:rPr>
          <w:rFonts w:cs="Arial"/>
          <w:spacing w:val="-3"/>
          <w:sz w:val="20"/>
        </w:rPr>
        <w:t xml:space="preserve">edited in the Complement </w:t>
      </w:r>
      <w:r w:rsidR="006201F1" w:rsidRPr="00067845">
        <w:rPr>
          <w:rFonts w:cs="Arial"/>
          <w:spacing w:val="-3"/>
          <w:sz w:val="20"/>
        </w:rPr>
        <w:t>Inhibitors</w:t>
      </w:r>
      <w:r w:rsidR="003B79AD" w:rsidRPr="00067845">
        <w:rPr>
          <w:rFonts w:cs="Arial"/>
          <w:spacing w:val="-3"/>
          <w:sz w:val="20"/>
        </w:rPr>
        <w:t xml:space="preserve">, Systemic PDL Edit </w:t>
      </w:r>
      <w:r w:rsidR="00FF6291" w:rsidRPr="00067845">
        <w:rPr>
          <w:rFonts w:cs="Arial"/>
          <w:spacing w:val="-3"/>
          <w:sz w:val="20"/>
        </w:rPr>
        <w:t>and criteria can be found here:</w:t>
      </w:r>
      <w:r w:rsidR="00FF6291" w:rsidRPr="00067845">
        <w:rPr>
          <w:rFonts w:cs="Arial"/>
          <w:b/>
          <w:spacing w:val="-3"/>
          <w:sz w:val="20"/>
        </w:rPr>
        <w:t xml:space="preserve"> </w:t>
      </w:r>
      <w:hyperlink r:id="rId11" w:tgtFrame="_blank" w:tooltip="link to reference edit" w:history="1">
        <w:r w:rsidR="0043042F" w:rsidRPr="008121F9">
          <w:rPr>
            <w:rStyle w:val="Hyperlink"/>
            <w:rFonts w:cs="Arial"/>
            <w:spacing w:val="-3"/>
            <w:sz w:val="20"/>
          </w:rPr>
          <w:t>Pharmacy Clinical Edits and Preferred Drug Lists | mydss.mo.gov.</w:t>
        </w:r>
      </w:hyperlink>
    </w:p>
    <w:p w14:paraId="60847947" w14:textId="77777777" w:rsidR="00195D84" w:rsidRDefault="00195D84" w:rsidP="00130E2D">
      <w:pPr>
        <w:pStyle w:val="Header"/>
        <w:rPr>
          <w:rFonts w:cs="Arial"/>
          <w:spacing w:val="-3"/>
          <w:sz w:val="20"/>
        </w:rPr>
      </w:pPr>
    </w:p>
    <w:p w14:paraId="3E18FD10" w14:textId="2B8D09F2" w:rsidR="00130E2D" w:rsidRDefault="00130E2D" w:rsidP="00130E2D">
      <w:pPr>
        <w:pStyle w:val="Header"/>
        <w:rPr>
          <w:rFonts w:cs="Arial"/>
          <w:spacing w:val="-3"/>
          <w:sz w:val="20"/>
        </w:rPr>
      </w:pPr>
      <w:proofErr w:type="spellStart"/>
      <w:r w:rsidRPr="00FF4D61">
        <w:rPr>
          <w:rFonts w:cs="Arial"/>
          <w:spacing w:val="-3"/>
          <w:sz w:val="20"/>
        </w:rPr>
        <w:t>Vyvgart</w:t>
      </w:r>
      <w:proofErr w:type="spellEnd"/>
      <w:r w:rsidRPr="00262633">
        <w:rPr>
          <w:rFonts w:cs="Arial"/>
          <w:spacing w:val="-3"/>
          <w:sz w:val="20"/>
          <w:vertAlign w:val="superscript"/>
        </w:rPr>
        <w:t>®</w:t>
      </w:r>
      <w:r w:rsidRPr="00FF4D61">
        <w:rPr>
          <w:rFonts w:cs="Arial"/>
          <w:spacing w:val="-3"/>
          <w:sz w:val="20"/>
        </w:rPr>
        <w:t xml:space="preserve"> (efgartigimod alfa-</w:t>
      </w:r>
      <w:proofErr w:type="spellStart"/>
      <w:r w:rsidRPr="00FF4D61">
        <w:rPr>
          <w:rFonts w:cs="Arial"/>
          <w:spacing w:val="-3"/>
          <w:sz w:val="20"/>
        </w:rPr>
        <w:t>fcab</w:t>
      </w:r>
      <w:proofErr w:type="spellEnd"/>
      <w:r w:rsidRPr="00FF4D61">
        <w:rPr>
          <w:rFonts w:cs="Arial"/>
          <w:spacing w:val="-3"/>
          <w:sz w:val="20"/>
        </w:rPr>
        <w:t>)</w:t>
      </w:r>
      <w:r>
        <w:rPr>
          <w:rFonts w:cs="Arial"/>
          <w:spacing w:val="-3"/>
          <w:sz w:val="20"/>
        </w:rPr>
        <w:t xml:space="preserve"> and</w:t>
      </w:r>
      <w:r w:rsidRPr="00FF4D61">
        <w:rPr>
          <w:rFonts w:cs="Arial"/>
          <w:spacing w:val="-3"/>
          <w:sz w:val="20"/>
        </w:rPr>
        <w:t xml:space="preserve"> </w:t>
      </w:r>
      <w:proofErr w:type="spellStart"/>
      <w:r w:rsidRPr="00FF4D61">
        <w:rPr>
          <w:rFonts w:cs="Arial"/>
          <w:spacing w:val="-3"/>
          <w:sz w:val="20"/>
        </w:rPr>
        <w:t>Vyvgart</w:t>
      </w:r>
      <w:proofErr w:type="spellEnd"/>
      <w:r w:rsidRPr="00811402">
        <w:rPr>
          <w:rFonts w:cs="Arial"/>
          <w:spacing w:val="-3"/>
          <w:sz w:val="20"/>
          <w:vertAlign w:val="superscript"/>
        </w:rPr>
        <w:t>®</w:t>
      </w:r>
      <w:r w:rsidRPr="00FF4D61">
        <w:rPr>
          <w:rFonts w:cs="Arial"/>
          <w:spacing w:val="-3"/>
          <w:sz w:val="20"/>
        </w:rPr>
        <w:t xml:space="preserve"> </w:t>
      </w:r>
      <w:proofErr w:type="spellStart"/>
      <w:r w:rsidRPr="00FF4D61">
        <w:rPr>
          <w:rFonts w:cs="Arial"/>
          <w:spacing w:val="-3"/>
          <w:sz w:val="20"/>
        </w:rPr>
        <w:t>Hytrulo</w:t>
      </w:r>
      <w:proofErr w:type="spellEnd"/>
      <w:r w:rsidRPr="00FF4D61">
        <w:rPr>
          <w:rFonts w:cs="Arial"/>
          <w:spacing w:val="-3"/>
          <w:sz w:val="20"/>
        </w:rPr>
        <w:t xml:space="preserve"> (efgartigimod alfa &amp; hyaluronidase-</w:t>
      </w:r>
      <w:proofErr w:type="spellStart"/>
      <w:r w:rsidRPr="00FF4D61">
        <w:rPr>
          <w:rFonts w:cs="Arial"/>
          <w:spacing w:val="-3"/>
          <w:sz w:val="20"/>
        </w:rPr>
        <w:t>qvfc</w:t>
      </w:r>
      <w:proofErr w:type="spellEnd"/>
      <w:r>
        <w:rPr>
          <w:rFonts w:cs="Arial"/>
          <w:spacing w:val="-3"/>
          <w:sz w:val="20"/>
        </w:rPr>
        <w:t xml:space="preserve">) are human IgG1 antibody fragments that bind to the FcRn, resulting in the reduction of circulating IgG. </w:t>
      </w:r>
      <w:proofErr w:type="spellStart"/>
      <w:r>
        <w:rPr>
          <w:rFonts w:cs="Arial"/>
          <w:spacing w:val="-3"/>
          <w:sz w:val="20"/>
        </w:rPr>
        <w:t>Vyvgart</w:t>
      </w:r>
      <w:proofErr w:type="spellEnd"/>
      <w:r>
        <w:rPr>
          <w:rFonts w:cs="Arial"/>
          <w:spacing w:val="-3"/>
          <w:sz w:val="20"/>
        </w:rPr>
        <w:t xml:space="preserve"> is an intravenous infusion </w:t>
      </w:r>
      <w:r w:rsidRPr="003D587E">
        <w:rPr>
          <w:rFonts w:cs="Arial"/>
          <w:spacing w:val="-3"/>
          <w:sz w:val="20"/>
        </w:rPr>
        <w:t>indicated for the</w:t>
      </w:r>
      <w:r>
        <w:rPr>
          <w:rFonts w:cs="Arial"/>
          <w:spacing w:val="-3"/>
          <w:sz w:val="20"/>
        </w:rPr>
        <w:t xml:space="preserve"> </w:t>
      </w:r>
      <w:r w:rsidRPr="003D587E">
        <w:rPr>
          <w:rFonts w:cs="Arial"/>
          <w:spacing w:val="-3"/>
          <w:sz w:val="20"/>
        </w:rPr>
        <w:t xml:space="preserve">treatment of </w:t>
      </w:r>
      <w:proofErr w:type="spellStart"/>
      <w:r w:rsidRPr="003D587E">
        <w:rPr>
          <w:rFonts w:cs="Arial"/>
          <w:spacing w:val="-3"/>
          <w:sz w:val="20"/>
        </w:rPr>
        <w:t>gMG</w:t>
      </w:r>
      <w:proofErr w:type="spellEnd"/>
      <w:r w:rsidRPr="003D587E">
        <w:rPr>
          <w:rFonts w:cs="Arial"/>
          <w:spacing w:val="-3"/>
          <w:sz w:val="20"/>
        </w:rPr>
        <w:t xml:space="preserve"> in adult patients</w:t>
      </w:r>
      <w:r>
        <w:rPr>
          <w:rFonts w:cs="Arial"/>
          <w:spacing w:val="-3"/>
          <w:sz w:val="20"/>
        </w:rPr>
        <w:t xml:space="preserve">, whereas </w:t>
      </w:r>
      <w:proofErr w:type="spellStart"/>
      <w:r w:rsidRPr="00FF4D61">
        <w:rPr>
          <w:rFonts w:cs="Arial"/>
          <w:spacing w:val="-3"/>
          <w:sz w:val="20"/>
        </w:rPr>
        <w:t>Vyvgart</w:t>
      </w:r>
      <w:proofErr w:type="spellEnd"/>
      <w:r w:rsidRPr="00FF4D61">
        <w:rPr>
          <w:rFonts w:cs="Arial"/>
          <w:spacing w:val="-3"/>
          <w:sz w:val="20"/>
        </w:rPr>
        <w:t xml:space="preserve"> </w:t>
      </w:r>
      <w:proofErr w:type="spellStart"/>
      <w:r w:rsidRPr="00FF4D61">
        <w:rPr>
          <w:rFonts w:cs="Arial"/>
          <w:spacing w:val="-3"/>
          <w:sz w:val="20"/>
        </w:rPr>
        <w:t>Hytrulo</w:t>
      </w:r>
      <w:proofErr w:type="spellEnd"/>
      <w:r>
        <w:rPr>
          <w:rFonts w:cs="Arial"/>
          <w:spacing w:val="-3"/>
          <w:sz w:val="20"/>
        </w:rPr>
        <w:t xml:space="preserve"> is a subcutaneous injection indicated for </w:t>
      </w:r>
      <w:proofErr w:type="spellStart"/>
      <w:r>
        <w:rPr>
          <w:rFonts w:cs="Arial"/>
          <w:spacing w:val="-3"/>
          <w:sz w:val="20"/>
        </w:rPr>
        <w:t>gMG</w:t>
      </w:r>
      <w:proofErr w:type="spellEnd"/>
      <w:r>
        <w:rPr>
          <w:rFonts w:cs="Arial"/>
          <w:spacing w:val="-3"/>
          <w:sz w:val="20"/>
        </w:rPr>
        <w:t xml:space="preserve"> and CIDP. One treatment cycle for </w:t>
      </w:r>
      <w:proofErr w:type="spellStart"/>
      <w:r>
        <w:rPr>
          <w:rFonts w:cs="Arial"/>
          <w:spacing w:val="-3"/>
          <w:sz w:val="20"/>
        </w:rPr>
        <w:t>gMG</w:t>
      </w:r>
      <w:proofErr w:type="spellEnd"/>
      <w:r>
        <w:rPr>
          <w:rFonts w:cs="Arial"/>
          <w:spacing w:val="-3"/>
          <w:sz w:val="20"/>
        </w:rPr>
        <w:t xml:space="preserve"> consists of </w:t>
      </w:r>
      <w:proofErr w:type="gramStart"/>
      <w:r>
        <w:rPr>
          <w:rFonts w:cs="Arial"/>
          <w:spacing w:val="-3"/>
          <w:sz w:val="20"/>
        </w:rPr>
        <w:t>once</w:t>
      </w:r>
      <w:proofErr w:type="gramEnd"/>
      <w:r>
        <w:rPr>
          <w:rFonts w:cs="Arial"/>
          <w:spacing w:val="-3"/>
          <w:sz w:val="20"/>
        </w:rPr>
        <w:t xml:space="preserve"> weekly infusions/injections for 4 weeks, with at least 50 days between treatment cycles. Treatment for CIDP consists of </w:t>
      </w:r>
      <w:proofErr w:type="gramStart"/>
      <w:r>
        <w:rPr>
          <w:rFonts w:cs="Arial"/>
          <w:spacing w:val="-3"/>
          <w:sz w:val="20"/>
        </w:rPr>
        <w:t>once</w:t>
      </w:r>
      <w:proofErr w:type="gramEnd"/>
      <w:r>
        <w:rPr>
          <w:rFonts w:cs="Arial"/>
          <w:spacing w:val="-3"/>
          <w:sz w:val="20"/>
        </w:rPr>
        <w:t xml:space="preserve"> weekly injections with </w:t>
      </w:r>
      <w:proofErr w:type="spellStart"/>
      <w:r>
        <w:rPr>
          <w:rFonts w:cs="Arial"/>
          <w:spacing w:val="-3"/>
          <w:sz w:val="20"/>
        </w:rPr>
        <w:t>Vyvgart</w:t>
      </w:r>
      <w:proofErr w:type="spellEnd"/>
      <w:r>
        <w:rPr>
          <w:rFonts w:cs="Arial"/>
          <w:spacing w:val="-3"/>
          <w:sz w:val="20"/>
        </w:rPr>
        <w:t xml:space="preserve"> </w:t>
      </w:r>
      <w:proofErr w:type="spellStart"/>
      <w:r>
        <w:rPr>
          <w:rFonts w:cs="Arial"/>
          <w:spacing w:val="-3"/>
          <w:sz w:val="20"/>
        </w:rPr>
        <w:t>Hytrulo</w:t>
      </w:r>
      <w:proofErr w:type="spellEnd"/>
      <w:r>
        <w:rPr>
          <w:rFonts w:cs="Arial"/>
          <w:spacing w:val="-3"/>
          <w:sz w:val="20"/>
        </w:rPr>
        <w:t>.</w:t>
      </w:r>
    </w:p>
    <w:p w14:paraId="5FB119E4" w14:textId="77777777" w:rsidR="00130E2D" w:rsidRDefault="00130E2D" w:rsidP="00130E2D">
      <w:pPr>
        <w:pStyle w:val="Header"/>
        <w:rPr>
          <w:rFonts w:cs="Arial"/>
          <w:spacing w:val="-3"/>
          <w:sz w:val="20"/>
        </w:rPr>
      </w:pPr>
    </w:p>
    <w:p w14:paraId="283B19D2" w14:textId="77777777" w:rsidR="00130E2D" w:rsidRDefault="00130E2D" w:rsidP="00130E2D">
      <w:pPr>
        <w:pStyle w:val="Header"/>
        <w:rPr>
          <w:rFonts w:eastAsia="Arial"/>
          <w:sz w:val="20"/>
        </w:rPr>
      </w:pPr>
      <w:proofErr w:type="spellStart"/>
      <w:r w:rsidRPr="00D10330">
        <w:rPr>
          <w:rFonts w:cs="Arial"/>
          <w:spacing w:val="-3"/>
          <w:sz w:val="20"/>
        </w:rPr>
        <w:t>Rystiggo</w:t>
      </w:r>
      <w:proofErr w:type="spellEnd"/>
      <w:r w:rsidRPr="00D10330">
        <w:rPr>
          <w:rFonts w:cs="Arial"/>
          <w:spacing w:val="-3"/>
          <w:sz w:val="20"/>
          <w:vertAlign w:val="superscript"/>
        </w:rPr>
        <w:t>®</w:t>
      </w:r>
      <w:r w:rsidRPr="00D10330">
        <w:rPr>
          <w:rFonts w:cs="Arial"/>
          <w:spacing w:val="-3"/>
          <w:sz w:val="20"/>
        </w:rPr>
        <w:t xml:space="preserve"> (</w:t>
      </w:r>
      <w:proofErr w:type="spellStart"/>
      <w:r w:rsidRPr="00D10330">
        <w:rPr>
          <w:rFonts w:cs="Arial"/>
          <w:spacing w:val="-3"/>
          <w:sz w:val="20"/>
        </w:rPr>
        <w:t>rozanolixizumab-noli</w:t>
      </w:r>
      <w:proofErr w:type="spellEnd"/>
      <w:r w:rsidRPr="00D10330">
        <w:rPr>
          <w:rFonts w:cs="Arial"/>
          <w:spacing w:val="-3"/>
          <w:sz w:val="20"/>
        </w:rPr>
        <w:t>)</w:t>
      </w:r>
      <w:r>
        <w:rPr>
          <w:rFonts w:cs="Arial"/>
          <w:spacing w:val="-3"/>
          <w:sz w:val="20"/>
        </w:rPr>
        <w:t xml:space="preserve"> is a </w:t>
      </w:r>
      <w:r w:rsidRPr="00865144">
        <w:rPr>
          <w:rFonts w:eastAsia="Arial"/>
          <w:sz w:val="20"/>
        </w:rPr>
        <w:t>humanized IgG4 monoclonal antibody that binds to the FcRn, resulting in the reduction of circulating IgG</w:t>
      </w:r>
      <w:r>
        <w:rPr>
          <w:rFonts w:eastAsia="Arial"/>
          <w:sz w:val="20"/>
        </w:rPr>
        <w:t xml:space="preserve">. </w:t>
      </w:r>
      <w:proofErr w:type="spellStart"/>
      <w:r>
        <w:rPr>
          <w:rFonts w:eastAsia="Arial"/>
          <w:sz w:val="20"/>
        </w:rPr>
        <w:t>Rystiggo</w:t>
      </w:r>
      <w:proofErr w:type="spellEnd"/>
      <w:r>
        <w:rPr>
          <w:rFonts w:eastAsia="Arial"/>
          <w:sz w:val="20"/>
        </w:rPr>
        <w:t xml:space="preserve"> is a subcutaneous infusion indicated for the t</w:t>
      </w:r>
      <w:r w:rsidRPr="0031613D">
        <w:rPr>
          <w:rFonts w:eastAsia="Arial"/>
          <w:sz w:val="20"/>
        </w:rPr>
        <w:t>reatment of</w:t>
      </w:r>
      <w:r>
        <w:rPr>
          <w:rFonts w:eastAsia="Arial"/>
          <w:sz w:val="20"/>
        </w:rPr>
        <w:t xml:space="preserve"> </w:t>
      </w:r>
      <w:proofErr w:type="spellStart"/>
      <w:r w:rsidRPr="0031613D">
        <w:rPr>
          <w:rFonts w:eastAsia="Arial"/>
          <w:sz w:val="20"/>
        </w:rPr>
        <w:t>gMG</w:t>
      </w:r>
      <w:proofErr w:type="spellEnd"/>
      <w:r w:rsidRPr="0031613D">
        <w:rPr>
          <w:rFonts w:eastAsia="Arial"/>
          <w:sz w:val="20"/>
        </w:rPr>
        <w:t xml:space="preserve"> in adult patients who are </w:t>
      </w:r>
      <w:r>
        <w:rPr>
          <w:rFonts w:eastAsia="Arial"/>
          <w:sz w:val="20"/>
        </w:rPr>
        <w:t>anti-</w:t>
      </w:r>
      <w:proofErr w:type="spellStart"/>
      <w:r w:rsidRPr="0031613D">
        <w:rPr>
          <w:rFonts w:eastAsia="Arial"/>
          <w:sz w:val="20"/>
        </w:rPr>
        <w:t>AChR</w:t>
      </w:r>
      <w:proofErr w:type="spellEnd"/>
      <w:r>
        <w:rPr>
          <w:rFonts w:eastAsia="Arial"/>
          <w:sz w:val="20"/>
        </w:rPr>
        <w:t xml:space="preserve"> antibody positive</w:t>
      </w:r>
      <w:r w:rsidRPr="0031613D">
        <w:rPr>
          <w:rFonts w:eastAsia="Arial"/>
          <w:sz w:val="20"/>
        </w:rPr>
        <w:t xml:space="preserve"> or anti-</w:t>
      </w:r>
      <w:proofErr w:type="spellStart"/>
      <w:r>
        <w:rPr>
          <w:rFonts w:eastAsia="Arial"/>
          <w:sz w:val="20"/>
        </w:rPr>
        <w:t>MuSK</w:t>
      </w:r>
      <w:proofErr w:type="spellEnd"/>
      <w:r w:rsidRPr="0031613D">
        <w:rPr>
          <w:rFonts w:eastAsia="Arial"/>
          <w:sz w:val="20"/>
        </w:rPr>
        <w:t xml:space="preserve"> antibody positive.</w:t>
      </w:r>
      <w:r>
        <w:rPr>
          <w:rFonts w:eastAsia="Arial"/>
          <w:sz w:val="20"/>
        </w:rPr>
        <w:t xml:space="preserve"> One treatment cycle consists of </w:t>
      </w:r>
      <w:proofErr w:type="gramStart"/>
      <w:r>
        <w:rPr>
          <w:rFonts w:eastAsia="Arial"/>
          <w:sz w:val="20"/>
        </w:rPr>
        <w:t>once</w:t>
      </w:r>
      <w:proofErr w:type="gramEnd"/>
      <w:r>
        <w:rPr>
          <w:rFonts w:eastAsia="Arial"/>
          <w:sz w:val="20"/>
        </w:rPr>
        <w:t xml:space="preserve"> weekly infusions for 6 weeks, with at least 63 days between treatment cycles. </w:t>
      </w:r>
    </w:p>
    <w:p w14:paraId="7C12FFB7" w14:textId="77777777" w:rsidR="00AF2BE5" w:rsidRDefault="00AF2BE5" w:rsidP="00130E2D">
      <w:pPr>
        <w:pStyle w:val="Header"/>
        <w:rPr>
          <w:rFonts w:eastAsia="Arial"/>
          <w:sz w:val="20"/>
        </w:rPr>
      </w:pPr>
    </w:p>
    <w:p w14:paraId="6AAF6D07" w14:textId="4EECAFC5" w:rsidR="00AF2BE5" w:rsidRPr="00D10330" w:rsidRDefault="00AF2BE5" w:rsidP="00130E2D">
      <w:pPr>
        <w:pStyle w:val="Header"/>
        <w:rPr>
          <w:rFonts w:cs="Arial"/>
          <w:spacing w:val="-3"/>
          <w:sz w:val="20"/>
        </w:rPr>
      </w:pPr>
      <w:proofErr w:type="spellStart"/>
      <w:r w:rsidRPr="00AF2BE5">
        <w:rPr>
          <w:rFonts w:cs="Arial"/>
          <w:spacing w:val="-3"/>
          <w:sz w:val="20"/>
        </w:rPr>
        <w:t>Uplizna</w:t>
      </w:r>
      <w:proofErr w:type="spellEnd"/>
      <w:r w:rsidRPr="00AF2BE5">
        <w:rPr>
          <w:rFonts w:cs="Arial"/>
          <w:spacing w:val="-3"/>
          <w:sz w:val="20"/>
          <w:vertAlign w:val="superscript"/>
        </w:rPr>
        <w:t>®</w:t>
      </w:r>
      <w:r w:rsidRPr="00AF2BE5">
        <w:rPr>
          <w:rFonts w:cs="Arial"/>
          <w:spacing w:val="-3"/>
          <w:sz w:val="20"/>
        </w:rPr>
        <w:t xml:space="preserve"> (</w:t>
      </w:r>
      <w:proofErr w:type="spellStart"/>
      <w:r w:rsidRPr="00AF2BE5">
        <w:rPr>
          <w:rFonts w:cs="Arial"/>
          <w:spacing w:val="-3"/>
          <w:sz w:val="20"/>
        </w:rPr>
        <w:t>inebilizumab-cdon</w:t>
      </w:r>
      <w:proofErr w:type="spellEnd"/>
      <w:r w:rsidRPr="00AF2BE5">
        <w:rPr>
          <w:rFonts w:cs="Arial"/>
          <w:spacing w:val="-3"/>
          <w:sz w:val="20"/>
        </w:rPr>
        <w:t>) is a CD19-directed cytolytic antibody</w:t>
      </w:r>
      <w:r w:rsidR="0014637C">
        <w:rPr>
          <w:rFonts w:cs="Arial"/>
          <w:spacing w:val="-3"/>
          <w:sz w:val="20"/>
        </w:rPr>
        <w:t xml:space="preserve"> approved for the treatment of adult patients with </w:t>
      </w:r>
      <w:r w:rsidR="006952A1">
        <w:rPr>
          <w:rFonts w:cs="Arial"/>
          <w:spacing w:val="-3"/>
          <w:sz w:val="20"/>
        </w:rPr>
        <w:t>anti-aquaporin-4 (AQP4</w:t>
      </w:r>
      <w:proofErr w:type="gramStart"/>
      <w:r w:rsidR="006952A1">
        <w:rPr>
          <w:rFonts w:cs="Arial"/>
          <w:spacing w:val="-3"/>
          <w:sz w:val="20"/>
        </w:rPr>
        <w:t>)</w:t>
      </w:r>
      <w:r w:rsidR="00C10438">
        <w:rPr>
          <w:rFonts w:cs="Arial"/>
          <w:spacing w:val="-3"/>
          <w:sz w:val="20"/>
        </w:rPr>
        <w:t xml:space="preserve"> </w:t>
      </w:r>
      <w:r w:rsidR="006952A1">
        <w:rPr>
          <w:rFonts w:cs="Arial"/>
          <w:spacing w:val="-3"/>
          <w:sz w:val="20"/>
        </w:rPr>
        <w:t>antibody</w:t>
      </w:r>
      <w:proofErr w:type="gramEnd"/>
      <w:r w:rsidR="006952A1">
        <w:rPr>
          <w:rFonts w:cs="Arial"/>
          <w:spacing w:val="-3"/>
          <w:sz w:val="20"/>
        </w:rPr>
        <w:t xml:space="preserve"> positive </w:t>
      </w:r>
      <w:r w:rsidR="0014637C">
        <w:rPr>
          <w:rFonts w:cs="Arial"/>
          <w:spacing w:val="-3"/>
          <w:sz w:val="20"/>
        </w:rPr>
        <w:t xml:space="preserve">neuromyelitis </w:t>
      </w:r>
      <w:proofErr w:type="spellStart"/>
      <w:r w:rsidR="0014637C">
        <w:rPr>
          <w:rFonts w:cs="Arial"/>
          <w:spacing w:val="-3"/>
          <w:sz w:val="20"/>
        </w:rPr>
        <w:t>optica</w:t>
      </w:r>
      <w:proofErr w:type="spellEnd"/>
      <w:r w:rsidR="0014637C">
        <w:rPr>
          <w:rFonts w:cs="Arial"/>
          <w:spacing w:val="-3"/>
          <w:sz w:val="20"/>
        </w:rPr>
        <w:t xml:space="preserve"> spectrum disorder (NMOSD) and </w:t>
      </w:r>
      <w:r w:rsidR="00524A40">
        <w:rPr>
          <w:rFonts w:cs="Arial"/>
          <w:spacing w:val="-3"/>
          <w:sz w:val="20"/>
        </w:rPr>
        <w:t xml:space="preserve">for </w:t>
      </w:r>
      <w:r w:rsidR="0014637C">
        <w:rPr>
          <w:rFonts w:cs="Arial"/>
          <w:spacing w:val="-3"/>
          <w:sz w:val="20"/>
        </w:rPr>
        <w:t>immunoglobulin G4-related disease (IgG4-RD)</w:t>
      </w:r>
      <w:r w:rsidRPr="00AF2BE5">
        <w:rPr>
          <w:rFonts w:cs="Arial"/>
          <w:spacing w:val="-3"/>
          <w:sz w:val="20"/>
        </w:rPr>
        <w:t xml:space="preserve">. In December 2025, </w:t>
      </w:r>
      <w:proofErr w:type="spellStart"/>
      <w:r w:rsidRPr="00AF2BE5">
        <w:rPr>
          <w:rFonts w:cs="Arial"/>
          <w:spacing w:val="-3"/>
          <w:sz w:val="20"/>
        </w:rPr>
        <w:t>Uplizna</w:t>
      </w:r>
      <w:proofErr w:type="spellEnd"/>
      <w:r w:rsidRPr="00AF2BE5">
        <w:rPr>
          <w:rFonts w:cs="Arial"/>
          <w:spacing w:val="-3"/>
          <w:sz w:val="20"/>
        </w:rPr>
        <w:t xml:space="preserve"> became FDA approved for the treatment of </w:t>
      </w:r>
      <w:proofErr w:type="spellStart"/>
      <w:r w:rsidRPr="00AF2BE5">
        <w:rPr>
          <w:rFonts w:cs="Arial"/>
          <w:spacing w:val="-3"/>
          <w:sz w:val="20"/>
        </w:rPr>
        <w:t>gMG</w:t>
      </w:r>
      <w:proofErr w:type="spellEnd"/>
      <w:r w:rsidRPr="00AF2BE5">
        <w:rPr>
          <w:rFonts w:cs="Arial"/>
          <w:spacing w:val="-3"/>
          <w:sz w:val="20"/>
        </w:rPr>
        <w:t xml:space="preserve"> in adult patients who are </w:t>
      </w:r>
      <w:proofErr w:type="spellStart"/>
      <w:r w:rsidRPr="00AF2BE5">
        <w:rPr>
          <w:rFonts w:cs="Arial"/>
          <w:spacing w:val="-3"/>
          <w:sz w:val="20"/>
        </w:rPr>
        <w:t>AChR</w:t>
      </w:r>
      <w:proofErr w:type="spellEnd"/>
      <w:r w:rsidRPr="00AF2BE5">
        <w:rPr>
          <w:rFonts w:cs="Arial"/>
          <w:spacing w:val="-3"/>
          <w:sz w:val="20"/>
        </w:rPr>
        <w:t xml:space="preserve"> or </w:t>
      </w:r>
      <w:proofErr w:type="spellStart"/>
      <w:r w:rsidRPr="00AF2BE5">
        <w:rPr>
          <w:rFonts w:cs="Arial"/>
          <w:spacing w:val="-3"/>
          <w:sz w:val="20"/>
        </w:rPr>
        <w:t>MuSK</w:t>
      </w:r>
      <w:proofErr w:type="spellEnd"/>
      <w:r w:rsidRPr="00AF2BE5">
        <w:rPr>
          <w:rFonts w:cs="Arial"/>
          <w:spacing w:val="-3"/>
          <w:sz w:val="20"/>
        </w:rPr>
        <w:t xml:space="preserve"> antibody positive.</w:t>
      </w:r>
      <w:r w:rsidR="006550B7">
        <w:rPr>
          <w:rFonts w:cs="Arial"/>
          <w:spacing w:val="-3"/>
          <w:sz w:val="20"/>
        </w:rPr>
        <w:t xml:space="preserve"> </w:t>
      </w:r>
      <w:proofErr w:type="spellStart"/>
      <w:r w:rsidRPr="00AF2BE5">
        <w:rPr>
          <w:rFonts w:cs="Arial"/>
          <w:spacing w:val="-3"/>
          <w:sz w:val="20"/>
        </w:rPr>
        <w:t>Uplizna</w:t>
      </w:r>
      <w:proofErr w:type="spellEnd"/>
      <w:r w:rsidRPr="00AF2BE5">
        <w:rPr>
          <w:rFonts w:cs="Arial"/>
          <w:spacing w:val="-3"/>
          <w:sz w:val="20"/>
        </w:rPr>
        <w:t xml:space="preserve"> is administered as a 300 mg intravenous infusion, followed by another dose 2 weeks later, then every 6 months thereafter.</w:t>
      </w:r>
    </w:p>
    <w:p w14:paraId="7ACECC9F" w14:textId="77777777" w:rsidR="00B56DCC" w:rsidRDefault="00B56DCC" w:rsidP="00696E3A"/>
    <w:p w14:paraId="64826921" w14:textId="7BFE2794" w:rsidR="001F52C2" w:rsidRDefault="001F52C2" w:rsidP="00696E3A">
      <w:proofErr w:type="spellStart"/>
      <w:r>
        <w:t>Imaavy</w:t>
      </w:r>
      <w:proofErr w:type="spellEnd"/>
      <w:r>
        <w:t>™ (</w:t>
      </w:r>
      <w:proofErr w:type="spellStart"/>
      <w:r>
        <w:t>nipocalimab-aahu</w:t>
      </w:r>
      <w:proofErr w:type="spellEnd"/>
      <w:r>
        <w:t xml:space="preserve">) </w:t>
      </w:r>
      <w:r w:rsidR="00614AC6">
        <w:t xml:space="preserve">is a </w:t>
      </w:r>
      <w:r w:rsidR="003271A5" w:rsidRPr="003271A5">
        <w:t xml:space="preserve">human immunoglobulin G1 (IgG1) monoclonal antibody that binds to </w:t>
      </w:r>
      <w:r w:rsidR="003271A5">
        <w:t xml:space="preserve">the </w:t>
      </w:r>
      <w:r w:rsidR="003271A5" w:rsidRPr="003271A5">
        <w:t xml:space="preserve">neonatal </w:t>
      </w:r>
      <w:r w:rsidR="003271A5">
        <w:t>FcRn</w:t>
      </w:r>
      <w:r w:rsidR="003271A5" w:rsidRPr="003271A5">
        <w:t>, resulting in the reduction of circulating IgG levels.</w:t>
      </w:r>
      <w:r w:rsidR="00614AC6">
        <w:t xml:space="preserve"> </w:t>
      </w:r>
      <w:r w:rsidR="00A107AC">
        <w:t xml:space="preserve">In April 2025, </w:t>
      </w:r>
      <w:proofErr w:type="spellStart"/>
      <w:r w:rsidR="00A107AC">
        <w:t>Imaavy</w:t>
      </w:r>
      <w:proofErr w:type="spellEnd"/>
      <w:r w:rsidR="00A107AC">
        <w:t xml:space="preserve"> became FDA approved</w:t>
      </w:r>
      <w:r w:rsidR="00614AC6">
        <w:t xml:space="preserve"> </w:t>
      </w:r>
      <w:r w:rsidR="00484140">
        <w:t xml:space="preserve">as the first </w:t>
      </w:r>
      <w:r w:rsidR="00614AC6">
        <w:t xml:space="preserve">treatment of gMG in adult and pediatric patients </w:t>
      </w:r>
      <w:r w:rsidR="00A0002C">
        <w:t xml:space="preserve">greater than or equal to 12 years of age who are anti AChR or anti MuSK </w:t>
      </w:r>
      <w:proofErr w:type="gramStart"/>
      <w:r w:rsidR="00A0002C">
        <w:t>antibody-positive</w:t>
      </w:r>
      <w:proofErr w:type="gramEnd"/>
      <w:r w:rsidR="00A0002C">
        <w:t xml:space="preserve">. </w:t>
      </w:r>
    </w:p>
    <w:p w14:paraId="225268A1" w14:textId="77777777" w:rsidR="00A0002C" w:rsidRDefault="00A0002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Default="007A3034" w:rsidP="009A0FB1">
      <w:pPr>
        <w:rPr>
          <w:rFonts w:cs="Arial"/>
          <w:szCs w:val="20"/>
        </w:rPr>
      </w:pPr>
    </w:p>
    <w:p w14:paraId="4FE6CEE5" w14:textId="77777777" w:rsidR="007040EF" w:rsidRPr="002C2C41" w:rsidRDefault="007040EF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lastRenderedPageBreak/>
        <w:t>Preferred Agents:</w:t>
      </w:r>
    </w:p>
    <w:p w14:paraId="232C68D8" w14:textId="77777777" w:rsidR="00702A9C" w:rsidRPr="008F0AD4" w:rsidRDefault="00702A9C" w:rsidP="00702A9C">
      <w:pPr>
        <w:pStyle w:val="ListParagraph"/>
        <w:rPr>
          <w:b/>
          <w:bCs/>
          <w:color w:val="1F497D" w:themeColor="text2"/>
        </w:rPr>
      </w:pPr>
      <w:r w:rsidRPr="008F0AD4">
        <w:rPr>
          <w:b/>
          <w:bCs/>
          <w:color w:val="1F497D" w:themeColor="text2"/>
        </w:rPr>
        <w:t>Uplizna</w:t>
      </w:r>
      <w:r w:rsidRPr="004B4D03">
        <w:rPr>
          <w:b/>
          <w:bCs/>
          <w:color w:val="1F497D" w:themeColor="text2"/>
          <w:vertAlign w:val="superscript"/>
        </w:rPr>
        <w:t>®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2EE88883" w14:textId="24FCD24F" w:rsidR="00556796" w:rsidRPr="00147862" w:rsidRDefault="00556796" w:rsidP="009C3E1D">
      <w:pPr>
        <w:pStyle w:val="ListParagraph"/>
        <w:rPr>
          <w:b/>
          <w:bCs/>
          <w:color w:val="1F497D" w:themeColor="text2"/>
        </w:rPr>
      </w:pPr>
      <w:r w:rsidRPr="00147862">
        <w:rPr>
          <w:b/>
          <w:bCs/>
          <w:color w:val="1F497D" w:themeColor="text2"/>
        </w:rPr>
        <w:t>Imaavy</w:t>
      </w:r>
      <w:r w:rsidR="00147862" w:rsidRPr="00147862">
        <w:rPr>
          <w:b/>
          <w:bCs/>
          <w:color w:val="1F497D" w:themeColor="text2"/>
          <w:vertAlign w:val="superscript"/>
        </w:rPr>
        <w:t>™</w:t>
      </w:r>
    </w:p>
    <w:p w14:paraId="3266E115" w14:textId="25CFC5EB" w:rsidR="009C3E1D" w:rsidRPr="00C833A2" w:rsidRDefault="009C3E1D" w:rsidP="009C3E1D">
      <w:pPr>
        <w:pStyle w:val="ListParagraph"/>
      </w:pPr>
      <w:r w:rsidRPr="00A6274D">
        <w:t>Rystiggo</w:t>
      </w:r>
      <w:r w:rsidRPr="00A6274D">
        <w:rPr>
          <w:vertAlign w:val="superscript"/>
        </w:rPr>
        <w:t>®</w:t>
      </w:r>
    </w:p>
    <w:p w14:paraId="2FD5C011" w14:textId="1A486AC9" w:rsidR="009C3E1D" w:rsidRPr="00C663ED" w:rsidRDefault="009C3E1D" w:rsidP="009C3E1D">
      <w:pPr>
        <w:pStyle w:val="ListParagraph"/>
      </w:pPr>
      <w:r w:rsidRPr="00C663ED">
        <w:t>Vyvgart</w:t>
      </w:r>
      <w:r w:rsidRPr="00C663ED">
        <w:rPr>
          <w:vertAlign w:val="superscript"/>
        </w:rPr>
        <w:t>®</w:t>
      </w:r>
      <w:r w:rsidRPr="00C663ED">
        <w:t xml:space="preserve"> </w:t>
      </w:r>
    </w:p>
    <w:p w14:paraId="079F807A" w14:textId="54A82316" w:rsidR="00846FA4" w:rsidRPr="00696E3A" w:rsidRDefault="009C3E1D" w:rsidP="009C3E1D">
      <w:pPr>
        <w:pStyle w:val="ListParagraph"/>
      </w:pPr>
      <w:r w:rsidRPr="00C663ED">
        <w:t>Vyvgart</w:t>
      </w:r>
      <w:r w:rsidRPr="00C663ED">
        <w:rPr>
          <w:vertAlign w:val="superscript"/>
        </w:rPr>
        <w:t>®</w:t>
      </w:r>
      <w:r w:rsidRPr="00C663ED">
        <w:t xml:space="preserve"> Hytrulo</w:t>
      </w:r>
      <w:r w:rsidRPr="00F43E41"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47C7761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840341" w:rsidRPr="00840341">
        <w:t>T</w:t>
      </w:r>
      <w:r w:rsidR="00A25455">
        <w:t>argeted Immune Modulators</w:t>
      </w:r>
      <w:r w:rsidR="00840341" w:rsidRPr="00840341">
        <w:t>, Generalized Myasthenia Gravis (gMG)</w:t>
      </w:r>
      <w:r w:rsidR="00D534FD">
        <w:t xml:space="preserve"> </w:t>
      </w:r>
      <w:r w:rsidR="00A25455">
        <w:t>A</w:t>
      </w:r>
      <w:r w:rsidR="00D534FD">
        <w:t>gent</w:t>
      </w:r>
      <w:r w:rsidR="00A25455">
        <w:t>s</w:t>
      </w:r>
    </w:p>
    <w:p w14:paraId="26CFE8A0" w14:textId="60B4F06A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9D6764" w:rsidRPr="009D6764">
        <w:rPr>
          <w:rFonts w:cs="Arial"/>
          <w:szCs w:val="20"/>
        </w:rPr>
        <w:t xml:space="preserve"> </w:t>
      </w:r>
      <w:r w:rsidR="009D6764">
        <w:rPr>
          <w:rFonts w:cs="Arial"/>
          <w:szCs w:val="20"/>
        </w:rPr>
        <w:t xml:space="preserve">aged </w:t>
      </w:r>
      <w:r w:rsidR="00E32C19" w:rsidRPr="00B06FF2">
        <w:rPr>
          <w:rFonts w:cs="Arial"/>
          <w:b/>
          <w:bCs/>
          <w:color w:val="1F497D" w:themeColor="text2"/>
          <w:szCs w:val="20"/>
        </w:rPr>
        <w:t>1</w:t>
      </w:r>
      <w:r w:rsidR="00292EDD">
        <w:rPr>
          <w:rFonts w:cs="Arial"/>
          <w:b/>
          <w:bCs/>
          <w:color w:val="1F497D" w:themeColor="text2"/>
          <w:szCs w:val="20"/>
        </w:rPr>
        <w:t>2</w:t>
      </w:r>
      <w:r w:rsidR="00B06FF2" w:rsidRPr="00B06FF2">
        <w:rPr>
          <w:rFonts w:cs="Arial"/>
          <w:color w:val="1F497D" w:themeColor="text2"/>
          <w:szCs w:val="20"/>
        </w:rPr>
        <w:t xml:space="preserve"> </w:t>
      </w:r>
      <w:r w:rsidR="009D6764">
        <w:rPr>
          <w:rFonts w:cs="Arial"/>
          <w:szCs w:val="20"/>
        </w:rPr>
        <w:t>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683FBA48" w14:textId="77777777" w:rsidR="00F2209C" w:rsidRPr="000D346B" w:rsidRDefault="00F2209C" w:rsidP="00F2209C">
      <w:pPr>
        <w:pStyle w:val="ListParagraph"/>
        <w:numPr>
          <w:ilvl w:val="0"/>
          <w:numId w:val="17"/>
        </w:numPr>
        <w:jc w:val="both"/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 xml:space="preserve">Must meet </w:t>
      </w:r>
      <w:proofErr w:type="gramStart"/>
      <w:r w:rsidRPr="000D346B">
        <w:rPr>
          <w:rFonts w:cs="Arial"/>
          <w:bCs/>
          <w:szCs w:val="20"/>
        </w:rPr>
        <w:t>all of</w:t>
      </w:r>
      <w:proofErr w:type="gramEnd"/>
      <w:r w:rsidRPr="000D346B">
        <w:rPr>
          <w:rFonts w:cs="Arial"/>
          <w:bCs/>
          <w:szCs w:val="20"/>
        </w:rPr>
        <w:t xml:space="preserve"> the following:</w:t>
      </w:r>
    </w:p>
    <w:p w14:paraId="6FDA4C52" w14:textId="4DAC79D9" w:rsidR="00F2209C" w:rsidRDefault="00F2209C" w:rsidP="00F2209C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>Prescribed by or in consultation with neurologist, rheumatologist, or other specialist in the treated disease state;</w:t>
      </w:r>
      <w:r w:rsidR="00CA0B49">
        <w:rPr>
          <w:rFonts w:cs="Arial"/>
          <w:bCs/>
          <w:szCs w:val="20"/>
        </w:rPr>
        <w:t xml:space="preserve"> </w:t>
      </w:r>
    </w:p>
    <w:p w14:paraId="39ECC128" w14:textId="480068ED" w:rsidR="00F97AA6" w:rsidRPr="00F64BBF" w:rsidRDefault="00DD1E28" w:rsidP="00F2209C">
      <w:pPr>
        <w:pStyle w:val="ListParagraph"/>
        <w:numPr>
          <w:ilvl w:val="1"/>
          <w:numId w:val="17"/>
        </w:numPr>
        <w:rPr>
          <w:rFonts w:cs="Arial"/>
          <w:b/>
          <w:color w:val="1F497D" w:themeColor="text2"/>
          <w:szCs w:val="20"/>
        </w:rPr>
      </w:pPr>
      <w:r w:rsidRPr="00F64BBF">
        <w:rPr>
          <w:rFonts w:cs="Arial"/>
          <w:b/>
          <w:color w:val="1F497D" w:themeColor="text2"/>
          <w:szCs w:val="20"/>
        </w:rPr>
        <w:t xml:space="preserve">Participant is of appropriate age for agent </w:t>
      </w:r>
      <w:r w:rsidR="00542B1F" w:rsidRPr="00F64BBF">
        <w:rPr>
          <w:rFonts w:cs="Arial"/>
          <w:b/>
          <w:color w:val="1F497D" w:themeColor="text2"/>
          <w:szCs w:val="20"/>
        </w:rPr>
        <w:t>requested</w:t>
      </w:r>
      <w:r w:rsidRPr="00F64BBF">
        <w:rPr>
          <w:rFonts w:cs="Arial"/>
          <w:b/>
          <w:color w:val="1F497D" w:themeColor="text2"/>
          <w:szCs w:val="20"/>
        </w:rPr>
        <w:t>:</w:t>
      </w:r>
    </w:p>
    <w:p w14:paraId="2CDFDB4E" w14:textId="49C85E4D" w:rsidR="00770B7B" w:rsidRPr="00F64BBF" w:rsidRDefault="00F97AA6" w:rsidP="00F97AA6">
      <w:pPr>
        <w:pStyle w:val="ListParagraph"/>
        <w:numPr>
          <w:ilvl w:val="2"/>
          <w:numId w:val="17"/>
        </w:numPr>
        <w:rPr>
          <w:rFonts w:cs="Arial"/>
          <w:b/>
          <w:color w:val="1F497D" w:themeColor="text2"/>
          <w:szCs w:val="20"/>
        </w:rPr>
      </w:pPr>
      <w:r w:rsidRPr="00F64BBF">
        <w:rPr>
          <w:rFonts w:cs="Arial"/>
          <w:b/>
          <w:color w:val="1F497D" w:themeColor="text2"/>
          <w:szCs w:val="20"/>
        </w:rPr>
        <w:t>Claim for I</w:t>
      </w:r>
      <w:r w:rsidR="00DD1E28" w:rsidRPr="00F64BBF">
        <w:rPr>
          <w:rFonts w:cs="Arial"/>
          <w:b/>
          <w:color w:val="1F497D" w:themeColor="text2"/>
          <w:szCs w:val="20"/>
        </w:rPr>
        <w:t>maavy</w:t>
      </w:r>
      <w:r w:rsidR="00542B1F" w:rsidRPr="00F64BBF">
        <w:rPr>
          <w:rFonts w:cs="Arial"/>
          <w:b/>
          <w:color w:val="1F497D" w:themeColor="text2"/>
          <w:szCs w:val="20"/>
        </w:rPr>
        <w:t>: Participant is aged ≥ 12 years; OR</w:t>
      </w:r>
    </w:p>
    <w:p w14:paraId="589E9DA4" w14:textId="16C68ABE" w:rsidR="00F97AA6" w:rsidRPr="00F64BBF" w:rsidRDefault="00A820B0" w:rsidP="00F97AA6">
      <w:pPr>
        <w:pStyle w:val="ListParagraph"/>
        <w:numPr>
          <w:ilvl w:val="2"/>
          <w:numId w:val="17"/>
        </w:numPr>
        <w:rPr>
          <w:rFonts w:cs="Arial"/>
          <w:b/>
          <w:color w:val="1F497D" w:themeColor="text2"/>
          <w:szCs w:val="20"/>
        </w:rPr>
      </w:pPr>
      <w:r w:rsidRPr="00F64BBF">
        <w:rPr>
          <w:rFonts w:cs="Arial"/>
          <w:b/>
          <w:color w:val="1F497D" w:themeColor="text2"/>
          <w:szCs w:val="20"/>
        </w:rPr>
        <w:t>Participant is aged ≥ 18 years;</w:t>
      </w:r>
      <w:r w:rsidR="00D524E9">
        <w:rPr>
          <w:rFonts w:cs="Arial"/>
          <w:b/>
          <w:color w:val="1F497D" w:themeColor="text2"/>
          <w:szCs w:val="20"/>
        </w:rPr>
        <w:t xml:space="preserve"> AND</w:t>
      </w:r>
    </w:p>
    <w:p w14:paraId="643E7881" w14:textId="77777777" w:rsidR="00F2209C" w:rsidRDefault="00F2209C" w:rsidP="00F2209C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Documentation of appropriate diagnosis for requested agent – see below criteria.</w:t>
      </w:r>
    </w:p>
    <w:p w14:paraId="6AEEA6F2" w14:textId="77777777" w:rsidR="00580FDC" w:rsidRDefault="00580FDC" w:rsidP="00483461">
      <w:pPr>
        <w:pStyle w:val="ListParagraph"/>
        <w:numPr>
          <w:ilvl w:val="0"/>
          <w:numId w:val="0"/>
        </w:numPr>
        <w:ind w:left="360"/>
        <w:rPr>
          <w:rFonts w:cs="Arial"/>
          <w:bCs/>
          <w:szCs w:val="20"/>
        </w:rPr>
      </w:pPr>
    </w:p>
    <w:p w14:paraId="4BA1DE01" w14:textId="6D943CD5" w:rsidR="00F2209C" w:rsidRDefault="00F2209C" w:rsidP="00F2209C">
      <w:pPr>
        <w:pStyle w:val="ListParagraph"/>
        <w:numPr>
          <w:ilvl w:val="0"/>
          <w:numId w:val="17"/>
        </w:numPr>
        <w:rPr>
          <w:rFonts w:cs="Arial"/>
          <w:bCs/>
          <w:szCs w:val="20"/>
        </w:rPr>
      </w:pPr>
      <w:r w:rsidRPr="00AA10A6">
        <w:rPr>
          <w:rFonts w:cs="Arial"/>
          <w:b/>
          <w:szCs w:val="20"/>
        </w:rPr>
        <w:t>For a documented diagnosis of gMG</w:t>
      </w:r>
      <w:r w:rsidR="00336891">
        <w:rPr>
          <w:rFonts w:cs="Arial"/>
          <w:bCs/>
          <w:szCs w:val="20"/>
        </w:rPr>
        <w:t xml:space="preserve"> – must meet all of the following:</w:t>
      </w:r>
    </w:p>
    <w:p w14:paraId="63631832" w14:textId="77777777" w:rsidR="00F2209C" w:rsidRPr="000D346B" w:rsidRDefault="00F2209C" w:rsidP="00336891">
      <w:pPr>
        <w:pStyle w:val="ListParagraph"/>
        <w:numPr>
          <w:ilvl w:val="1"/>
          <w:numId w:val="17"/>
        </w:numPr>
        <w:jc w:val="both"/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 xml:space="preserve">Documented disease classification as Myasthenia Gravis Foundation of America (MGFA) Class II, III, or IV; </w:t>
      </w:r>
    </w:p>
    <w:p w14:paraId="6BA42C2C" w14:textId="77777777" w:rsidR="00F2209C" w:rsidRPr="000D346B" w:rsidRDefault="00F2209C" w:rsidP="00336891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>Adequate therapeutic trial of 2 immunosuppressants (e.g., glucocorticoids, azathioprine, mycophenolate, tacrolimus, cyclosporine, methotrexate) (90/120 days);</w:t>
      </w:r>
    </w:p>
    <w:p w14:paraId="143F9769" w14:textId="77777777" w:rsidR="00F2209C" w:rsidRPr="003E4B14" w:rsidRDefault="00F2209C" w:rsidP="00336891">
      <w:pPr>
        <w:pStyle w:val="NoSpacing"/>
        <w:numPr>
          <w:ilvl w:val="1"/>
          <w:numId w:val="17"/>
        </w:numPr>
        <w:rPr>
          <w:b/>
          <w:bCs/>
          <w:strike/>
          <w:color w:val="1F497D" w:themeColor="text2"/>
          <w:sz w:val="20"/>
          <w:szCs w:val="20"/>
        </w:rPr>
      </w:pPr>
      <w:r w:rsidRPr="003E4B14">
        <w:rPr>
          <w:b/>
          <w:bCs/>
          <w:strike/>
          <w:color w:val="1F497D" w:themeColor="text2"/>
          <w:sz w:val="20"/>
          <w:szCs w:val="20"/>
        </w:rPr>
        <w:t>Documented positive anti-acetylcholine receptor (AChR) or anti-</w:t>
      </w:r>
      <w:r w:rsidRPr="003E4B14">
        <w:rPr>
          <w:b/>
          <w:bCs/>
          <w:strike/>
          <w:color w:val="1F497D" w:themeColor="text2"/>
          <w:spacing w:val="-3"/>
          <w:sz w:val="20"/>
        </w:rPr>
        <w:t>muscle-specific tyrosine kinase (MuSK) antibody test;</w:t>
      </w:r>
      <w:r w:rsidRPr="003E4B14">
        <w:rPr>
          <w:b/>
          <w:bCs/>
          <w:strike/>
          <w:color w:val="1F497D" w:themeColor="text2"/>
          <w:sz w:val="20"/>
          <w:szCs w:val="20"/>
        </w:rPr>
        <w:t xml:space="preserve"> </w:t>
      </w:r>
    </w:p>
    <w:p w14:paraId="66A061B2" w14:textId="0DA9036B" w:rsidR="00F2209C" w:rsidRDefault="00F2209C" w:rsidP="00336891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D71EA8">
        <w:rPr>
          <w:sz w:val="20"/>
          <w:szCs w:val="20"/>
        </w:rPr>
        <w:t>Must meet one of the following:</w:t>
      </w:r>
    </w:p>
    <w:p w14:paraId="31D0DF9A" w14:textId="77777777" w:rsidR="00F2209C" w:rsidRDefault="00F2209C" w:rsidP="00336891">
      <w:pPr>
        <w:pStyle w:val="NoSpacing"/>
        <w:numPr>
          <w:ilvl w:val="2"/>
          <w:numId w:val="17"/>
        </w:numPr>
        <w:rPr>
          <w:sz w:val="20"/>
          <w:szCs w:val="20"/>
        </w:rPr>
      </w:pPr>
      <w:r w:rsidRPr="00D71EA8">
        <w:rPr>
          <w:sz w:val="20"/>
          <w:szCs w:val="20"/>
        </w:rPr>
        <w:t xml:space="preserve">Documented baseline Myasthenia Gravis Activities of Daily Living (MG-ADL) score of greater than or equal to 6; </w:t>
      </w:r>
      <w:r w:rsidRPr="00D71EA8">
        <w:rPr>
          <w:b/>
          <w:sz w:val="20"/>
          <w:szCs w:val="20"/>
        </w:rPr>
        <w:t>OR</w:t>
      </w:r>
    </w:p>
    <w:p w14:paraId="351EED0A" w14:textId="77777777" w:rsidR="00F2209C" w:rsidRPr="009E735C" w:rsidRDefault="00F2209C" w:rsidP="00336891">
      <w:pPr>
        <w:pStyle w:val="NoSpacing"/>
        <w:numPr>
          <w:ilvl w:val="2"/>
          <w:numId w:val="17"/>
        </w:numPr>
        <w:rPr>
          <w:sz w:val="20"/>
          <w:szCs w:val="20"/>
        </w:rPr>
      </w:pPr>
      <w:r w:rsidRPr="00D71EA8">
        <w:rPr>
          <w:sz w:val="20"/>
          <w:szCs w:val="20"/>
        </w:rPr>
        <w:t>Documented baseline Quantitative Myasthenia Gravis (QMG) score of greater than or equal to 12</w:t>
      </w:r>
      <w:r>
        <w:rPr>
          <w:sz w:val="20"/>
          <w:szCs w:val="20"/>
        </w:rPr>
        <w:t xml:space="preserve">; </w:t>
      </w:r>
      <w:r>
        <w:rPr>
          <w:b/>
          <w:bCs/>
          <w:sz w:val="20"/>
          <w:szCs w:val="20"/>
        </w:rPr>
        <w:t>AND</w:t>
      </w:r>
    </w:p>
    <w:p w14:paraId="0717CB04" w14:textId="1BF022B0" w:rsidR="005B5A17" w:rsidRPr="000A4381" w:rsidRDefault="00B50974" w:rsidP="00336891">
      <w:pPr>
        <w:pStyle w:val="NoSpacing"/>
        <w:numPr>
          <w:ilvl w:val="1"/>
          <w:numId w:val="17"/>
        </w:numPr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 xml:space="preserve">Documented </w:t>
      </w:r>
      <w:r w:rsidR="005B5A17" w:rsidRPr="000A4381">
        <w:rPr>
          <w:b/>
          <w:bCs/>
          <w:color w:val="1F497D" w:themeColor="text2"/>
          <w:sz w:val="20"/>
          <w:szCs w:val="20"/>
        </w:rPr>
        <w:t xml:space="preserve">laboratory </w:t>
      </w:r>
      <w:r w:rsidR="001A3A9C" w:rsidRPr="000A4381">
        <w:rPr>
          <w:b/>
          <w:bCs/>
          <w:color w:val="1F497D" w:themeColor="text2"/>
          <w:sz w:val="20"/>
          <w:szCs w:val="20"/>
        </w:rPr>
        <w:t>results</w:t>
      </w:r>
      <w:r w:rsidR="005B5A17" w:rsidRPr="000A4381">
        <w:rPr>
          <w:b/>
          <w:bCs/>
          <w:color w:val="1F497D" w:themeColor="text2"/>
          <w:sz w:val="20"/>
          <w:szCs w:val="20"/>
        </w:rPr>
        <w:t xml:space="preserve"> confirming gMG antibody status</w:t>
      </w:r>
      <w:r w:rsidR="000A4381">
        <w:rPr>
          <w:b/>
          <w:bCs/>
          <w:color w:val="1F497D" w:themeColor="text2"/>
          <w:sz w:val="20"/>
          <w:szCs w:val="20"/>
        </w:rPr>
        <w:t>;</w:t>
      </w:r>
      <w:r w:rsidR="00AE2055">
        <w:rPr>
          <w:b/>
          <w:bCs/>
          <w:color w:val="1F497D" w:themeColor="text2"/>
          <w:sz w:val="20"/>
          <w:szCs w:val="20"/>
        </w:rPr>
        <w:t xml:space="preserve"> AND</w:t>
      </w:r>
    </w:p>
    <w:p w14:paraId="7E786727" w14:textId="7DBE42DB" w:rsidR="00F2209C" w:rsidRDefault="00F2209C" w:rsidP="00336891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9E735C">
        <w:rPr>
          <w:sz w:val="20"/>
          <w:szCs w:val="20"/>
        </w:rPr>
        <w:t>Must meet one of the following:</w:t>
      </w:r>
    </w:p>
    <w:p w14:paraId="6C1A5128" w14:textId="77777777" w:rsidR="00F2209C" w:rsidRDefault="00F2209C" w:rsidP="00336891">
      <w:pPr>
        <w:pStyle w:val="NoSpacing"/>
        <w:numPr>
          <w:ilvl w:val="2"/>
          <w:numId w:val="17"/>
        </w:numPr>
        <w:rPr>
          <w:sz w:val="20"/>
          <w:szCs w:val="20"/>
        </w:rPr>
      </w:pPr>
      <w:r w:rsidRPr="009E735C">
        <w:rPr>
          <w:sz w:val="20"/>
          <w:szCs w:val="20"/>
        </w:rPr>
        <w:t>Documented compliance on current therapy regimen;</w:t>
      </w:r>
    </w:p>
    <w:p w14:paraId="7BB0914A" w14:textId="60E9CA01" w:rsidR="00F2209C" w:rsidRPr="00F745E3" w:rsidRDefault="00F2209C" w:rsidP="00CA3A5B">
      <w:pPr>
        <w:pStyle w:val="NoSpacing"/>
        <w:numPr>
          <w:ilvl w:val="2"/>
          <w:numId w:val="17"/>
        </w:numPr>
        <w:rPr>
          <w:b/>
          <w:color w:val="1F497D" w:themeColor="text2"/>
          <w:sz w:val="20"/>
          <w:szCs w:val="20"/>
        </w:rPr>
      </w:pPr>
      <w:r w:rsidRPr="0066345B">
        <w:rPr>
          <w:b/>
          <w:color w:val="1F497D" w:themeColor="text2"/>
          <w:sz w:val="20"/>
          <w:szCs w:val="20"/>
        </w:rPr>
        <w:t xml:space="preserve">Participant has documented diagnosis of anti-MuSK </w:t>
      </w:r>
      <w:r w:rsidR="00CA3A5B" w:rsidRPr="00F745E3">
        <w:rPr>
          <w:b/>
          <w:color w:val="1F497D" w:themeColor="text2"/>
          <w:sz w:val="20"/>
          <w:szCs w:val="20"/>
        </w:rPr>
        <w:t>or</w:t>
      </w:r>
      <w:r w:rsidRPr="00F745E3">
        <w:rPr>
          <w:b/>
          <w:color w:val="1F497D" w:themeColor="text2"/>
          <w:sz w:val="20"/>
          <w:szCs w:val="20"/>
        </w:rPr>
        <w:t xml:space="preserve"> anti-AChR antibody positive gMG</w:t>
      </w:r>
      <w:r w:rsidR="000B4D51" w:rsidRPr="00F745E3">
        <w:rPr>
          <w:b/>
          <w:color w:val="1F497D" w:themeColor="text2"/>
          <w:sz w:val="20"/>
          <w:szCs w:val="20"/>
        </w:rPr>
        <w:t xml:space="preserve"> </w:t>
      </w:r>
      <w:r w:rsidRPr="00F745E3">
        <w:rPr>
          <w:b/>
          <w:color w:val="1F497D" w:themeColor="text2"/>
          <w:sz w:val="20"/>
          <w:szCs w:val="20"/>
        </w:rPr>
        <w:t xml:space="preserve">– must meet </w:t>
      </w:r>
      <w:r w:rsidR="00CA3A5B" w:rsidRPr="00F745E3">
        <w:rPr>
          <w:b/>
          <w:color w:val="1F497D" w:themeColor="text2"/>
          <w:sz w:val="20"/>
          <w:szCs w:val="20"/>
        </w:rPr>
        <w:t>one</w:t>
      </w:r>
      <w:r w:rsidRPr="00F745E3">
        <w:rPr>
          <w:b/>
          <w:color w:val="1F497D" w:themeColor="text2"/>
          <w:sz w:val="20"/>
          <w:szCs w:val="20"/>
        </w:rPr>
        <w:t xml:space="preserve"> of the following:</w:t>
      </w:r>
    </w:p>
    <w:p w14:paraId="11961775" w14:textId="77777777" w:rsidR="00290262" w:rsidRDefault="00290262" w:rsidP="00AA10A6">
      <w:pPr>
        <w:pStyle w:val="NoSpacing"/>
        <w:numPr>
          <w:ilvl w:val="3"/>
          <w:numId w:val="17"/>
        </w:numPr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Claim is for a preferred agent;</w:t>
      </w:r>
    </w:p>
    <w:p w14:paraId="460EA78A" w14:textId="13724F0B" w:rsidR="00290262" w:rsidRPr="00CA0B49" w:rsidRDefault="00290262" w:rsidP="00AA10A6">
      <w:pPr>
        <w:pStyle w:val="NoSpacing"/>
        <w:numPr>
          <w:ilvl w:val="3"/>
          <w:numId w:val="17"/>
        </w:numPr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C</w:t>
      </w:r>
      <w:r w:rsidRPr="00CA0B49">
        <w:rPr>
          <w:b/>
          <w:bCs/>
          <w:color w:val="1F497D" w:themeColor="text2"/>
          <w:sz w:val="20"/>
          <w:szCs w:val="20"/>
        </w:rPr>
        <w:t>laim is for Imaavy</w:t>
      </w:r>
      <w:r w:rsidRPr="00B5467E">
        <w:rPr>
          <w:b/>
          <w:bCs/>
          <w:color w:val="1F497D" w:themeColor="text2"/>
          <w:sz w:val="20"/>
          <w:szCs w:val="20"/>
        </w:rPr>
        <w:t xml:space="preserve"> </w:t>
      </w:r>
      <w:r>
        <w:rPr>
          <w:b/>
          <w:bCs/>
          <w:color w:val="1F497D" w:themeColor="text2"/>
          <w:sz w:val="20"/>
          <w:szCs w:val="20"/>
        </w:rPr>
        <w:t>and</w:t>
      </w:r>
      <w:r w:rsidRPr="00B5467E">
        <w:rPr>
          <w:b/>
          <w:bCs/>
          <w:color w:val="1F497D" w:themeColor="text2"/>
          <w:sz w:val="20"/>
          <w:szCs w:val="20"/>
        </w:rPr>
        <w:t xml:space="preserve"> </w:t>
      </w:r>
      <w:r>
        <w:rPr>
          <w:b/>
          <w:bCs/>
          <w:color w:val="1F497D" w:themeColor="text2"/>
          <w:sz w:val="20"/>
          <w:szCs w:val="20"/>
        </w:rPr>
        <w:t>p</w:t>
      </w:r>
      <w:r w:rsidRPr="002A5B7B">
        <w:rPr>
          <w:b/>
          <w:bCs/>
          <w:color w:val="1F497D" w:themeColor="text2"/>
          <w:sz w:val="20"/>
          <w:szCs w:val="20"/>
        </w:rPr>
        <w:t xml:space="preserve">articipant </w:t>
      </w:r>
      <w:r w:rsidRPr="00CA0B49">
        <w:rPr>
          <w:b/>
          <w:bCs/>
          <w:color w:val="1F497D" w:themeColor="text2"/>
          <w:sz w:val="20"/>
          <w:szCs w:val="20"/>
        </w:rPr>
        <w:t>age is 12 years to &lt; 18 years;</w:t>
      </w:r>
      <w:r w:rsidR="00D741F4">
        <w:rPr>
          <w:b/>
          <w:bCs/>
          <w:color w:val="1F497D" w:themeColor="text2"/>
          <w:sz w:val="20"/>
          <w:szCs w:val="20"/>
        </w:rPr>
        <w:t xml:space="preserve"> OR</w:t>
      </w:r>
    </w:p>
    <w:p w14:paraId="3FC2B387" w14:textId="502B8222" w:rsidR="00F2209C" w:rsidRPr="006721CB" w:rsidRDefault="00F2209C" w:rsidP="00336891">
      <w:pPr>
        <w:pStyle w:val="NoSpacing"/>
        <w:numPr>
          <w:ilvl w:val="3"/>
          <w:numId w:val="17"/>
        </w:numPr>
        <w:rPr>
          <w:b/>
          <w:bCs/>
          <w:strike/>
          <w:color w:val="1F497D" w:themeColor="text2"/>
          <w:sz w:val="20"/>
          <w:szCs w:val="20"/>
        </w:rPr>
      </w:pPr>
      <w:r w:rsidRPr="00D741F4">
        <w:rPr>
          <w:bCs/>
          <w:sz w:val="20"/>
          <w:szCs w:val="20"/>
        </w:rPr>
        <w:t>Adequate therapeutic trial of 1 or more preferred agents</w:t>
      </w:r>
      <w:r w:rsidR="00D741F4">
        <w:rPr>
          <w:bCs/>
          <w:sz w:val="20"/>
          <w:szCs w:val="20"/>
        </w:rPr>
        <w:t>:</w:t>
      </w:r>
      <w:r w:rsidRPr="00AA10A6">
        <w:rPr>
          <w:b/>
          <w:strike/>
          <w:sz w:val="20"/>
          <w:szCs w:val="20"/>
        </w:rPr>
        <w:t xml:space="preserve"> </w:t>
      </w:r>
      <w:r w:rsidRPr="00290262">
        <w:rPr>
          <w:b/>
          <w:strike/>
          <w:color w:val="1F497D" w:themeColor="text2"/>
          <w:sz w:val="20"/>
          <w:szCs w:val="20"/>
        </w:rPr>
        <w:t>listed</w:t>
      </w:r>
      <w:r w:rsidRPr="00AA10A6">
        <w:rPr>
          <w:b/>
          <w:strike/>
          <w:color w:val="1F497D" w:themeColor="text2"/>
          <w:sz w:val="20"/>
          <w:szCs w:val="20"/>
        </w:rPr>
        <w:t xml:space="preserve"> </w:t>
      </w:r>
      <w:r w:rsidRPr="006721CB">
        <w:rPr>
          <w:b/>
          <w:bCs/>
          <w:strike/>
          <w:color w:val="1F497D" w:themeColor="text2"/>
          <w:sz w:val="20"/>
          <w:szCs w:val="20"/>
        </w:rPr>
        <w:t>in the Complement Inhibitors, Systemic PDL Edit;</w:t>
      </w:r>
    </w:p>
    <w:p w14:paraId="2B6E0E65" w14:textId="2863EB5C" w:rsidR="00F2209C" w:rsidRPr="00432418" w:rsidRDefault="00F2209C" w:rsidP="00D741F4">
      <w:pPr>
        <w:pStyle w:val="NoSpacing"/>
        <w:numPr>
          <w:ilvl w:val="4"/>
          <w:numId w:val="17"/>
        </w:numPr>
        <w:rPr>
          <w:sz w:val="20"/>
          <w:szCs w:val="20"/>
        </w:rPr>
      </w:pPr>
      <w:r w:rsidRPr="00432418">
        <w:rPr>
          <w:sz w:val="20"/>
          <w:szCs w:val="20"/>
        </w:rPr>
        <w:t xml:space="preserve">Documented trial period of preferred agents; </w:t>
      </w:r>
    </w:p>
    <w:p w14:paraId="382B160E" w14:textId="551D608D" w:rsidR="00F2209C" w:rsidRPr="00432418" w:rsidRDefault="00F2209C" w:rsidP="00D741F4">
      <w:pPr>
        <w:pStyle w:val="NoSpacing"/>
        <w:numPr>
          <w:ilvl w:val="4"/>
          <w:numId w:val="17"/>
        </w:numPr>
        <w:rPr>
          <w:sz w:val="20"/>
          <w:szCs w:val="20"/>
        </w:rPr>
      </w:pPr>
      <w:r w:rsidRPr="00432418">
        <w:rPr>
          <w:sz w:val="20"/>
          <w:szCs w:val="20"/>
        </w:rPr>
        <w:t>Documented ADE/ADR to preferred agents</w:t>
      </w:r>
      <w:r w:rsidR="006721CB">
        <w:rPr>
          <w:sz w:val="20"/>
          <w:szCs w:val="20"/>
        </w:rPr>
        <w:t xml:space="preserve">; </w:t>
      </w:r>
      <w:r w:rsidR="006721CB" w:rsidRPr="006721CB">
        <w:rPr>
          <w:b/>
          <w:bCs/>
          <w:color w:val="1F497D" w:themeColor="text2"/>
          <w:sz w:val="20"/>
          <w:szCs w:val="20"/>
        </w:rPr>
        <w:t>OR</w:t>
      </w:r>
    </w:p>
    <w:p w14:paraId="2FC52A48" w14:textId="21E0FB46" w:rsidR="00AA7991" w:rsidRPr="00885AF3" w:rsidRDefault="00337C7C" w:rsidP="00336891">
      <w:pPr>
        <w:pStyle w:val="NoSpacing"/>
        <w:numPr>
          <w:ilvl w:val="2"/>
          <w:numId w:val="17"/>
        </w:numPr>
        <w:rPr>
          <w:b/>
          <w:bCs/>
          <w:color w:val="1F497D" w:themeColor="text2"/>
          <w:sz w:val="20"/>
          <w:szCs w:val="20"/>
        </w:rPr>
      </w:pPr>
      <w:r w:rsidRPr="00885AF3">
        <w:rPr>
          <w:b/>
          <w:bCs/>
          <w:color w:val="1F497D" w:themeColor="text2"/>
          <w:sz w:val="20"/>
          <w:szCs w:val="20"/>
        </w:rPr>
        <w:t xml:space="preserve">Participant </w:t>
      </w:r>
      <w:r w:rsidR="009722E5">
        <w:rPr>
          <w:b/>
          <w:bCs/>
          <w:color w:val="1F497D" w:themeColor="text2"/>
          <w:sz w:val="20"/>
          <w:szCs w:val="20"/>
        </w:rPr>
        <w:t>ha</w:t>
      </w:r>
      <w:r w:rsidR="00F0489B" w:rsidRPr="00885AF3">
        <w:rPr>
          <w:b/>
          <w:bCs/>
          <w:color w:val="1F497D" w:themeColor="text2"/>
          <w:sz w:val="20"/>
          <w:szCs w:val="20"/>
        </w:rPr>
        <w:t xml:space="preserve">s </w:t>
      </w:r>
      <w:r w:rsidR="009722E5">
        <w:rPr>
          <w:b/>
          <w:bCs/>
          <w:color w:val="1F497D" w:themeColor="text2"/>
          <w:sz w:val="20"/>
          <w:szCs w:val="20"/>
        </w:rPr>
        <w:t xml:space="preserve">documented </w:t>
      </w:r>
      <w:r w:rsidR="00A266D2">
        <w:rPr>
          <w:b/>
          <w:bCs/>
          <w:color w:val="1F497D" w:themeColor="text2"/>
          <w:sz w:val="20"/>
          <w:szCs w:val="20"/>
        </w:rPr>
        <w:t>anti-LRP4</w:t>
      </w:r>
      <w:r w:rsidR="007D5BED">
        <w:rPr>
          <w:b/>
          <w:bCs/>
          <w:color w:val="1F497D" w:themeColor="text2"/>
          <w:sz w:val="20"/>
          <w:szCs w:val="20"/>
        </w:rPr>
        <w:t xml:space="preserve"> antibody positive or </w:t>
      </w:r>
      <w:r w:rsidR="00E571BF">
        <w:rPr>
          <w:b/>
          <w:bCs/>
          <w:color w:val="1F497D" w:themeColor="text2"/>
          <w:sz w:val="20"/>
          <w:szCs w:val="20"/>
        </w:rPr>
        <w:t>seronegative</w:t>
      </w:r>
      <w:r w:rsidR="0001487D">
        <w:rPr>
          <w:b/>
          <w:bCs/>
          <w:color w:val="1F497D" w:themeColor="text2"/>
          <w:sz w:val="20"/>
          <w:szCs w:val="20"/>
        </w:rPr>
        <w:t xml:space="preserve"> gMG</w:t>
      </w:r>
      <w:r w:rsidR="00424D9D">
        <w:rPr>
          <w:b/>
          <w:bCs/>
          <w:color w:val="1F497D" w:themeColor="text2"/>
          <w:sz w:val="20"/>
          <w:szCs w:val="20"/>
        </w:rPr>
        <w:t xml:space="preserve"> </w:t>
      </w:r>
      <w:r w:rsidR="00F0489B" w:rsidRPr="00885AF3">
        <w:rPr>
          <w:b/>
          <w:bCs/>
          <w:color w:val="1F497D" w:themeColor="text2"/>
          <w:sz w:val="20"/>
          <w:szCs w:val="20"/>
        </w:rPr>
        <w:t>and claim is for Vyvgart</w:t>
      </w:r>
      <w:r w:rsidR="007D5BED">
        <w:rPr>
          <w:b/>
          <w:bCs/>
          <w:color w:val="1F497D" w:themeColor="text2"/>
          <w:sz w:val="20"/>
          <w:szCs w:val="20"/>
        </w:rPr>
        <w:t>.</w:t>
      </w:r>
    </w:p>
    <w:p w14:paraId="788D5564" w14:textId="77777777" w:rsidR="00580FDC" w:rsidRDefault="00580FDC" w:rsidP="00483461">
      <w:pPr>
        <w:pStyle w:val="NoSpacing"/>
        <w:ind w:left="360"/>
        <w:rPr>
          <w:sz w:val="20"/>
          <w:szCs w:val="20"/>
        </w:rPr>
      </w:pPr>
    </w:p>
    <w:p w14:paraId="67F9D6FF" w14:textId="2F91699C" w:rsidR="00F2209C" w:rsidRPr="00B31ACD" w:rsidRDefault="00F2209C" w:rsidP="00F2209C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483461">
        <w:rPr>
          <w:b/>
          <w:sz w:val="20"/>
          <w:szCs w:val="20"/>
        </w:rPr>
        <w:t>For a documented diagnosis of CIDP</w:t>
      </w:r>
      <w:r w:rsidR="00E714E7">
        <w:rPr>
          <w:sz w:val="20"/>
          <w:szCs w:val="20"/>
        </w:rPr>
        <w:t xml:space="preserve"> – must meet all of the following:</w:t>
      </w:r>
    </w:p>
    <w:p w14:paraId="569991C9" w14:textId="77777777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t>Claim is for Vyvgart Hytrulo;</w:t>
      </w:r>
    </w:p>
    <w:p w14:paraId="5C7AB225" w14:textId="45CE6CAC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lastRenderedPageBreak/>
        <w:t>Documented baseline measure of disability using a validated measure of impairment (e.g., Inflammatory Rasch-built Overall Disability Scale [I-RODS], Inflammatory Neuropathy Cause and Treatment Disability Scale [INCAT]);</w:t>
      </w:r>
    </w:p>
    <w:p w14:paraId="6A112562" w14:textId="77777777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t>Documented baseline quantitative grip measure (e.g., Jamar or Vigorimeter dynamometer); AND</w:t>
      </w:r>
    </w:p>
    <w:p w14:paraId="2ED408AE" w14:textId="77777777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t>Documented therapeutic trial of IVIG or SCIG in the past 12 months.</w:t>
      </w:r>
    </w:p>
    <w:p w14:paraId="1DDF451A" w14:textId="77777777" w:rsidR="00452F7C" w:rsidRDefault="00452F7C" w:rsidP="00483461">
      <w:pPr>
        <w:pStyle w:val="ListParagraph"/>
        <w:numPr>
          <w:ilvl w:val="0"/>
          <w:numId w:val="0"/>
        </w:numPr>
        <w:ind w:left="360"/>
        <w:jc w:val="both"/>
        <w:rPr>
          <w:rFonts w:cs="Arial"/>
          <w:b/>
          <w:color w:val="1F497D" w:themeColor="text2"/>
          <w:szCs w:val="20"/>
        </w:rPr>
      </w:pPr>
    </w:p>
    <w:p w14:paraId="03BF7889" w14:textId="27C724E6" w:rsidR="00413FA2" w:rsidRPr="009111A2" w:rsidRDefault="00413FA2" w:rsidP="00413FA2">
      <w:pPr>
        <w:pStyle w:val="ListParagraph"/>
        <w:numPr>
          <w:ilvl w:val="0"/>
          <w:numId w:val="28"/>
        </w:numPr>
        <w:jc w:val="both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For a documented diagnosis of Immunoglobulin G4-Related Disease (IgG4-RD)</w:t>
      </w:r>
      <w:r w:rsidR="00D81874" w:rsidRPr="009111A2">
        <w:rPr>
          <w:rFonts w:cs="Arial"/>
          <w:b/>
          <w:color w:val="1F497D" w:themeColor="text2"/>
          <w:szCs w:val="20"/>
        </w:rPr>
        <w:t xml:space="preserve"> – must meet all of the following:</w:t>
      </w:r>
    </w:p>
    <w:p w14:paraId="3C224F2D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Claim is for Uplizna;</w:t>
      </w:r>
    </w:p>
    <w:p w14:paraId="0B444E0A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Documented diagnosis of Immunoglobulin G4-Related Disease (IgG4-RD);</w:t>
      </w:r>
    </w:p>
    <w:p w14:paraId="56727D32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Participant required corticosteroids to control disease flare within the past 3 months; AND</w:t>
      </w:r>
    </w:p>
    <w:p w14:paraId="0139BD69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jc w:val="both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Participant has confirmed history of organ involvement.</w:t>
      </w:r>
    </w:p>
    <w:p w14:paraId="6029B0C7" w14:textId="77777777" w:rsidR="00452F7C" w:rsidRDefault="00452F7C" w:rsidP="00483461">
      <w:pPr>
        <w:pStyle w:val="ListParagraph"/>
        <w:numPr>
          <w:ilvl w:val="0"/>
          <w:numId w:val="0"/>
        </w:numPr>
        <w:ind w:left="360"/>
        <w:rPr>
          <w:rFonts w:cs="Arial"/>
          <w:b/>
          <w:color w:val="1F497D" w:themeColor="text2"/>
          <w:szCs w:val="20"/>
        </w:rPr>
      </w:pPr>
    </w:p>
    <w:p w14:paraId="44D3A225" w14:textId="59B06BF0" w:rsidR="005978B5" w:rsidRPr="00D1720B" w:rsidRDefault="00B02671" w:rsidP="005978B5">
      <w:pPr>
        <w:pStyle w:val="ListParagraph"/>
        <w:numPr>
          <w:ilvl w:val="0"/>
          <w:numId w:val="28"/>
        </w:numPr>
        <w:rPr>
          <w:rFonts w:cs="Arial"/>
          <w:b/>
          <w:color w:val="1F497D" w:themeColor="text2"/>
          <w:szCs w:val="20"/>
        </w:rPr>
      </w:pPr>
      <w:r w:rsidRPr="005978B5">
        <w:rPr>
          <w:rFonts w:cs="Arial"/>
          <w:b/>
          <w:color w:val="1F497D" w:themeColor="text2"/>
          <w:szCs w:val="20"/>
        </w:rPr>
        <w:t xml:space="preserve">For a documented diagnosis of </w:t>
      </w:r>
      <w:r w:rsidR="004377B6" w:rsidRPr="005978B5">
        <w:rPr>
          <w:rFonts w:cs="Arial"/>
          <w:b/>
          <w:color w:val="1F497D" w:themeColor="text2"/>
          <w:szCs w:val="20"/>
        </w:rPr>
        <w:t>neuromyelitis optica spectrum disorder (NMOSD)</w:t>
      </w:r>
      <w:r w:rsidR="005978B5" w:rsidRPr="005978B5">
        <w:rPr>
          <w:rFonts w:cs="Arial"/>
          <w:b/>
          <w:color w:val="1F497D" w:themeColor="text2"/>
          <w:szCs w:val="20"/>
        </w:rPr>
        <w:t xml:space="preserve"> </w:t>
      </w:r>
      <w:r w:rsidRPr="005978B5">
        <w:rPr>
          <w:rFonts w:cs="Arial"/>
          <w:b/>
          <w:color w:val="1F497D" w:themeColor="text2"/>
          <w:szCs w:val="20"/>
        </w:rPr>
        <w:t xml:space="preserve">– must meet </w:t>
      </w:r>
      <w:r w:rsidRPr="00D1720B">
        <w:rPr>
          <w:rFonts w:cs="Arial"/>
          <w:b/>
          <w:color w:val="1F497D" w:themeColor="text2"/>
          <w:szCs w:val="20"/>
        </w:rPr>
        <w:t>all</w:t>
      </w:r>
      <w:r w:rsidR="005978B5" w:rsidRPr="00D1720B">
        <w:rPr>
          <w:rFonts w:cs="Arial"/>
          <w:b/>
          <w:color w:val="1F497D" w:themeColor="text2"/>
          <w:szCs w:val="20"/>
        </w:rPr>
        <w:t xml:space="preserve"> of the following:</w:t>
      </w:r>
    </w:p>
    <w:p w14:paraId="22CE2955" w14:textId="2C62505C" w:rsidR="0045290A" w:rsidRPr="00D1720B" w:rsidRDefault="0045290A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D1720B">
        <w:rPr>
          <w:rFonts w:cs="Arial"/>
          <w:b/>
          <w:color w:val="1F497D" w:themeColor="text2"/>
          <w:szCs w:val="20"/>
        </w:rPr>
        <w:t>Claim is for Uplizna;</w:t>
      </w:r>
    </w:p>
    <w:p w14:paraId="060040B6" w14:textId="2A29DB48" w:rsidR="005978B5" w:rsidRPr="00CA5038" w:rsidRDefault="005978B5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CA5038">
        <w:rPr>
          <w:rFonts w:cs="Arial"/>
          <w:b/>
          <w:color w:val="1F497D" w:themeColor="text2"/>
          <w:szCs w:val="20"/>
        </w:rPr>
        <w:t>Documented diagnosis of neuromyelitis optica spectrum disorder (NMOSD);</w:t>
      </w:r>
    </w:p>
    <w:p w14:paraId="52BF3360" w14:textId="4C8E4E1A" w:rsidR="005978B5" w:rsidRPr="00CA5038" w:rsidRDefault="005978B5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CA5038">
        <w:rPr>
          <w:rFonts w:cs="Arial"/>
          <w:b/>
          <w:color w:val="1F497D" w:themeColor="text2"/>
          <w:szCs w:val="20"/>
        </w:rPr>
        <w:t>Participant is seropositive for anti-aquaporin-4 (AQP4) antibodies;</w:t>
      </w:r>
    </w:p>
    <w:p w14:paraId="0C22B8A1" w14:textId="6AAC9CDA" w:rsidR="005978B5" w:rsidRPr="00CA5038" w:rsidRDefault="005978B5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CA5038">
        <w:rPr>
          <w:rFonts w:cs="Arial"/>
          <w:b/>
          <w:color w:val="1F497D" w:themeColor="text2"/>
          <w:szCs w:val="20"/>
        </w:rPr>
        <w:t>Documented baseline number and frequency of acute attacks</w:t>
      </w:r>
      <w:r w:rsidR="005B148B">
        <w:rPr>
          <w:rFonts w:cs="Arial"/>
          <w:b/>
          <w:color w:val="1F497D" w:themeColor="text2"/>
          <w:szCs w:val="20"/>
        </w:rPr>
        <w:t>; AND</w:t>
      </w:r>
    </w:p>
    <w:p w14:paraId="5F721ABD" w14:textId="7F7356B9" w:rsidR="005978B5" w:rsidRPr="00483461" w:rsidRDefault="005978B5" w:rsidP="12360DF4">
      <w:pPr>
        <w:pStyle w:val="ListParagraph"/>
        <w:tabs>
          <w:tab w:val="left" w:pos="720"/>
        </w:tabs>
        <w:ind w:left="720"/>
        <w:rPr>
          <w:rFonts w:cs="Arial"/>
          <w:b/>
          <w:color w:val="1F497D" w:themeColor="text2"/>
          <w:szCs w:val="20"/>
        </w:rPr>
      </w:pPr>
      <w:r w:rsidRPr="12360DF4">
        <w:rPr>
          <w:rFonts w:cs="Arial"/>
          <w:b/>
          <w:color w:val="1F497D" w:themeColor="text2"/>
        </w:rPr>
        <w:t>Documented therapeutic trial of Enspryng (trial defined as at least 6 months of therapy)</w:t>
      </w:r>
      <w:r w:rsidR="004F1F1C" w:rsidRPr="12360DF4">
        <w:rPr>
          <w:rFonts w:cs="Arial"/>
          <w:b/>
          <w:color w:val="1F497D" w:themeColor="text2"/>
        </w:rPr>
        <w:t xml:space="preserve">; criteria for Enspryng can be found in the </w:t>
      </w:r>
      <w:r w:rsidR="00D6139C" w:rsidRPr="12360DF4">
        <w:rPr>
          <w:rFonts w:cs="Arial"/>
          <w:b/>
          <w:color w:val="1F497D" w:themeColor="text2"/>
        </w:rPr>
        <w:t xml:space="preserve">Targeted Immune Modulators, Interleukin-6 (IL-6) Receptor Inhibitors PDL Edit located here </w:t>
      </w:r>
      <w:hyperlink r:id="rId12">
        <w:r w:rsidR="00D6139C" w:rsidRPr="12360DF4">
          <w:rPr>
            <w:rStyle w:val="Hyperlink"/>
            <w:rFonts w:cs="Arial"/>
            <w:b/>
            <w:bCs/>
            <w:color w:val="1F497D" w:themeColor="text2"/>
          </w:rPr>
          <w:t>Pharmacy Clinical Edits and Preferred Drug Lists | mydss.mo.gov.</w:t>
        </w:r>
      </w:hyperlink>
    </w:p>
    <w:p w14:paraId="18F98F7B" w14:textId="77777777" w:rsidR="00D216AA" w:rsidRDefault="00D216AA" w:rsidP="00635DDB">
      <w:pPr>
        <w:rPr>
          <w:b/>
          <w:bCs/>
        </w:rPr>
      </w:pPr>
    </w:p>
    <w:p w14:paraId="7EC2017B" w14:textId="101BE3A9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7AFEDC06" w14:textId="77777777" w:rsidR="00820752" w:rsidRDefault="00820752" w:rsidP="00820752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Diagnosis-specific documentation as detailed below:</w:t>
      </w:r>
    </w:p>
    <w:p w14:paraId="1E4BCAD1" w14:textId="77777777" w:rsidR="00820752" w:rsidRDefault="00820752" w:rsidP="00820752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gMG:</w:t>
      </w:r>
    </w:p>
    <w:p w14:paraId="790B0E9A" w14:textId="20F3F0F6" w:rsidR="00820752" w:rsidRPr="000733CA" w:rsidRDefault="00820752" w:rsidP="12360DF4">
      <w:pPr>
        <w:pStyle w:val="ListParagraph"/>
        <w:jc w:val="both"/>
        <w:rPr>
          <w:rFonts w:cs="Arial"/>
        </w:rPr>
      </w:pPr>
      <w:r w:rsidRPr="12360DF4">
        <w:rPr>
          <w:rFonts w:cs="Arial"/>
        </w:rPr>
        <w:t>Documented improvement of at least 2 points in total MG-ADL score or 3 points in total QMG score from baseline.</w:t>
      </w:r>
    </w:p>
    <w:p w14:paraId="383C16D1" w14:textId="59BDDC9A" w:rsidR="00820752" w:rsidRPr="000D346B" w:rsidRDefault="00820752" w:rsidP="00820752">
      <w:pPr>
        <w:pStyle w:val="ListParagraph"/>
        <w:numPr>
          <w:ilvl w:val="2"/>
          <w:numId w:val="18"/>
        </w:numPr>
        <w:jc w:val="both"/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 xml:space="preserve">Additional continuation criteria for Vyvgart and Vyvgart Hytrulo: </w:t>
      </w:r>
    </w:p>
    <w:p w14:paraId="744426EA" w14:textId="77777777" w:rsidR="00820752" w:rsidRPr="000D346B" w:rsidRDefault="00820752" w:rsidP="001B2BA1">
      <w:pPr>
        <w:pStyle w:val="ListParagraph"/>
        <w:numPr>
          <w:ilvl w:val="3"/>
          <w:numId w:val="18"/>
        </w:numPr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>Minimum time between treatment cycles should be no less than 50 days from the start of previous treatment cycle and the start of the next treatment cycle.</w:t>
      </w:r>
    </w:p>
    <w:p w14:paraId="7595DAC9" w14:textId="77777777" w:rsidR="00820752" w:rsidRPr="000D346B" w:rsidRDefault="00820752" w:rsidP="001B2BA1">
      <w:pPr>
        <w:pStyle w:val="NoSpacing"/>
        <w:numPr>
          <w:ilvl w:val="2"/>
          <w:numId w:val="18"/>
        </w:numPr>
        <w:rPr>
          <w:bCs/>
          <w:sz w:val="20"/>
          <w:szCs w:val="20"/>
        </w:rPr>
      </w:pPr>
      <w:r w:rsidRPr="000D346B">
        <w:rPr>
          <w:bCs/>
          <w:sz w:val="20"/>
          <w:szCs w:val="20"/>
        </w:rPr>
        <w:t xml:space="preserve">Additional continuation criteria for Rystiggo: </w:t>
      </w:r>
    </w:p>
    <w:p w14:paraId="10F753EC" w14:textId="77777777" w:rsidR="00820752" w:rsidRDefault="00820752" w:rsidP="001B2BA1">
      <w:pPr>
        <w:pStyle w:val="NoSpacing"/>
        <w:numPr>
          <w:ilvl w:val="3"/>
          <w:numId w:val="18"/>
        </w:numPr>
        <w:rPr>
          <w:bCs/>
          <w:sz w:val="20"/>
          <w:szCs w:val="20"/>
        </w:rPr>
      </w:pPr>
      <w:r w:rsidRPr="000D346B">
        <w:rPr>
          <w:bCs/>
          <w:sz w:val="20"/>
          <w:szCs w:val="20"/>
        </w:rPr>
        <w:t>Minimum time between treatment cycles should be no less than 63 days from the start of previous treatment cycle and the start of the next treatment cycle.</w:t>
      </w:r>
    </w:p>
    <w:p w14:paraId="7B5B44CB" w14:textId="77777777" w:rsidR="00820752" w:rsidRPr="007153C6" w:rsidRDefault="00820752" w:rsidP="001B2BA1">
      <w:pPr>
        <w:pStyle w:val="NoSpacing"/>
        <w:numPr>
          <w:ilvl w:val="1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>CIDP:</w:t>
      </w:r>
    </w:p>
    <w:p w14:paraId="776B2B8F" w14:textId="77777777" w:rsidR="00820752" w:rsidRPr="007153C6" w:rsidRDefault="00820752" w:rsidP="001B2BA1">
      <w:pPr>
        <w:pStyle w:val="NoSpacing"/>
        <w:numPr>
          <w:ilvl w:val="2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>Clinical benefit of therapy demonstrated by all of the following:</w:t>
      </w:r>
    </w:p>
    <w:p w14:paraId="65730B0D" w14:textId="77777777" w:rsidR="00820752" w:rsidRPr="007153C6" w:rsidRDefault="00820752" w:rsidP="001B2BA1">
      <w:pPr>
        <w:pStyle w:val="NoSpacing"/>
        <w:numPr>
          <w:ilvl w:val="3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 xml:space="preserve">Improvement from baseline measure of disability; </w:t>
      </w:r>
      <w:r w:rsidRPr="00DC6BF5">
        <w:rPr>
          <w:b/>
          <w:sz w:val="20"/>
          <w:szCs w:val="20"/>
        </w:rPr>
        <w:t>AND</w:t>
      </w:r>
    </w:p>
    <w:p w14:paraId="097BE68A" w14:textId="77777777" w:rsidR="00820752" w:rsidRDefault="00820752" w:rsidP="001B2BA1">
      <w:pPr>
        <w:pStyle w:val="NoSpacing"/>
        <w:numPr>
          <w:ilvl w:val="3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>Improvement of quantitative grip measure.</w:t>
      </w:r>
    </w:p>
    <w:p w14:paraId="28942247" w14:textId="76A1AC73" w:rsidR="00F758C1" w:rsidRPr="009111A2" w:rsidRDefault="004C5C1A" w:rsidP="00F758C1">
      <w:pPr>
        <w:pStyle w:val="NoSpacing"/>
        <w:numPr>
          <w:ilvl w:val="1"/>
          <w:numId w:val="18"/>
        </w:numPr>
        <w:rPr>
          <w:b/>
          <w:color w:val="1F497D" w:themeColor="text2"/>
          <w:sz w:val="20"/>
          <w:szCs w:val="20"/>
        </w:rPr>
      </w:pPr>
      <w:r w:rsidRPr="009111A2">
        <w:rPr>
          <w:b/>
          <w:color w:val="1F497D" w:themeColor="text2"/>
          <w:sz w:val="20"/>
          <w:szCs w:val="20"/>
        </w:rPr>
        <w:t>IgG4-RD</w:t>
      </w:r>
      <w:r w:rsidR="00134343">
        <w:rPr>
          <w:b/>
          <w:color w:val="1F497D" w:themeColor="text2"/>
          <w:sz w:val="20"/>
          <w:szCs w:val="20"/>
        </w:rPr>
        <w:t xml:space="preserve"> and NMOSD</w:t>
      </w:r>
      <w:r w:rsidRPr="009111A2">
        <w:rPr>
          <w:b/>
          <w:color w:val="1F497D" w:themeColor="text2"/>
          <w:sz w:val="20"/>
          <w:szCs w:val="20"/>
        </w:rPr>
        <w:t>:</w:t>
      </w:r>
    </w:p>
    <w:p w14:paraId="15179270" w14:textId="5F197467" w:rsidR="004C5C1A" w:rsidRPr="009111A2" w:rsidRDefault="009111A2" w:rsidP="009111A2">
      <w:pPr>
        <w:pStyle w:val="ListParagraph"/>
        <w:numPr>
          <w:ilvl w:val="2"/>
          <w:numId w:val="18"/>
        </w:numPr>
        <w:rPr>
          <w:rFonts w:eastAsia="Arial"/>
          <w:b/>
          <w:color w:val="1F497D" w:themeColor="text2"/>
          <w:szCs w:val="20"/>
        </w:rPr>
      </w:pPr>
      <w:r w:rsidRPr="009111A2">
        <w:rPr>
          <w:rFonts w:eastAsia="Arial"/>
          <w:b/>
          <w:color w:val="1F497D" w:themeColor="text2"/>
          <w:szCs w:val="20"/>
        </w:rPr>
        <w:t>Documentation of decrease or stabilization in number and frequency of flares from baseline.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3393631A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247F0BF0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</w:p>
    <w:p w14:paraId="4A87D710" w14:textId="77777777" w:rsidR="00932422" w:rsidRPr="00A33FF6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Participant is currently pregnant;</w:t>
      </w:r>
    </w:p>
    <w:p w14:paraId="62FE896F" w14:textId="23CDA2E6" w:rsidR="008A154D" w:rsidRPr="008A154D" w:rsidRDefault="008A154D" w:rsidP="00932422">
      <w:pPr>
        <w:pStyle w:val="ListParagraph"/>
        <w:numPr>
          <w:ilvl w:val="1"/>
          <w:numId w:val="6"/>
        </w:numPr>
        <w:rPr>
          <w:rFonts w:cs="Arial"/>
          <w:b/>
          <w:bCs/>
          <w:noProof/>
          <w:color w:val="1F497D" w:themeColor="text2"/>
          <w:szCs w:val="20"/>
        </w:rPr>
      </w:pPr>
      <w:r w:rsidRPr="008A154D">
        <w:rPr>
          <w:rFonts w:cs="Arial"/>
          <w:b/>
          <w:bCs/>
          <w:noProof/>
          <w:color w:val="1F497D" w:themeColor="text2"/>
          <w:szCs w:val="20"/>
        </w:rPr>
        <w:t>Dose exceeds 300 mg per infusion (Uplizna);</w:t>
      </w:r>
    </w:p>
    <w:p w14:paraId="58524DEA" w14:textId="5D496041" w:rsidR="00932422" w:rsidRPr="00A33FF6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Dose exceeds 1,200 mg (60 mL) per infusion (Vyvgart);</w:t>
      </w:r>
    </w:p>
    <w:p w14:paraId="6883E053" w14:textId="77777777" w:rsidR="00932422" w:rsidRPr="00A33FF6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Dose exceeds 1,008 mg/11,200 units (5.6 mL) per injection (Vyvgart Hytrulo);</w:t>
      </w:r>
      <w:r w:rsidRPr="00B02D55">
        <w:rPr>
          <w:rFonts w:cs="Arial"/>
          <w:b/>
          <w:bCs/>
          <w:noProof/>
          <w:szCs w:val="20"/>
        </w:rPr>
        <w:t xml:space="preserve"> </w:t>
      </w:r>
      <w:r w:rsidRPr="00A33FF6">
        <w:rPr>
          <w:rFonts w:cs="Arial"/>
          <w:b/>
          <w:bCs/>
          <w:noProof/>
          <w:szCs w:val="20"/>
        </w:rPr>
        <w:t>OR</w:t>
      </w:r>
    </w:p>
    <w:p w14:paraId="2641B396" w14:textId="77777777" w:rsidR="00932422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Dose exceeds 840 mg (6 mL) per infusion (Rystiggo)</w:t>
      </w:r>
      <w:r>
        <w:rPr>
          <w:rFonts w:cs="Arial"/>
          <w:noProof/>
          <w:szCs w:val="20"/>
        </w:rPr>
        <w:t>.</w:t>
      </w:r>
    </w:p>
    <w:p w14:paraId="41933664" w14:textId="77777777" w:rsidR="00932422" w:rsidRPr="00A33FF6" w:rsidRDefault="00932422" w:rsidP="00932422">
      <w:pPr>
        <w:pStyle w:val="ListParagraph"/>
        <w:rPr>
          <w:noProof/>
        </w:rPr>
      </w:pPr>
      <w:r>
        <w:rPr>
          <w:noProof/>
        </w:rPr>
        <w:t>Additional denial criteria for documented diagnosis of gMG:</w:t>
      </w:r>
      <w:r w:rsidRPr="00A33FF6">
        <w:rPr>
          <w:noProof/>
        </w:rPr>
        <w:t xml:space="preserve"> </w:t>
      </w:r>
    </w:p>
    <w:p w14:paraId="479A7D4F" w14:textId="77777777" w:rsidR="00932422" w:rsidRPr="00B2440F" w:rsidRDefault="00932422" w:rsidP="00495A53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</w:rPr>
      </w:pPr>
      <w:r w:rsidRPr="12360DF4">
        <w:rPr>
          <w:rFonts w:cs="Arial"/>
        </w:rPr>
        <w:t>Concurrent therapy with a systemic complement inhibitor</w:t>
      </w:r>
      <w:r w:rsidRPr="00B2440F">
        <w:rPr>
          <w:rFonts w:cs="Arial"/>
          <w:b/>
          <w:strike/>
          <w:color w:val="1F497D" w:themeColor="text2"/>
        </w:rPr>
        <w:t>; OR</w:t>
      </w:r>
    </w:p>
    <w:p w14:paraId="0CC61785" w14:textId="384DB0BE" w:rsidR="00932422" w:rsidRPr="00B2440F" w:rsidRDefault="00932422" w:rsidP="00495A53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</w:rPr>
      </w:pPr>
      <w:r w:rsidRPr="00B2440F">
        <w:rPr>
          <w:rFonts w:cs="Arial"/>
          <w:b/>
          <w:strike/>
          <w:color w:val="1F497D" w:themeColor="text2"/>
        </w:rPr>
        <w:t>Therapy exceeds 24 infusions/injections per year.</w:t>
      </w:r>
    </w:p>
    <w:p w14:paraId="4D21EAF1" w14:textId="7235D914" w:rsidR="001E4CBA" w:rsidRPr="002C2C41" w:rsidRDefault="7E0E5BF1" w:rsidP="00B2440F">
      <w:pPr>
        <w:spacing w:line="259" w:lineRule="auto"/>
        <w:rPr>
          <w:rFonts w:cs="Arial"/>
        </w:rPr>
      </w:pPr>
      <w:r w:rsidRPr="12360DF4">
        <w:rPr>
          <w:rFonts w:cs="Arial"/>
        </w:rPr>
        <w:lastRenderedPageBreak/>
        <w:t>.</w:t>
      </w: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D1D47DA" w14:textId="25201D3A" w:rsidR="00B95B89" w:rsidRPr="00B83359" w:rsidRDefault="00B95B89" w:rsidP="00B95B89">
      <w:pPr>
        <w:pStyle w:val="ListParagraph"/>
      </w:pPr>
      <w:r w:rsidRPr="00B83359">
        <w:t>Evidence-Based Medicine and Fiscal Analysis: “Therapeutic Class Review: IMMUNOLOGIC AGENTS: Targeted Immun</w:t>
      </w:r>
      <w:r w:rsidR="004B4BFB" w:rsidRPr="00B83359">
        <w:t>om</w:t>
      </w:r>
      <w:r w:rsidRPr="00B83359">
        <w:t>odulators</w:t>
      </w:r>
      <w:r w:rsidR="00B83359" w:rsidRPr="00B83359">
        <w:t xml:space="preserve">, Generalized Myasthenia Gravis”. </w:t>
      </w:r>
      <w:r w:rsidRPr="00B83359">
        <w:t>Gainwell Technologies; Last updated March 20, 2026.</w:t>
      </w:r>
    </w:p>
    <w:p w14:paraId="280DA2F1" w14:textId="2820C156" w:rsidR="000B6EE6" w:rsidRPr="00836BFF" w:rsidRDefault="29677022" w:rsidP="2DE39F0E">
      <w:pPr>
        <w:pStyle w:val="ListParagraph"/>
        <w:rPr>
          <w:shd w:val="clear" w:color="auto" w:fill="FFFFFF"/>
        </w:rPr>
      </w:pPr>
      <w:r w:rsidRPr="2DE39F0E">
        <w:rPr>
          <w:rFonts w:eastAsia="Arial" w:cs="Arial"/>
          <w:color w:val="000000" w:themeColor="text1"/>
          <w:szCs w:val="20"/>
        </w:rPr>
        <w:t>Evidence-Based Medicine Analysis: “Neonatal Fc Receptor Antagonists”, UMKC-DIC; May 2026.</w:t>
      </w:r>
      <w:r w:rsidRPr="2DE39F0E">
        <w:t xml:space="preserve"> </w:t>
      </w:r>
    </w:p>
    <w:p w14:paraId="474DD632" w14:textId="284E4CD6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Vyvgart [package insert]. Boston, MA: argenx BV; </w:t>
      </w:r>
      <w:r w:rsidR="00866EE9">
        <w:rPr>
          <w:shd w:val="clear" w:color="auto" w:fill="FFFFFF"/>
        </w:rPr>
        <w:t>May 2026</w:t>
      </w:r>
      <w:r w:rsidRPr="00836BFF">
        <w:rPr>
          <w:shd w:val="clear" w:color="auto" w:fill="FFFFFF"/>
        </w:rPr>
        <w:t>.</w:t>
      </w:r>
    </w:p>
    <w:p w14:paraId="101F06B9" w14:textId="34114850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Vyvgart Hytrulo [package insert]. Boston, MA: argenx BV; </w:t>
      </w:r>
      <w:r w:rsidR="00486C21">
        <w:rPr>
          <w:shd w:val="clear" w:color="auto" w:fill="FFFFFF"/>
        </w:rPr>
        <w:t>May 2026</w:t>
      </w:r>
      <w:r w:rsidRPr="00836BFF">
        <w:rPr>
          <w:shd w:val="clear" w:color="auto" w:fill="FFFFFF"/>
        </w:rPr>
        <w:t>.</w:t>
      </w:r>
    </w:p>
    <w:p w14:paraId="506321BC" w14:textId="633DFB82" w:rsidR="00877783" w:rsidRPr="006675F9" w:rsidRDefault="00877783" w:rsidP="00877783">
      <w:pPr>
        <w:pStyle w:val="ListParagraph"/>
        <w:rPr>
          <w:shd w:val="clear" w:color="auto" w:fill="FFFFFF"/>
        </w:rPr>
      </w:pPr>
      <w:r w:rsidRPr="006675F9">
        <w:rPr>
          <w:shd w:val="clear" w:color="auto" w:fill="FFFFFF"/>
        </w:rPr>
        <w:t>Uplizna</w:t>
      </w:r>
      <w:r w:rsidRPr="006675F9">
        <w:rPr>
          <w:shd w:val="clear" w:color="auto" w:fill="FFFFFF"/>
          <w:vertAlign w:val="superscript"/>
        </w:rPr>
        <w:t>®</w:t>
      </w:r>
      <w:r w:rsidRPr="006675F9">
        <w:rPr>
          <w:shd w:val="clear" w:color="auto" w:fill="FFFFFF"/>
        </w:rPr>
        <w:t xml:space="preserve"> (inebilizumab-cdon) [package insert]. </w:t>
      </w:r>
      <w:r>
        <w:rPr>
          <w:shd w:val="clear" w:color="auto" w:fill="FFFFFF"/>
        </w:rPr>
        <w:t>Dublin, Ireland</w:t>
      </w:r>
      <w:r w:rsidRPr="006675F9">
        <w:rPr>
          <w:shd w:val="clear" w:color="auto" w:fill="FFFFFF"/>
        </w:rPr>
        <w:t xml:space="preserve">: </w:t>
      </w:r>
      <w:r>
        <w:rPr>
          <w:shd w:val="clear" w:color="auto" w:fill="FFFFFF"/>
        </w:rPr>
        <w:t>Horizon Therapeutics</w:t>
      </w:r>
      <w:r w:rsidRPr="006675F9">
        <w:rPr>
          <w:shd w:val="clear" w:color="auto" w:fill="FFFFFF"/>
        </w:rPr>
        <w:t xml:space="preserve">; </w:t>
      </w:r>
      <w:r w:rsidR="00B43610">
        <w:rPr>
          <w:shd w:val="clear" w:color="auto" w:fill="FFFFFF"/>
        </w:rPr>
        <w:t>December</w:t>
      </w:r>
      <w:r>
        <w:rPr>
          <w:shd w:val="clear" w:color="auto" w:fill="FFFFFF"/>
        </w:rPr>
        <w:t xml:space="preserve"> 2025</w:t>
      </w:r>
      <w:r w:rsidRPr="006675F9">
        <w:rPr>
          <w:shd w:val="clear" w:color="auto" w:fill="FFFFFF"/>
        </w:rPr>
        <w:t>.</w:t>
      </w:r>
    </w:p>
    <w:p w14:paraId="1151906C" w14:textId="416FFC9F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Rystiggo [package insert]. Smyrna, GA: UCB, Inc.; </w:t>
      </w:r>
      <w:r w:rsidR="00BA6FCE">
        <w:rPr>
          <w:shd w:val="clear" w:color="auto" w:fill="FFFFFF"/>
        </w:rPr>
        <w:t>December 2025</w:t>
      </w:r>
      <w:r w:rsidRPr="00836BFF">
        <w:rPr>
          <w:shd w:val="clear" w:color="auto" w:fill="FFFFFF"/>
        </w:rPr>
        <w:t>.</w:t>
      </w:r>
    </w:p>
    <w:p w14:paraId="534F6A8B" w14:textId="2B89923D" w:rsidR="009F0198" w:rsidRPr="006675F9" w:rsidRDefault="009F0198" w:rsidP="009F0198">
      <w:pPr>
        <w:pStyle w:val="ListParagraph"/>
        <w:rPr>
          <w:shd w:val="clear" w:color="auto" w:fill="FFFFFF"/>
        </w:rPr>
      </w:pPr>
      <w:r w:rsidRPr="006675F9">
        <w:rPr>
          <w:shd w:val="clear" w:color="auto" w:fill="FFFFFF"/>
        </w:rPr>
        <w:t>IPD Analytics. New Drug Review: Uplizna (inebilizumab-cdon)</w:t>
      </w:r>
      <w:r w:rsidRPr="006675F9" w:rsidDel="005A5E7D">
        <w:rPr>
          <w:shd w:val="clear" w:color="auto" w:fill="FFFFFF"/>
        </w:rPr>
        <w:t xml:space="preserve">. </w:t>
      </w:r>
      <w:r w:rsidRPr="006675F9">
        <w:rPr>
          <w:shd w:val="clear" w:color="auto" w:fill="FFFFFF"/>
        </w:rPr>
        <w:t>June 2020.</w:t>
      </w:r>
    </w:p>
    <w:p w14:paraId="011E2EF8" w14:textId="77777777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>IPD Analytics: New Drug Review: Vyvgart (efgartigimod alfa-fcab). January 2022.</w:t>
      </w:r>
    </w:p>
    <w:p w14:paraId="7DFC8840" w14:textId="77777777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>IPD Analytics. New Drug Review. Vyvgart Hytrulo (efgartigimod alfa and</w:t>
      </w:r>
    </w:p>
    <w:p w14:paraId="5C040D3D" w14:textId="77777777" w:rsidR="000B6EE6" w:rsidRPr="00836BFF" w:rsidRDefault="000B6EE6" w:rsidP="00B3716F">
      <w:pPr>
        <w:pStyle w:val="ListParagraph"/>
        <w:numPr>
          <w:ilvl w:val="0"/>
          <w:numId w:val="0"/>
        </w:numPr>
        <w:ind w:left="360"/>
        <w:rPr>
          <w:shd w:val="clear" w:color="auto" w:fill="FFFFFF"/>
        </w:rPr>
      </w:pPr>
      <w:r w:rsidRPr="00836BFF">
        <w:rPr>
          <w:shd w:val="clear" w:color="auto" w:fill="FFFFFF"/>
        </w:rPr>
        <w:t>hyaluronidase-qvfc). July 2023.</w:t>
      </w:r>
    </w:p>
    <w:p w14:paraId="227CCAA2" w14:textId="77777777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IPD Analytics. New Drug Review. Rystiggo (rozanolixizumab-noli). August 2023. </w:t>
      </w:r>
    </w:p>
    <w:p w14:paraId="10ED3D28" w14:textId="7B6FEBC7" w:rsidR="00390CBF" w:rsidRPr="00836BFF" w:rsidRDefault="00390CBF" w:rsidP="00390CBF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IPD Analytics. New Drug Review. </w:t>
      </w:r>
      <w:r>
        <w:rPr>
          <w:shd w:val="clear" w:color="auto" w:fill="FFFFFF"/>
        </w:rPr>
        <w:t>Imaavy</w:t>
      </w:r>
      <w:r w:rsidRPr="00836BFF">
        <w:rPr>
          <w:shd w:val="clear" w:color="auto" w:fill="FFFFFF"/>
        </w:rPr>
        <w:t xml:space="preserve"> (</w:t>
      </w:r>
      <w:r>
        <w:rPr>
          <w:shd w:val="clear" w:color="auto" w:fill="FFFFFF"/>
        </w:rPr>
        <w:t>nipocalimab-aahu</w:t>
      </w:r>
      <w:r w:rsidRPr="00836BFF">
        <w:rPr>
          <w:shd w:val="clear" w:color="auto" w:fill="FFFFFF"/>
        </w:rPr>
        <w:t xml:space="preserve">). </w:t>
      </w:r>
      <w:r w:rsidR="00A41ACE">
        <w:rPr>
          <w:shd w:val="clear" w:color="auto" w:fill="FFFFFF"/>
        </w:rPr>
        <w:t>May 2025</w:t>
      </w:r>
      <w:r w:rsidRPr="00836BFF">
        <w:rPr>
          <w:shd w:val="clear" w:color="auto" w:fill="FFFFFF"/>
        </w:rPr>
        <w:t xml:space="preserve">. </w:t>
      </w:r>
    </w:p>
    <w:p w14:paraId="28766ACA" w14:textId="32FE787C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>Narayanaswami P, Sanders DB, Wolfe G, et al. International Consensus Guidance for Management of Myasthenia Gravis: 2020 Update. Neurology. 2021;96(3):114-122. doi:10.1212/WNL.0000000000011124.</w:t>
      </w:r>
    </w:p>
    <w:p w14:paraId="61EB9B3A" w14:textId="77777777" w:rsidR="000B6EE6" w:rsidRPr="00836BFF" w:rsidRDefault="000B6EE6" w:rsidP="000B6EE6">
      <w:pPr>
        <w:pStyle w:val="ListParagraph"/>
        <w:rPr>
          <w:rStyle w:val="Hyperlink"/>
          <w:rFonts w:cs="Arial"/>
          <w:color w:val="auto"/>
          <w:szCs w:val="20"/>
          <w:u w:val="none"/>
          <w:shd w:val="clear" w:color="auto" w:fill="FFFFFF"/>
        </w:rPr>
      </w:pPr>
      <w:r w:rsidRPr="00836BFF">
        <w:t>Farmakidis C, Pasnoor M, Dimachkie M, Barohn RJ. Treatment of Myasthenia Gravis. </w:t>
      </w:r>
      <w:r w:rsidRPr="00836BFF">
        <w:rPr>
          <w:i/>
          <w:iCs/>
        </w:rPr>
        <w:t>NeurolClin</w:t>
      </w:r>
      <w:r w:rsidRPr="00836BFF">
        <w:t>, 2018;</w:t>
      </w:r>
      <w:r w:rsidRPr="00836BFF">
        <w:rPr>
          <w:i/>
          <w:iCs/>
        </w:rPr>
        <w:t>36</w:t>
      </w:r>
      <w:r w:rsidRPr="00836BFF">
        <w:t xml:space="preserve">(2);311–337. </w:t>
      </w:r>
      <w:hyperlink r:id="rId13" w:history="1">
        <w:r w:rsidRPr="00836BFF">
          <w:rPr>
            <w:rStyle w:val="Hyperlink"/>
            <w:rFonts w:cs="Arial"/>
            <w:szCs w:val="20"/>
          </w:rPr>
          <w:t>https://doi.org/10.1016/j.ncl.2018.01.011</w:t>
        </w:r>
      </w:hyperlink>
    </w:p>
    <w:p w14:paraId="26AEE3BA" w14:textId="77777777" w:rsidR="000B6EE6" w:rsidRPr="00836BFF" w:rsidRDefault="000B6EE6" w:rsidP="000B6EE6">
      <w:pPr>
        <w:pStyle w:val="ListParagraph"/>
        <w:rPr>
          <w:rStyle w:val="Hyperlink"/>
          <w:rFonts w:cs="Arial"/>
          <w:color w:val="auto"/>
          <w:szCs w:val="20"/>
          <w:u w:val="none"/>
          <w:shd w:val="clear" w:color="auto" w:fill="FFFFFF"/>
        </w:rPr>
      </w:pPr>
      <w:r w:rsidRPr="00836BFF">
        <w:t>Lascano AM, Lalive PH. Update in immunosuppressive therapy of myasthenia gravis. </w:t>
      </w:r>
      <w:r w:rsidRPr="00836BFF">
        <w:rPr>
          <w:i/>
          <w:iCs/>
        </w:rPr>
        <w:t>AutoimmunRev</w:t>
      </w:r>
      <w:r w:rsidRPr="00836BFF">
        <w:t>, 2021;</w:t>
      </w:r>
      <w:r w:rsidRPr="00836BFF">
        <w:rPr>
          <w:i/>
          <w:iCs/>
        </w:rPr>
        <w:t>20</w:t>
      </w:r>
      <w:r w:rsidRPr="00836BFF">
        <w:t xml:space="preserve">(1);102712. </w:t>
      </w:r>
      <w:hyperlink r:id="rId14" w:history="1">
        <w:r w:rsidRPr="00836BFF">
          <w:rPr>
            <w:rStyle w:val="Hyperlink"/>
            <w:rFonts w:cs="Arial"/>
            <w:szCs w:val="20"/>
          </w:rPr>
          <w:t>https://doi.org/10.1016/j.autrev.2020.102712</w:t>
        </w:r>
      </w:hyperlink>
    </w:p>
    <w:p w14:paraId="3FA1E7DB" w14:textId="1E632061" w:rsidR="00777CA4" w:rsidRDefault="000B6EE6" w:rsidP="000B6EE6">
      <w:pPr>
        <w:pStyle w:val="ListParagraph"/>
      </w:pPr>
      <w:r w:rsidRPr="00836BFF">
        <w:rPr>
          <w:shd w:val="clear" w:color="auto" w:fill="FFFFFF"/>
        </w:rPr>
        <w:t>Lewis RA, Muley SA. Chronic inflammatory demyelinating polyneuropathy: Treatment and prognosis. UpToDate. https://www.uptodate.com/contents/chronic-inflammatory-demyelinating-polyneuropathy-treatment-and-prognosis. Updated January 2025. Accessed June 12, 2025</w:t>
      </w:r>
      <w:r w:rsidR="00777CA4">
        <w:t>.</w:t>
      </w:r>
    </w:p>
    <w:sectPr w:rsidR="00777CA4" w:rsidSect="00AB0B9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E728" w14:textId="77777777" w:rsidR="00F37DD0" w:rsidRPr="00C02553" w:rsidRDefault="00F37DD0" w:rsidP="00AE77DB">
      <w:r w:rsidRPr="00C02553">
        <w:separator/>
      </w:r>
    </w:p>
  </w:endnote>
  <w:endnote w:type="continuationSeparator" w:id="0">
    <w:p w14:paraId="1357A856" w14:textId="77777777" w:rsidR="00F37DD0" w:rsidRPr="00C02553" w:rsidRDefault="00F37DD0" w:rsidP="00AE77DB">
      <w:r w:rsidRPr="00C02553">
        <w:continuationSeparator/>
      </w:r>
    </w:p>
  </w:endnote>
  <w:endnote w:type="continuationNotice" w:id="1">
    <w:p w14:paraId="7E9E49FF" w14:textId="77777777" w:rsidR="00F37DD0" w:rsidRPr="00C02553" w:rsidRDefault="00F37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5788" w14:textId="77777777" w:rsidR="00F37DD0" w:rsidRPr="00C02553" w:rsidRDefault="00F37DD0" w:rsidP="00AE77DB">
      <w:r w:rsidRPr="00C02553">
        <w:separator/>
      </w:r>
    </w:p>
  </w:footnote>
  <w:footnote w:type="continuationSeparator" w:id="0">
    <w:p w14:paraId="65C64313" w14:textId="77777777" w:rsidR="00F37DD0" w:rsidRPr="00C02553" w:rsidRDefault="00F37DD0" w:rsidP="00AE77DB">
      <w:r w:rsidRPr="00C02553">
        <w:continuationSeparator/>
      </w:r>
    </w:p>
  </w:footnote>
  <w:footnote w:type="continuationNotice" w:id="1">
    <w:p w14:paraId="09A12D3E" w14:textId="77777777" w:rsidR="00F37DD0" w:rsidRPr="00C02553" w:rsidRDefault="00F37D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E3093B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E3093B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3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093B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CD1C09"/>
    <w:multiLevelType w:val="hybridMultilevel"/>
    <w:tmpl w:val="5B4862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324CB2"/>
    <w:multiLevelType w:val="hybridMultilevel"/>
    <w:tmpl w:val="3D02C9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F300EA"/>
    <w:multiLevelType w:val="multilevel"/>
    <w:tmpl w:val="7604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3603DE"/>
    <w:multiLevelType w:val="multilevel"/>
    <w:tmpl w:val="308A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A4A"/>
    <w:multiLevelType w:val="multilevel"/>
    <w:tmpl w:val="DAD4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C12ECC"/>
    <w:multiLevelType w:val="hybridMultilevel"/>
    <w:tmpl w:val="E78EC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17EC3"/>
    <w:multiLevelType w:val="hybridMultilevel"/>
    <w:tmpl w:val="F5E63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7A1578"/>
    <w:multiLevelType w:val="multilevel"/>
    <w:tmpl w:val="829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064CF6"/>
    <w:multiLevelType w:val="hybridMultilevel"/>
    <w:tmpl w:val="8D84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5727F5"/>
    <w:multiLevelType w:val="multilevel"/>
    <w:tmpl w:val="5AF0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51389F"/>
    <w:multiLevelType w:val="multilevel"/>
    <w:tmpl w:val="DCA2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AE72DC"/>
    <w:multiLevelType w:val="multilevel"/>
    <w:tmpl w:val="43E0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994657">
    <w:abstractNumId w:val="0"/>
  </w:num>
  <w:num w:numId="2" w16cid:durableId="517891239">
    <w:abstractNumId w:val="25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18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4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22"/>
  </w:num>
  <w:num w:numId="13" w16cid:durableId="604729665">
    <w:abstractNumId w:val="7"/>
  </w:num>
  <w:num w:numId="14" w16cid:durableId="1805081292">
    <w:abstractNumId w:val="16"/>
  </w:num>
  <w:num w:numId="15" w16cid:durableId="1538271233">
    <w:abstractNumId w:val="19"/>
  </w:num>
  <w:num w:numId="16" w16cid:durableId="754521697">
    <w:abstractNumId w:val="5"/>
  </w:num>
  <w:num w:numId="17" w16cid:durableId="1650786804">
    <w:abstractNumId w:val="6"/>
  </w:num>
  <w:num w:numId="18" w16cid:durableId="1388915520">
    <w:abstractNumId w:val="17"/>
  </w:num>
  <w:num w:numId="19" w16cid:durableId="657195424">
    <w:abstractNumId w:val="23"/>
  </w:num>
  <w:num w:numId="20" w16cid:durableId="245579271">
    <w:abstractNumId w:val="15"/>
  </w:num>
  <w:num w:numId="21" w16cid:durableId="747658549">
    <w:abstractNumId w:val="9"/>
  </w:num>
  <w:num w:numId="22" w16cid:durableId="1218930463">
    <w:abstractNumId w:val="27"/>
  </w:num>
  <w:num w:numId="23" w16cid:durableId="438108555">
    <w:abstractNumId w:val="21"/>
  </w:num>
  <w:num w:numId="24" w16cid:durableId="226301680">
    <w:abstractNumId w:val="10"/>
  </w:num>
  <w:num w:numId="25" w16cid:durableId="191111096">
    <w:abstractNumId w:val="24"/>
  </w:num>
  <w:num w:numId="26" w16cid:durableId="958995015">
    <w:abstractNumId w:val="26"/>
  </w:num>
  <w:num w:numId="27" w16cid:durableId="1048651008">
    <w:abstractNumId w:val="13"/>
  </w:num>
  <w:num w:numId="28" w16cid:durableId="1793592194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vE1ffr1SMjg2tcOvEHPdxmYnF876fGvXomnTmfMoEVeFMhs8VWh8YrpJ3WP93lXSLLTrueZHXeXdgwbWV41NkA==" w:salt="TNtK52VY01G4O3kcRsPEw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28A7"/>
    <w:rsid w:val="0001487D"/>
    <w:rsid w:val="000249F4"/>
    <w:rsid w:val="000276D9"/>
    <w:rsid w:val="000344C5"/>
    <w:rsid w:val="00034A71"/>
    <w:rsid w:val="00035DD5"/>
    <w:rsid w:val="00040AD3"/>
    <w:rsid w:val="00040BD0"/>
    <w:rsid w:val="00043406"/>
    <w:rsid w:val="00044C08"/>
    <w:rsid w:val="00053807"/>
    <w:rsid w:val="000572E5"/>
    <w:rsid w:val="00057A4E"/>
    <w:rsid w:val="00057F84"/>
    <w:rsid w:val="00061541"/>
    <w:rsid w:val="00064162"/>
    <w:rsid w:val="00065C22"/>
    <w:rsid w:val="00066885"/>
    <w:rsid w:val="00066E50"/>
    <w:rsid w:val="00067845"/>
    <w:rsid w:val="0007386F"/>
    <w:rsid w:val="00074464"/>
    <w:rsid w:val="00076030"/>
    <w:rsid w:val="00082590"/>
    <w:rsid w:val="000913C3"/>
    <w:rsid w:val="000953B9"/>
    <w:rsid w:val="000A413B"/>
    <w:rsid w:val="000A4381"/>
    <w:rsid w:val="000A6279"/>
    <w:rsid w:val="000B496B"/>
    <w:rsid w:val="000B4D51"/>
    <w:rsid w:val="000B6C1F"/>
    <w:rsid w:val="000B6EE6"/>
    <w:rsid w:val="000C199E"/>
    <w:rsid w:val="000C3940"/>
    <w:rsid w:val="000C54AA"/>
    <w:rsid w:val="000C5992"/>
    <w:rsid w:val="000D4B1C"/>
    <w:rsid w:val="000D7048"/>
    <w:rsid w:val="000E1479"/>
    <w:rsid w:val="000E231E"/>
    <w:rsid w:val="000E247D"/>
    <w:rsid w:val="000E6B14"/>
    <w:rsid w:val="000E70D8"/>
    <w:rsid w:val="000F46E0"/>
    <w:rsid w:val="001062F6"/>
    <w:rsid w:val="00112FC7"/>
    <w:rsid w:val="001134C9"/>
    <w:rsid w:val="001142B9"/>
    <w:rsid w:val="00124BC2"/>
    <w:rsid w:val="00125F5F"/>
    <w:rsid w:val="00126951"/>
    <w:rsid w:val="00126B60"/>
    <w:rsid w:val="001273EB"/>
    <w:rsid w:val="00127EF6"/>
    <w:rsid w:val="00130E2D"/>
    <w:rsid w:val="001310AD"/>
    <w:rsid w:val="001314A5"/>
    <w:rsid w:val="00132C7F"/>
    <w:rsid w:val="00134343"/>
    <w:rsid w:val="00144DBE"/>
    <w:rsid w:val="0014637C"/>
    <w:rsid w:val="00147862"/>
    <w:rsid w:val="00152C8B"/>
    <w:rsid w:val="0015636A"/>
    <w:rsid w:val="00172053"/>
    <w:rsid w:val="00177A80"/>
    <w:rsid w:val="0019273E"/>
    <w:rsid w:val="00195D84"/>
    <w:rsid w:val="001A3A9C"/>
    <w:rsid w:val="001A50CB"/>
    <w:rsid w:val="001A6187"/>
    <w:rsid w:val="001A74B7"/>
    <w:rsid w:val="001B2BA1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448C"/>
    <w:rsid w:val="001F52C2"/>
    <w:rsid w:val="001F5954"/>
    <w:rsid w:val="00202042"/>
    <w:rsid w:val="00202DD3"/>
    <w:rsid w:val="00205193"/>
    <w:rsid w:val="00205728"/>
    <w:rsid w:val="00206E7D"/>
    <w:rsid w:val="00210590"/>
    <w:rsid w:val="00213D87"/>
    <w:rsid w:val="00217E14"/>
    <w:rsid w:val="00217EFD"/>
    <w:rsid w:val="00222134"/>
    <w:rsid w:val="0022233F"/>
    <w:rsid w:val="00226275"/>
    <w:rsid w:val="00234897"/>
    <w:rsid w:val="00246564"/>
    <w:rsid w:val="00246A3B"/>
    <w:rsid w:val="00252585"/>
    <w:rsid w:val="00255404"/>
    <w:rsid w:val="0025594F"/>
    <w:rsid w:val="002616C9"/>
    <w:rsid w:val="00270C5E"/>
    <w:rsid w:val="00271C90"/>
    <w:rsid w:val="002755F8"/>
    <w:rsid w:val="00290262"/>
    <w:rsid w:val="00290A03"/>
    <w:rsid w:val="0029159A"/>
    <w:rsid w:val="00291600"/>
    <w:rsid w:val="00292EDD"/>
    <w:rsid w:val="00293662"/>
    <w:rsid w:val="0029527C"/>
    <w:rsid w:val="002A02F4"/>
    <w:rsid w:val="002A5B7B"/>
    <w:rsid w:val="002C2C41"/>
    <w:rsid w:val="002C2C48"/>
    <w:rsid w:val="002C62E7"/>
    <w:rsid w:val="002D34CB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05AB2"/>
    <w:rsid w:val="00313701"/>
    <w:rsid w:val="00314430"/>
    <w:rsid w:val="003149E4"/>
    <w:rsid w:val="00316188"/>
    <w:rsid w:val="003171AF"/>
    <w:rsid w:val="00317469"/>
    <w:rsid w:val="0032215C"/>
    <w:rsid w:val="0032567F"/>
    <w:rsid w:val="0032616B"/>
    <w:rsid w:val="003261D6"/>
    <w:rsid w:val="00326687"/>
    <w:rsid w:val="00326963"/>
    <w:rsid w:val="003271A5"/>
    <w:rsid w:val="0032724B"/>
    <w:rsid w:val="003275F9"/>
    <w:rsid w:val="00333F2A"/>
    <w:rsid w:val="003355AC"/>
    <w:rsid w:val="0033644D"/>
    <w:rsid w:val="00336891"/>
    <w:rsid w:val="00337C7C"/>
    <w:rsid w:val="00343D6B"/>
    <w:rsid w:val="003477D1"/>
    <w:rsid w:val="00347FB5"/>
    <w:rsid w:val="00351ED8"/>
    <w:rsid w:val="00355515"/>
    <w:rsid w:val="003608B5"/>
    <w:rsid w:val="003613AF"/>
    <w:rsid w:val="003663B5"/>
    <w:rsid w:val="0037210C"/>
    <w:rsid w:val="00372250"/>
    <w:rsid w:val="003742AA"/>
    <w:rsid w:val="003878C1"/>
    <w:rsid w:val="00387D49"/>
    <w:rsid w:val="00390CBF"/>
    <w:rsid w:val="00396676"/>
    <w:rsid w:val="00396C0B"/>
    <w:rsid w:val="003A630F"/>
    <w:rsid w:val="003B3958"/>
    <w:rsid w:val="003B4820"/>
    <w:rsid w:val="003B5F4B"/>
    <w:rsid w:val="003B682F"/>
    <w:rsid w:val="003B79AD"/>
    <w:rsid w:val="003C0272"/>
    <w:rsid w:val="003C53FC"/>
    <w:rsid w:val="003C7013"/>
    <w:rsid w:val="003D21E9"/>
    <w:rsid w:val="003D641B"/>
    <w:rsid w:val="003E4B14"/>
    <w:rsid w:val="003F227C"/>
    <w:rsid w:val="004023CC"/>
    <w:rsid w:val="00407564"/>
    <w:rsid w:val="0041045A"/>
    <w:rsid w:val="00411152"/>
    <w:rsid w:val="00413FA2"/>
    <w:rsid w:val="004156AA"/>
    <w:rsid w:val="00424D9D"/>
    <w:rsid w:val="00425362"/>
    <w:rsid w:val="004253A1"/>
    <w:rsid w:val="0043042F"/>
    <w:rsid w:val="004313B6"/>
    <w:rsid w:val="00432418"/>
    <w:rsid w:val="00433339"/>
    <w:rsid w:val="00435FAE"/>
    <w:rsid w:val="004377B6"/>
    <w:rsid w:val="00446BBC"/>
    <w:rsid w:val="004472C0"/>
    <w:rsid w:val="00450705"/>
    <w:rsid w:val="00451928"/>
    <w:rsid w:val="0045290A"/>
    <w:rsid w:val="00452F7C"/>
    <w:rsid w:val="00453243"/>
    <w:rsid w:val="00462497"/>
    <w:rsid w:val="0046618B"/>
    <w:rsid w:val="00483461"/>
    <w:rsid w:val="00484140"/>
    <w:rsid w:val="004857C1"/>
    <w:rsid w:val="0048608C"/>
    <w:rsid w:val="00486C21"/>
    <w:rsid w:val="00495A53"/>
    <w:rsid w:val="00496E57"/>
    <w:rsid w:val="004B0889"/>
    <w:rsid w:val="004B3E10"/>
    <w:rsid w:val="004B4BFB"/>
    <w:rsid w:val="004B4D03"/>
    <w:rsid w:val="004B6013"/>
    <w:rsid w:val="004B69C3"/>
    <w:rsid w:val="004C0F5D"/>
    <w:rsid w:val="004C375A"/>
    <w:rsid w:val="004C4954"/>
    <w:rsid w:val="004C5767"/>
    <w:rsid w:val="004C5C1A"/>
    <w:rsid w:val="004D4BF9"/>
    <w:rsid w:val="004D5322"/>
    <w:rsid w:val="004D78B0"/>
    <w:rsid w:val="004E59A0"/>
    <w:rsid w:val="004E611F"/>
    <w:rsid w:val="004F1F1C"/>
    <w:rsid w:val="004F2A79"/>
    <w:rsid w:val="004F4D37"/>
    <w:rsid w:val="00501A14"/>
    <w:rsid w:val="00501DE3"/>
    <w:rsid w:val="00502D7A"/>
    <w:rsid w:val="005058CB"/>
    <w:rsid w:val="0051044D"/>
    <w:rsid w:val="005139E4"/>
    <w:rsid w:val="00515075"/>
    <w:rsid w:val="00516E13"/>
    <w:rsid w:val="00520883"/>
    <w:rsid w:val="00520FE9"/>
    <w:rsid w:val="005233E7"/>
    <w:rsid w:val="00524A40"/>
    <w:rsid w:val="0052627B"/>
    <w:rsid w:val="005328B2"/>
    <w:rsid w:val="00535BD5"/>
    <w:rsid w:val="00537AC0"/>
    <w:rsid w:val="00540977"/>
    <w:rsid w:val="00542B1F"/>
    <w:rsid w:val="005451AE"/>
    <w:rsid w:val="00551668"/>
    <w:rsid w:val="00556796"/>
    <w:rsid w:val="005572D5"/>
    <w:rsid w:val="00561ED8"/>
    <w:rsid w:val="0056588E"/>
    <w:rsid w:val="00566BE4"/>
    <w:rsid w:val="00570D21"/>
    <w:rsid w:val="00573856"/>
    <w:rsid w:val="00576113"/>
    <w:rsid w:val="0057661B"/>
    <w:rsid w:val="005803FF"/>
    <w:rsid w:val="00580FDC"/>
    <w:rsid w:val="00590652"/>
    <w:rsid w:val="0059235F"/>
    <w:rsid w:val="00596936"/>
    <w:rsid w:val="005978B5"/>
    <w:rsid w:val="005A2F1E"/>
    <w:rsid w:val="005A4232"/>
    <w:rsid w:val="005A5E7D"/>
    <w:rsid w:val="005B148B"/>
    <w:rsid w:val="005B5A17"/>
    <w:rsid w:val="005C2D2C"/>
    <w:rsid w:val="005C3616"/>
    <w:rsid w:val="005D1B21"/>
    <w:rsid w:val="005D36B2"/>
    <w:rsid w:val="005D52E7"/>
    <w:rsid w:val="005D78B5"/>
    <w:rsid w:val="005E3572"/>
    <w:rsid w:val="005E45E4"/>
    <w:rsid w:val="005F0A81"/>
    <w:rsid w:val="005F0FCF"/>
    <w:rsid w:val="005F6436"/>
    <w:rsid w:val="0060042F"/>
    <w:rsid w:val="006008BC"/>
    <w:rsid w:val="00601B4A"/>
    <w:rsid w:val="00602CFD"/>
    <w:rsid w:val="0060595C"/>
    <w:rsid w:val="00606B55"/>
    <w:rsid w:val="00607DCA"/>
    <w:rsid w:val="00612A7B"/>
    <w:rsid w:val="00614AC6"/>
    <w:rsid w:val="0061524F"/>
    <w:rsid w:val="00615B38"/>
    <w:rsid w:val="00616E5E"/>
    <w:rsid w:val="006173A4"/>
    <w:rsid w:val="00617E50"/>
    <w:rsid w:val="006201F1"/>
    <w:rsid w:val="006205AD"/>
    <w:rsid w:val="00625C3A"/>
    <w:rsid w:val="00635DDB"/>
    <w:rsid w:val="0063745D"/>
    <w:rsid w:val="0064149A"/>
    <w:rsid w:val="00641502"/>
    <w:rsid w:val="00646DFE"/>
    <w:rsid w:val="00650530"/>
    <w:rsid w:val="00650C96"/>
    <w:rsid w:val="00653788"/>
    <w:rsid w:val="0065477F"/>
    <w:rsid w:val="006550B7"/>
    <w:rsid w:val="00656896"/>
    <w:rsid w:val="00657E1D"/>
    <w:rsid w:val="00661656"/>
    <w:rsid w:val="0066345B"/>
    <w:rsid w:val="0066374F"/>
    <w:rsid w:val="006721CB"/>
    <w:rsid w:val="00677C65"/>
    <w:rsid w:val="00690EE6"/>
    <w:rsid w:val="00693152"/>
    <w:rsid w:val="0069347D"/>
    <w:rsid w:val="00694FAE"/>
    <w:rsid w:val="006952A1"/>
    <w:rsid w:val="00696E3A"/>
    <w:rsid w:val="006A0834"/>
    <w:rsid w:val="006A4BBD"/>
    <w:rsid w:val="006A52F1"/>
    <w:rsid w:val="006B561D"/>
    <w:rsid w:val="006B6D5D"/>
    <w:rsid w:val="006C7134"/>
    <w:rsid w:val="006D2330"/>
    <w:rsid w:val="006E0F8B"/>
    <w:rsid w:val="006E12F7"/>
    <w:rsid w:val="006E18D5"/>
    <w:rsid w:val="006E29D7"/>
    <w:rsid w:val="006F2175"/>
    <w:rsid w:val="006F4087"/>
    <w:rsid w:val="006F7E88"/>
    <w:rsid w:val="00702A9C"/>
    <w:rsid w:val="007040EF"/>
    <w:rsid w:val="007068A4"/>
    <w:rsid w:val="00706BF4"/>
    <w:rsid w:val="00706D67"/>
    <w:rsid w:val="00710B03"/>
    <w:rsid w:val="00713052"/>
    <w:rsid w:val="00721367"/>
    <w:rsid w:val="00721587"/>
    <w:rsid w:val="007231FA"/>
    <w:rsid w:val="00725A3D"/>
    <w:rsid w:val="00732C67"/>
    <w:rsid w:val="00734418"/>
    <w:rsid w:val="00736302"/>
    <w:rsid w:val="007404FA"/>
    <w:rsid w:val="00757826"/>
    <w:rsid w:val="007632B7"/>
    <w:rsid w:val="0076382F"/>
    <w:rsid w:val="00765768"/>
    <w:rsid w:val="00765D10"/>
    <w:rsid w:val="00766AC8"/>
    <w:rsid w:val="00767486"/>
    <w:rsid w:val="0077070E"/>
    <w:rsid w:val="00770B7B"/>
    <w:rsid w:val="0077296A"/>
    <w:rsid w:val="00776B67"/>
    <w:rsid w:val="00777CA4"/>
    <w:rsid w:val="00792623"/>
    <w:rsid w:val="00792DF0"/>
    <w:rsid w:val="0079438F"/>
    <w:rsid w:val="00796C2A"/>
    <w:rsid w:val="007A3034"/>
    <w:rsid w:val="007A3630"/>
    <w:rsid w:val="007A527E"/>
    <w:rsid w:val="007A53E7"/>
    <w:rsid w:val="007A78F7"/>
    <w:rsid w:val="007B3333"/>
    <w:rsid w:val="007B379F"/>
    <w:rsid w:val="007B37D6"/>
    <w:rsid w:val="007B5D30"/>
    <w:rsid w:val="007C20DA"/>
    <w:rsid w:val="007C4A06"/>
    <w:rsid w:val="007C6A45"/>
    <w:rsid w:val="007D2920"/>
    <w:rsid w:val="007D42DD"/>
    <w:rsid w:val="007D5BED"/>
    <w:rsid w:val="007D67DE"/>
    <w:rsid w:val="007E2AE2"/>
    <w:rsid w:val="007E6A37"/>
    <w:rsid w:val="007F1774"/>
    <w:rsid w:val="007F605A"/>
    <w:rsid w:val="007F6915"/>
    <w:rsid w:val="008031B8"/>
    <w:rsid w:val="00804499"/>
    <w:rsid w:val="00811A70"/>
    <w:rsid w:val="008121F9"/>
    <w:rsid w:val="0081406E"/>
    <w:rsid w:val="00820752"/>
    <w:rsid w:val="00825540"/>
    <w:rsid w:val="00832211"/>
    <w:rsid w:val="008325F4"/>
    <w:rsid w:val="00832AC8"/>
    <w:rsid w:val="00840341"/>
    <w:rsid w:val="00844981"/>
    <w:rsid w:val="00846FA4"/>
    <w:rsid w:val="008524BA"/>
    <w:rsid w:val="00852B74"/>
    <w:rsid w:val="00856387"/>
    <w:rsid w:val="00856928"/>
    <w:rsid w:val="00865538"/>
    <w:rsid w:val="00866EE9"/>
    <w:rsid w:val="00867054"/>
    <w:rsid w:val="00870875"/>
    <w:rsid w:val="00875000"/>
    <w:rsid w:val="00877783"/>
    <w:rsid w:val="00880F49"/>
    <w:rsid w:val="0088225C"/>
    <w:rsid w:val="00884026"/>
    <w:rsid w:val="00884C78"/>
    <w:rsid w:val="008859E1"/>
    <w:rsid w:val="00885AF3"/>
    <w:rsid w:val="00896264"/>
    <w:rsid w:val="008A154D"/>
    <w:rsid w:val="008A5D88"/>
    <w:rsid w:val="008B2851"/>
    <w:rsid w:val="008B3526"/>
    <w:rsid w:val="008B3CAB"/>
    <w:rsid w:val="008C000E"/>
    <w:rsid w:val="008C3873"/>
    <w:rsid w:val="008C7C5C"/>
    <w:rsid w:val="008D0F2F"/>
    <w:rsid w:val="008D237F"/>
    <w:rsid w:val="008D6B05"/>
    <w:rsid w:val="008E7D2D"/>
    <w:rsid w:val="008F0AD4"/>
    <w:rsid w:val="008F44C0"/>
    <w:rsid w:val="008F5999"/>
    <w:rsid w:val="00903AD6"/>
    <w:rsid w:val="0090402A"/>
    <w:rsid w:val="00904D7A"/>
    <w:rsid w:val="009111A2"/>
    <w:rsid w:val="00912B70"/>
    <w:rsid w:val="00915332"/>
    <w:rsid w:val="0091721B"/>
    <w:rsid w:val="009204BB"/>
    <w:rsid w:val="009300CA"/>
    <w:rsid w:val="00932422"/>
    <w:rsid w:val="00933135"/>
    <w:rsid w:val="00935918"/>
    <w:rsid w:val="00935EC3"/>
    <w:rsid w:val="00942087"/>
    <w:rsid w:val="009443F9"/>
    <w:rsid w:val="00944AB2"/>
    <w:rsid w:val="00951097"/>
    <w:rsid w:val="00953C1E"/>
    <w:rsid w:val="0096210F"/>
    <w:rsid w:val="00962633"/>
    <w:rsid w:val="00963187"/>
    <w:rsid w:val="00963ACF"/>
    <w:rsid w:val="00963D1C"/>
    <w:rsid w:val="00964284"/>
    <w:rsid w:val="00965A07"/>
    <w:rsid w:val="0097028A"/>
    <w:rsid w:val="009722E5"/>
    <w:rsid w:val="00973BD6"/>
    <w:rsid w:val="00975A34"/>
    <w:rsid w:val="00984549"/>
    <w:rsid w:val="00985D28"/>
    <w:rsid w:val="00991BF0"/>
    <w:rsid w:val="00996B6A"/>
    <w:rsid w:val="009A09AD"/>
    <w:rsid w:val="009A0FB1"/>
    <w:rsid w:val="009A1FAC"/>
    <w:rsid w:val="009A4884"/>
    <w:rsid w:val="009B001A"/>
    <w:rsid w:val="009B1A62"/>
    <w:rsid w:val="009B49E3"/>
    <w:rsid w:val="009B5424"/>
    <w:rsid w:val="009C3CC7"/>
    <w:rsid w:val="009C3E1D"/>
    <w:rsid w:val="009C4539"/>
    <w:rsid w:val="009C72E0"/>
    <w:rsid w:val="009D2057"/>
    <w:rsid w:val="009D3D6C"/>
    <w:rsid w:val="009D5551"/>
    <w:rsid w:val="009D62DB"/>
    <w:rsid w:val="009D6764"/>
    <w:rsid w:val="009E3B42"/>
    <w:rsid w:val="009F0198"/>
    <w:rsid w:val="009F51AE"/>
    <w:rsid w:val="00A0002C"/>
    <w:rsid w:val="00A02615"/>
    <w:rsid w:val="00A0501F"/>
    <w:rsid w:val="00A05B60"/>
    <w:rsid w:val="00A06079"/>
    <w:rsid w:val="00A107AC"/>
    <w:rsid w:val="00A13266"/>
    <w:rsid w:val="00A14FA6"/>
    <w:rsid w:val="00A15D64"/>
    <w:rsid w:val="00A20575"/>
    <w:rsid w:val="00A2284F"/>
    <w:rsid w:val="00A25455"/>
    <w:rsid w:val="00A266D2"/>
    <w:rsid w:val="00A32015"/>
    <w:rsid w:val="00A32452"/>
    <w:rsid w:val="00A32BBF"/>
    <w:rsid w:val="00A37444"/>
    <w:rsid w:val="00A41ACE"/>
    <w:rsid w:val="00A4281A"/>
    <w:rsid w:val="00A434CC"/>
    <w:rsid w:val="00A459CF"/>
    <w:rsid w:val="00A5014D"/>
    <w:rsid w:val="00A53E96"/>
    <w:rsid w:val="00A549A9"/>
    <w:rsid w:val="00A56F18"/>
    <w:rsid w:val="00A628F8"/>
    <w:rsid w:val="00A62BAA"/>
    <w:rsid w:val="00A66172"/>
    <w:rsid w:val="00A744C3"/>
    <w:rsid w:val="00A820B0"/>
    <w:rsid w:val="00AA05D8"/>
    <w:rsid w:val="00AA10A6"/>
    <w:rsid w:val="00AA5E47"/>
    <w:rsid w:val="00AA70AB"/>
    <w:rsid w:val="00AA7991"/>
    <w:rsid w:val="00AB0B9F"/>
    <w:rsid w:val="00AB1713"/>
    <w:rsid w:val="00AB224D"/>
    <w:rsid w:val="00AB63BE"/>
    <w:rsid w:val="00AC1EBC"/>
    <w:rsid w:val="00AC21CA"/>
    <w:rsid w:val="00AC2599"/>
    <w:rsid w:val="00AC2DE9"/>
    <w:rsid w:val="00AD0F62"/>
    <w:rsid w:val="00AD2C5F"/>
    <w:rsid w:val="00AE1481"/>
    <w:rsid w:val="00AE2055"/>
    <w:rsid w:val="00AE27F9"/>
    <w:rsid w:val="00AE77DB"/>
    <w:rsid w:val="00AF2BE5"/>
    <w:rsid w:val="00AF6A8D"/>
    <w:rsid w:val="00AF7453"/>
    <w:rsid w:val="00AF78AB"/>
    <w:rsid w:val="00AF7CBB"/>
    <w:rsid w:val="00B00FFF"/>
    <w:rsid w:val="00B02671"/>
    <w:rsid w:val="00B04808"/>
    <w:rsid w:val="00B04A72"/>
    <w:rsid w:val="00B06084"/>
    <w:rsid w:val="00B06FF2"/>
    <w:rsid w:val="00B111FD"/>
    <w:rsid w:val="00B16735"/>
    <w:rsid w:val="00B17EDE"/>
    <w:rsid w:val="00B22585"/>
    <w:rsid w:val="00B2440F"/>
    <w:rsid w:val="00B31618"/>
    <w:rsid w:val="00B33693"/>
    <w:rsid w:val="00B34C53"/>
    <w:rsid w:val="00B3716F"/>
    <w:rsid w:val="00B40140"/>
    <w:rsid w:val="00B430F4"/>
    <w:rsid w:val="00B43610"/>
    <w:rsid w:val="00B502DF"/>
    <w:rsid w:val="00B507A5"/>
    <w:rsid w:val="00B50974"/>
    <w:rsid w:val="00B51664"/>
    <w:rsid w:val="00B52475"/>
    <w:rsid w:val="00B52E21"/>
    <w:rsid w:val="00B535DA"/>
    <w:rsid w:val="00B5467E"/>
    <w:rsid w:val="00B56DCC"/>
    <w:rsid w:val="00B56F54"/>
    <w:rsid w:val="00B571FF"/>
    <w:rsid w:val="00B623B2"/>
    <w:rsid w:val="00B638C2"/>
    <w:rsid w:val="00B64BE6"/>
    <w:rsid w:val="00B678CF"/>
    <w:rsid w:val="00B75567"/>
    <w:rsid w:val="00B758AB"/>
    <w:rsid w:val="00B76277"/>
    <w:rsid w:val="00B772AB"/>
    <w:rsid w:val="00B80395"/>
    <w:rsid w:val="00B80B56"/>
    <w:rsid w:val="00B83359"/>
    <w:rsid w:val="00B86372"/>
    <w:rsid w:val="00B909EA"/>
    <w:rsid w:val="00B95B89"/>
    <w:rsid w:val="00BA1C17"/>
    <w:rsid w:val="00BA1D65"/>
    <w:rsid w:val="00BA6FCE"/>
    <w:rsid w:val="00BA7037"/>
    <w:rsid w:val="00BB3B4D"/>
    <w:rsid w:val="00BB54A0"/>
    <w:rsid w:val="00BC351E"/>
    <w:rsid w:val="00BC3A2A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284F"/>
    <w:rsid w:val="00BF5EEF"/>
    <w:rsid w:val="00C02553"/>
    <w:rsid w:val="00C03299"/>
    <w:rsid w:val="00C04EB6"/>
    <w:rsid w:val="00C056F9"/>
    <w:rsid w:val="00C1018C"/>
    <w:rsid w:val="00C10438"/>
    <w:rsid w:val="00C1150E"/>
    <w:rsid w:val="00C14D52"/>
    <w:rsid w:val="00C2075E"/>
    <w:rsid w:val="00C2430A"/>
    <w:rsid w:val="00C24EB9"/>
    <w:rsid w:val="00C2586C"/>
    <w:rsid w:val="00C26001"/>
    <w:rsid w:val="00C34E72"/>
    <w:rsid w:val="00C366F1"/>
    <w:rsid w:val="00C527B3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05BA"/>
    <w:rsid w:val="00CA0B49"/>
    <w:rsid w:val="00CA1735"/>
    <w:rsid w:val="00CA3A5B"/>
    <w:rsid w:val="00CA3C4B"/>
    <w:rsid w:val="00CA4FF4"/>
    <w:rsid w:val="00CA5038"/>
    <w:rsid w:val="00CA7252"/>
    <w:rsid w:val="00CB2C5A"/>
    <w:rsid w:val="00CD658F"/>
    <w:rsid w:val="00CE0C1C"/>
    <w:rsid w:val="00CE34AF"/>
    <w:rsid w:val="00CE4CC5"/>
    <w:rsid w:val="00CF00A4"/>
    <w:rsid w:val="00CF1611"/>
    <w:rsid w:val="00CF25FB"/>
    <w:rsid w:val="00CF48B7"/>
    <w:rsid w:val="00CF614C"/>
    <w:rsid w:val="00D02F34"/>
    <w:rsid w:val="00D13D87"/>
    <w:rsid w:val="00D16590"/>
    <w:rsid w:val="00D1720B"/>
    <w:rsid w:val="00D20720"/>
    <w:rsid w:val="00D216AA"/>
    <w:rsid w:val="00D22F89"/>
    <w:rsid w:val="00D250D9"/>
    <w:rsid w:val="00D27533"/>
    <w:rsid w:val="00D42DA3"/>
    <w:rsid w:val="00D43217"/>
    <w:rsid w:val="00D4546D"/>
    <w:rsid w:val="00D47996"/>
    <w:rsid w:val="00D524E9"/>
    <w:rsid w:val="00D5327A"/>
    <w:rsid w:val="00D53354"/>
    <w:rsid w:val="00D534FD"/>
    <w:rsid w:val="00D61118"/>
    <w:rsid w:val="00D6139C"/>
    <w:rsid w:val="00D614F1"/>
    <w:rsid w:val="00D617FD"/>
    <w:rsid w:val="00D70D50"/>
    <w:rsid w:val="00D71917"/>
    <w:rsid w:val="00D741F4"/>
    <w:rsid w:val="00D81874"/>
    <w:rsid w:val="00D84296"/>
    <w:rsid w:val="00D94778"/>
    <w:rsid w:val="00D94F0F"/>
    <w:rsid w:val="00DA3A0F"/>
    <w:rsid w:val="00DA4E62"/>
    <w:rsid w:val="00DA5635"/>
    <w:rsid w:val="00DA6990"/>
    <w:rsid w:val="00DB27BA"/>
    <w:rsid w:val="00DB3084"/>
    <w:rsid w:val="00DB337A"/>
    <w:rsid w:val="00DC33A5"/>
    <w:rsid w:val="00DC51CB"/>
    <w:rsid w:val="00DC6636"/>
    <w:rsid w:val="00DC6BF5"/>
    <w:rsid w:val="00DD1E28"/>
    <w:rsid w:val="00DD4819"/>
    <w:rsid w:val="00DD4B8A"/>
    <w:rsid w:val="00DD5403"/>
    <w:rsid w:val="00DE1388"/>
    <w:rsid w:val="00DE37BC"/>
    <w:rsid w:val="00DE44F5"/>
    <w:rsid w:val="00DE7501"/>
    <w:rsid w:val="00DF1238"/>
    <w:rsid w:val="00DF18A5"/>
    <w:rsid w:val="00DF3146"/>
    <w:rsid w:val="00DF57C3"/>
    <w:rsid w:val="00DF6518"/>
    <w:rsid w:val="00E008D9"/>
    <w:rsid w:val="00E02FE0"/>
    <w:rsid w:val="00E07ABE"/>
    <w:rsid w:val="00E11A3F"/>
    <w:rsid w:val="00E1386E"/>
    <w:rsid w:val="00E2369B"/>
    <w:rsid w:val="00E23EC0"/>
    <w:rsid w:val="00E3093B"/>
    <w:rsid w:val="00E32C19"/>
    <w:rsid w:val="00E34158"/>
    <w:rsid w:val="00E3468A"/>
    <w:rsid w:val="00E354AA"/>
    <w:rsid w:val="00E43D54"/>
    <w:rsid w:val="00E442FB"/>
    <w:rsid w:val="00E46157"/>
    <w:rsid w:val="00E529DB"/>
    <w:rsid w:val="00E53A5E"/>
    <w:rsid w:val="00E571BF"/>
    <w:rsid w:val="00E63BC3"/>
    <w:rsid w:val="00E6466A"/>
    <w:rsid w:val="00E668BE"/>
    <w:rsid w:val="00E714E7"/>
    <w:rsid w:val="00E72221"/>
    <w:rsid w:val="00E74086"/>
    <w:rsid w:val="00E83428"/>
    <w:rsid w:val="00E84C58"/>
    <w:rsid w:val="00E852B7"/>
    <w:rsid w:val="00E873A5"/>
    <w:rsid w:val="00E90D11"/>
    <w:rsid w:val="00E915E5"/>
    <w:rsid w:val="00EA2FAC"/>
    <w:rsid w:val="00EA414A"/>
    <w:rsid w:val="00EA75B5"/>
    <w:rsid w:val="00EB0367"/>
    <w:rsid w:val="00EB4FB9"/>
    <w:rsid w:val="00EB5BC8"/>
    <w:rsid w:val="00EC0D59"/>
    <w:rsid w:val="00EC2738"/>
    <w:rsid w:val="00EC2B3D"/>
    <w:rsid w:val="00ED7603"/>
    <w:rsid w:val="00ED7B42"/>
    <w:rsid w:val="00EE3EA5"/>
    <w:rsid w:val="00EE613F"/>
    <w:rsid w:val="00EE6BD1"/>
    <w:rsid w:val="00EF0262"/>
    <w:rsid w:val="00EF0828"/>
    <w:rsid w:val="00EF4570"/>
    <w:rsid w:val="00EF6F8B"/>
    <w:rsid w:val="00F009D1"/>
    <w:rsid w:val="00F03898"/>
    <w:rsid w:val="00F0489B"/>
    <w:rsid w:val="00F1527A"/>
    <w:rsid w:val="00F2209C"/>
    <w:rsid w:val="00F2696B"/>
    <w:rsid w:val="00F27821"/>
    <w:rsid w:val="00F37DD0"/>
    <w:rsid w:val="00F4092A"/>
    <w:rsid w:val="00F41F69"/>
    <w:rsid w:val="00F43E41"/>
    <w:rsid w:val="00F4790C"/>
    <w:rsid w:val="00F506AD"/>
    <w:rsid w:val="00F50C4B"/>
    <w:rsid w:val="00F54C08"/>
    <w:rsid w:val="00F553A2"/>
    <w:rsid w:val="00F56897"/>
    <w:rsid w:val="00F6068C"/>
    <w:rsid w:val="00F62F33"/>
    <w:rsid w:val="00F63A52"/>
    <w:rsid w:val="00F64BBF"/>
    <w:rsid w:val="00F718BE"/>
    <w:rsid w:val="00F730BA"/>
    <w:rsid w:val="00F745E3"/>
    <w:rsid w:val="00F758C1"/>
    <w:rsid w:val="00F77A95"/>
    <w:rsid w:val="00F80E20"/>
    <w:rsid w:val="00F903BE"/>
    <w:rsid w:val="00F95D04"/>
    <w:rsid w:val="00F97AA6"/>
    <w:rsid w:val="00FA16EC"/>
    <w:rsid w:val="00FA2811"/>
    <w:rsid w:val="00FA2CFB"/>
    <w:rsid w:val="00FA4837"/>
    <w:rsid w:val="00FB06DD"/>
    <w:rsid w:val="00FB1D33"/>
    <w:rsid w:val="00FB5E96"/>
    <w:rsid w:val="00FC008C"/>
    <w:rsid w:val="00FC05A0"/>
    <w:rsid w:val="00FC4B74"/>
    <w:rsid w:val="00FC5FD0"/>
    <w:rsid w:val="00FC6758"/>
    <w:rsid w:val="00FD3014"/>
    <w:rsid w:val="00FD34EA"/>
    <w:rsid w:val="00FE3F3E"/>
    <w:rsid w:val="00FE4D52"/>
    <w:rsid w:val="00FE5AEE"/>
    <w:rsid w:val="00FF106B"/>
    <w:rsid w:val="00FF4225"/>
    <w:rsid w:val="00FF6291"/>
    <w:rsid w:val="01866F7F"/>
    <w:rsid w:val="0574D4C6"/>
    <w:rsid w:val="12360DF4"/>
    <w:rsid w:val="29677022"/>
    <w:rsid w:val="2DE39F0E"/>
    <w:rsid w:val="62918480"/>
    <w:rsid w:val="6EB7A09E"/>
    <w:rsid w:val="70E341D6"/>
    <w:rsid w:val="7E0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D92C6E65-A7F8-4765-81B8-0B4FAF71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6E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E5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66E50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E50"/>
    <w:rPr>
      <w:rFonts w:ascii="Arial" w:hAnsi="Arial"/>
      <w:b/>
      <w:bCs/>
    </w:rPr>
  </w:style>
  <w:style w:type="character" w:styleId="Mention">
    <w:name w:val="Mention"/>
    <w:basedOn w:val="DefaultParagraphFont"/>
    <w:uiPriority w:val="99"/>
    <w:unhideWhenUsed/>
    <w:rsid w:val="00213D87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C7C5C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16/j.ncl.2018.01.01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16/j.autrev.2020.102712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aba01ddc-ae9a-4c9e-819c-7140b4239cd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6F88295-642E-4932-A1FF-2072D25F6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1404</Words>
  <Characters>9119</Characters>
  <Application>Microsoft Office Word</Application>
  <DocSecurity>10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Targeted Immune Modulators, Generalized Myasthenia Gravis (gMG) Agents PDL Edit (previously Neonatal Fc Receptor Antagonists PDL Edit)</vt:lpstr>
    </vt:vector>
  </TitlesOfParts>
  <Company>DSS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Targeted Immune Modulators, Generalized Myasthenia Gravis (gMG) Agents PDL Edit (previously Neonatal Fc Receptor Antagonists PDL Edit)</dc:title>
  <dc:subject/>
  <dc:creator>DMS</dc:creator>
  <cp:keywords/>
  <cp:lastModifiedBy>Heriford, Katherine</cp:lastModifiedBy>
  <cp:revision>232</cp:revision>
  <cp:lastPrinted>2018-10-31T20:17:00Z</cp:lastPrinted>
  <dcterms:created xsi:type="dcterms:W3CDTF">2026-05-07T02:41:00Z</dcterms:created>
  <dcterms:modified xsi:type="dcterms:W3CDTF">2026-07-06T22:29:00Z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