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715573A" w:rsidR="004C5767" w:rsidRPr="008859E1" w:rsidRDefault="004C5767" w:rsidP="00D27533">
      <w:pPr>
        <w:pStyle w:val="tbody"/>
        <w:rPr>
          <w:b w:val="0"/>
          <w:bCs/>
        </w:rPr>
      </w:pPr>
      <w:r w:rsidRPr="00C02553">
        <w:t>Drug/Drug Class:</w:t>
      </w:r>
      <w:r w:rsidR="003B4820" w:rsidRPr="00573856">
        <w:rPr>
          <w:b w:val="0"/>
          <w:bCs/>
        </w:rPr>
        <w:t xml:space="preserve"> </w:t>
      </w:r>
      <w:r w:rsidR="00AC2EC7" w:rsidRPr="00AC2EC7">
        <w:rPr>
          <w:b w:val="0"/>
          <w:bCs/>
        </w:rPr>
        <w:t>Pancreatic Enzyme Agents PDL Edit</w:t>
      </w:r>
    </w:p>
    <w:p w14:paraId="7AD7FFCE" w14:textId="1C5780D9" w:rsidR="004C5767" w:rsidRPr="00C02553" w:rsidRDefault="004C5767" w:rsidP="00D27533">
      <w:pPr>
        <w:pStyle w:val="tbody"/>
      </w:pPr>
      <w:r w:rsidRPr="00C02553">
        <w:t>First Implementation Date:</w:t>
      </w:r>
      <w:r w:rsidRPr="00573856">
        <w:rPr>
          <w:b w:val="0"/>
          <w:bCs/>
        </w:rPr>
        <w:t xml:space="preserve"> </w:t>
      </w:r>
      <w:r w:rsidR="006C28FF" w:rsidRPr="006C28FF">
        <w:rPr>
          <w:b w:val="0"/>
          <w:bCs/>
        </w:rPr>
        <w:t>June 23, 2011</w:t>
      </w:r>
    </w:p>
    <w:p w14:paraId="4B7D760D" w14:textId="1F2E8389" w:rsidR="004C5767" w:rsidRPr="00057F84" w:rsidRDefault="009B33AF" w:rsidP="70E341D6">
      <w:pPr>
        <w:pStyle w:val="tbody"/>
        <w:rPr>
          <w:b w:val="0"/>
        </w:rPr>
      </w:pPr>
      <w:r>
        <w:t>Revi</w:t>
      </w:r>
      <w:r w:rsidR="004C5767">
        <w:t>sed Date:</w:t>
      </w:r>
      <w:r w:rsidR="00065C22">
        <w:t xml:space="preserve"> </w:t>
      </w:r>
      <w:r>
        <w:rPr>
          <w:b w:val="0"/>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3F6C8B7" w:rsidR="004C5767" w:rsidRPr="00D27533" w:rsidRDefault="004C5767" w:rsidP="00D27533">
      <w:pPr>
        <w:pStyle w:val="tbody"/>
        <w:rPr>
          <w:b w:val="0"/>
          <w:bCs/>
          <w:spacing w:val="-3"/>
        </w:rPr>
      </w:pPr>
      <w:r w:rsidRPr="00C02553">
        <w:t xml:space="preserve">Criteria Status: </w:t>
      </w:r>
      <w:r w:rsidR="00566BE4" w:rsidRPr="00645505">
        <w:rPr>
          <w:b w:val="0"/>
          <w:bCs/>
          <w:spacing w:val="-3"/>
        </w:rPr>
        <w:t>Existing Criteria</w:t>
      </w:r>
    </w:p>
    <w:p w14:paraId="03479354" w14:textId="77777777" w:rsidR="004C5767" w:rsidRPr="002C2C41" w:rsidRDefault="004C5767" w:rsidP="00E23EC0">
      <w:pPr>
        <w:rPr>
          <w:rFonts w:cs="Arial"/>
          <w:szCs w:val="20"/>
        </w:rPr>
      </w:pPr>
    </w:p>
    <w:p w14:paraId="6413BFE8" w14:textId="362B518F"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17E7D0C2" w:rsidR="00B56DCC" w:rsidRDefault="005C5FD1" w:rsidP="00696E3A">
      <w:r>
        <w:t xml:space="preserve"> </w:t>
      </w:r>
      <w:r w:rsidR="00E965E7" w:rsidRPr="00E965E7">
        <w:t xml:space="preserve">other things, pancreatic enzymes necessary for digestion. This fluid neutralizes gastric acid in the duodenum and achieves an appropriate pH for maintaining the activity of the enzymes. When this pancreatic function is lost, supplementation of the pancreatic enzymes is needed. Pancreatic enzymes are available in a variety of formulations and strengths. All formulations are measured by their content of amylase, lipase, and protease. </w:t>
      </w:r>
      <w:proofErr w:type="gramStart"/>
      <w:r w:rsidR="00E965E7" w:rsidRPr="00E965E7">
        <w:t>In order to</w:t>
      </w:r>
      <w:proofErr w:type="gramEnd"/>
      <w:r w:rsidR="00E965E7" w:rsidRPr="00E965E7">
        <w:t xml:space="preserve"> avoid gastric inactivation, enteric coatings and buffering may be used to deliver enzymes to the intestine. Pancreatic enzyme replacement therapy is indicated in patients with deficient exocrine pancreatic secretions, such as in cystic fibrosis, chronic pancreatitis, post-pancreatectomy, ductal obstructions caused by cancer of the pancreas or common bile duct and pancreatic insufficiency, and for steatorrhea of malabsorption syndrome and postgastrectomy.</w:t>
      </w:r>
    </w:p>
    <w:p w14:paraId="4108B3C5" w14:textId="77777777" w:rsidR="00E965E7" w:rsidRDefault="00E965E7"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91DCA00" w14:textId="77777777" w:rsidR="00E06B30" w:rsidRPr="00E06B30" w:rsidRDefault="00E06B30" w:rsidP="00E06B30">
      <w:pPr>
        <w:pStyle w:val="ListParagraph"/>
        <w:numPr>
          <w:ilvl w:val="0"/>
          <w:numId w:val="15"/>
        </w:numPr>
        <w:rPr>
          <w:rFonts w:cs="Arial"/>
          <w:iCs/>
          <w:spacing w:val="-3"/>
          <w:szCs w:val="20"/>
        </w:rPr>
      </w:pPr>
      <w:r w:rsidRPr="00AF12B7">
        <w:rPr>
          <w:rFonts w:cs="Arial"/>
          <w:iCs/>
          <w:spacing w:val="-3"/>
          <w:szCs w:val="20"/>
        </w:rPr>
        <w:t>Creon</w:t>
      </w:r>
      <w:r w:rsidRPr="00AF12B7">
        <w:rPr>
          <w:rFonts w:cs="Arial"/>
          <w:szCs w:val="20"/>
          <w:vertAlign w:val="superscript"/>
        </w:rPr>
        <w:t>®</w:t>
      </w:r>
    </w:p>
    <w:p w14:paraId="47320590" w14:textId="177686CB" w:rsidR="00FD34EA" w:rsidRPr="00E06B30" w:rsidRDefault="00E06B30" w:rsidP="00E06B30">
      <w:pPr>
        <w:pStyle w:val="ListParagraph"/>
        <w:numPr>
          <w:ilvl w:val="0"/>
          <w:numId w:val="15"/>
        </w:numPr>
        <w:rPr>
          <w:rFonts w:cs="Arial"/>
          <w:iCs/>
          <w:spacing w:val="-3"/>
          <w:szCs w:val="20"/>
        </w:rPr>
      </w:pPr>
      <w:proofErr w:type="spellStart"/>
      <w:r w:rsidRPr="00E06B30">
        <w:rPr>
          <w:rFonts w:cs="Arial"/>
          <w:szCs w:val="20"/>
        </w:rPr>
        <w:t>Zenpep</w:t>
      </w:r>
      <w:proofErr w:type="spellEnd"/>
      <w:r w:rsidRPr="00E06B30">
        <w:rPr>
          <w:rFonts w:cs="Arial"/>
          <w:szCs w:val="20"/>
          <w:vertAlign w:val="superscript"/>
        </w:rPr>
        <w:t>®</w:t>
      </w:r>
    </w:p>
    <w:p w14:paraId="6370FA54" w14:textId="77777777" w:rsidR="00E06B30" w:rsidRPr="00E06B30" w:rsidRDefault="00E06B30" w:rsidP="00E06B30">
      <w:pPr>
        <w:pStyle w:val="ListParagraph"/>
        <w:numPr>
          <w:ilvl w:val="0"/>
          <w:numId w:val="0"/>
        </w:numPr>
        <w:ind w:left="360"/>
        <w:rPr>
          <w:rFonts w:cs="Arial"/>
          <w:iCs/>
          <w:spacing w:val="-3"/>
          <w:szCs w:val="20"/>
        </w:rPr>
      </w:pPr>
    </w:p>
    <w:p w14:paraId="56404718" w14:textId="252714AD" w:rsidR="00846FA4" w:rsidRDefault="00846FA4" w:rsidP="00846FA4">
      <w:pPr>
        <w:rPr>
          <w:b/>
          <w:bCs/>
        </w:rPr>
      </w:pPr>
      <w:r>
        <w:rPr>
          <w:b/>
          <w:bCs/>
        </w:rPr>
        <w:t>Non-Preferred Agents:</w:t>
      </w:r>
    </w:p>
    <w:p w14:paraId="54D7BE7A" w14:textId="77777777" w:rsidR="00EC633E" w:rsidRDefault="00EC633E" w:rsidP="00EC633E">
      <w:pPr>
        <w:numPr>
          <w:ilvl w:val="0"/>
          <w:numId w:val="15"/>
        </w:numPr>
        <w:tabs>
          <w:tab w:val="num" w:pos="435"/>
        </w:tabs>
        <w:rPr>
          <w:rFonts w:cs="Arial"/>
          <w:iCs/>
          <w:spacing w:val="-3"/>
          <w:szCs w:val="20"/>
        </w:rPr>
      </w:pPr>
      <w:proofErr w:type="spellStart"/>
      <w:r w:rsidRPr="00AF12B7">
        <w:rPr>
          <w:rFonts w:cs="Arial"/>
          <w:szCs w:val="20"/>
        </w:rPr>
        <w:t>Pertzye</w:t>
      </w:r>
      <w:proofErr w:type="spellEnd"/>
      <w:r w:rsidRPr="00AF12B7">
        <w:rPr>
          <w:rFonts w:cs="Arial"/>
          <w:szCs w:val="20"/>
          <w:vertAlign w:val="superscript"/>
        </w:rPr>
        <w:t>®</w:t>
      </w:r>
    </w:p>
    <w:p w14:paraId="6D696800" w14:textId="1B20CFFC" w:rsidR="00E23EC0" w:rsidRPr="00EC633E" w:rsidRDefault="00EC633E" w:rsidP="00EC633E">
      <w:pPr>
        <w:numPr>
          <w:ilvl w:val="0"/>
          <w:numId w:val="15"/>
        </w:numPr>
        <w:tabs>
          <w:tab w:val="num" w:pos="435"/>
        </w:tabs>
        <w:rPr>
          <w:rFonts w:cs="Arial"/>
          <w:iCs/>
          <w:spacing w:val="-3"/>
          <w:szCs w:val="20"/>
        </w:rPr>
      </w:pPr>
      <w:proofErr w:type="spellStart"/>
      <w:r w:rsidRPr="00EC633E">
        <w:rPr>
          <w:rFonts w:cs="Arial"/>
          <w:szCs w:val="20"/>
        </w:rPr>
        <w:t>Viokace</w:t>
      </w:r>
      <w:proofErr w:type="spellEnd"/>
      <w:r w:rsidRPr="00EC633E">
        <w:rPr>
          <w:rFonts w:cs="Arial"/>
          <w:szCs w:val="20"/>
          <w:vertAlign w:val="superscript"/>
        </w:rPr>
        <w:t>®</w:t>
      </w:r>
    </w:p>
    <w:p w14:paraId="3D4065BC" w14:textId="77777777" w:rsidR="00EC633E" w:rsidRPr="00EC633E" w:rsidRDefault="00EC633E" w:rsidP="00EC633E">
      <w:pPr>
        <w:ind w:left="360"/>
        <w:rPr>
          <w:rFonts w:cs="Arial"/>
          <w:iCs/>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BE4EF7F" w:rsidR="0097028A" w:rsidRPr="0079438F" w:rsidRDefault="0097028A" w:rsidP="00696E3A">
      <w:pPr>
        <w:rPr>
          <w:b/>
        </w:rPr>
      </w:pPr>
      <w:r w:rsidRPr="00696E3A">
        <w:rPr>
          <w:b/>
          <w:bCs/>
        </w:rPr>
        <w:t>Drug class for review:</w:t>
      </w:r>
      <w:r w:rsidRPr="00C02553">
        <w:t xml:space="preserve"> </w:t>
      </w:r>
      <w:r w:rsidR="00B558B9" w:rsidRPr="00B558B9">
        <w:t>Pancreatic Enzymes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6B88C532" w14:textId="77777777" w:rsidR="0045363D" w:rsidRDefault="0045363D" w:rsidP="0045363D">
      <w:pPr>
        <w:pStyle w:val="ListParagraph"/>
        <w:numPr>
          <w:ilvl w:val="0"/>
          <w:numId w:val="17"/>
        </w:numPr>
        <w:rPr>
          <w:rFonts w:cs="Arial"/>
        </w:rPr>
      </w:pPr>
      <w:r>
        <w:rPr>
          <w:rFonts w:cs="Arial"/>
        </w:rPr>
        <w:t>Must meet one of the following:</w:t>
      </w:r>
    </w:p>
    <w:p w14:paraId="79020493" w14:textId="77777777" w:rsidR="0045363D" w:rsidRDefault="0045363D" w:rsidP="0045363D">
      <w:pPr>
        <w:pStyle w:val="ListParagraph"/>
        <w:numPr>
          <w:ilvl w:val="1"/>
          <w:numId w:val="17"/>
        </w:numPr>
        <w:rPr>
          <w:rFonts w:cs="Arial"/>
        </w:rPr>
      </w:pPr>
      <w:r>
        <w:rPr>
          <w:rFonts w:cs="Arial"/>
        </w:rPr>
        <w:t xml:space="preserve">Claim is for a preferred agent; </w:t>
      </w:r>
    </w:p>
    <w:p w14:paraId="5D766D84" w14:textId="77777777" w:rsidR="0045363D" w:rsidRPr="000A3D20" w:rsidRDefault="0045363D" w:rsidP="0045363D">
      <w:pPr>
        <w:pStyle w:val="ListParagraph"/>
        <w:numPr>
          <w:ilvl w:val="1"/>
          <w:numId w:val="17"/>
        </w:numPr>
        <w:rPr>
          <w:rFonts w:cs="Arial"/>
        </w:rPr>
      </w:pPr>
      <w:r>
        <w:rPr>
          <w:rFonts w:cs="Arial"/>
        </w:rPr>
        <w:t xml:space="preserve">Documented compliance on current therapy regimen; </w:t>
      </w:r>
      <w:r w:rsidRPr="001C3055">
        <w:rPr>
          <w:rFonts w:cs="Arial"/>
          <w:b/>
          <w:bCs/>
        </w:rPr>
        <w:t>OR</w:t>
      </w:r>
    </w:p>
    <w:p w14:paraId="2354535F" w14:textId="77777777" w:rsidR="0045363D" w:rsidRPr="000110B5" w:rsidRDefault="0045363D" w:rsidP="0045363D">
      <w:pPr>
        <w:pStyle w:val="ListParagraph"/>
        <w:numPr>
          <w:ilvl w:val="1"/>
          <w:numId w:val="16"/>
        </w:numPr>
        <w:rPr>
          <w:rFonts w:cs="Arial"/>
          <w:szCs w:val="20"/>
        </w:rPr>
      </w:pPr>
      <w:r w:rsidRPr="000110B5">
        <w:rPr>
          <w:rFonts w:cs="Arial"/>
          <w:szCs w:val="20"/>
        </w:rPr>
        <w:t xml:space="preserve">Failure to achieve desired therapeutic outcomes with trial of </w:t>
      </w:r>
      <w:r>
        <w:rPr>
          <w:rFonts w:cs="Arial"/>
          <w:szCs w:val="20"/>
        </w:rPr>
        <w:t>2</w:t>
      </w:r>
      <w:r w:rsidRPr="000110B5">
        <w:rPr>
          <w:rFonts w:cs="Arial"/>
          <w:szCs w:val="20"/>
        </w:rPr>
        <w:t xml:space="preserve"> preferred agent</w:t>
      </w:r>
      <w:r>
        <w:rPr>
          <w:rFonts w:cs="Arial"/>
          <w:szCs w:val="20"/>
        </w:rPr>
        <w:t>s:</w:t>
      </w:r>
    </w:p>
    <w:p w14:paraId="750F24FF" w14:textId="77777777" w:rsidR="0045363D" w:rsidRPr="000110B5" w:rsidRDefault="0045363D" w:rsidP="0045363D">
      <w:pPr>
        <w:pStyle w:val="ListParagraph"/>
        <w:numPr>
          <w:ilvl w:val="2"/>
          <w:numId w:val="16"/>
        </w:numPr>
        <w:jc w:val="both"/>
        <w:rPr>
          <w:rFonts w:cs="Arial"/>
          <w:szCs w:val="20"/>
        </w:rPr>
      </w:pPr>
      <w:r w:rsidRPr="000110B5">
        <w:rPr>
          <w:rFonts w:cs="Arial"/>
          <w:szCs w:val="20"/>
        </w:rPr>
        <w:t>Documented trial period of preferred agents</w:t>
      </w:r>
      <w:r>
        <w:rPr>
          <w:rFonts w:cs="Arial"/>
          <w:szCs w:val="20"/>
        </w:rPr>
        <w:t>;</w:t>
      </w:r>
      <w:r w:rsidRPr="000110B5">
        <w:rPr>
          <w:rFonts w:cs="Arial"/>
          <w:szCs w:val="20"/>
        </w:rPr>
        <w:t xml:space="preserve"> </w:t>
      </w:r>
      <w:r w:rsidRPr="000110B5">
        <w:rPr>
          <w:rFonts w:cs="Arial"/>
          <w:b/>
          <w:bCs/>
          <w:szCs w:val="20"/>
        </w:rPr>
        <w:t>OR</w:t>
      </w:r>
    </w:p>
    <w:p w14:paraId="610B4165" w14:textId="77777777" w:rsidR="0045363D" w:rsidRPr="00B8580D" w:rsidRDefault="0045363D" w:rsidP="0045363D">
      <w:pPr>
        <w:pStyle w:val="ListParagraph"/>
        <w:numPr>
          <w:ilvl w:val="2"/>
          <w:numId w:val="16"/>
        </w:numPr>
        <w:jc w:val="both"/>
        <w:rPr>
          <w:rFonts w:cs="Arial"/>
          <w:szCs w:val="20"/>
        </w:rPr>
      </w:pPr>
      <w:r w:rsidRPr="000110B5">
        <w:rPr>
          <w:rFonts w:cs="Arial"/>
          <w:szCs w:val="20"/>
        </w:rPr>
        <w:t>Documented ADE/ADR to preferred agents</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239BCDA" w14:textId="77777777" w:rsidR="0031172E" w:rsidRDefault="0031172E" w:rsidP="0031172E">
      <w:pPr>
        <w:numPr>
          <w:ilvl w:val="0"/>
          <w:numId w:val="18"/>
        </w:numPr>
        <w:rPr>
          <w:rFonts w:cs="Arial"/>
          <w:szCs w:val="20"/>
        </w:rPr>
      </w:pPr>
      <w:r>
        <w:rPr>
          <w:rFonts w:cs="Arial"/>
          <w:szCs w:val="20"/>
        </w:rPr>
        <w:t xml:space="preserve">Therapy will deny </w:t>
      </w:r>
      <w:proofErr w:type="gramStart"/>
      <w:r>
        <w:rPr>
          <w:rFonts w:cs="Arial"/>
          <w:szCs w:val="20"/>
        </w:rPr>
        <w:t>with</w:t>
      </w:r>
      <w:proofErr w:type="gramEnd"/>
      <w:r>
        <w:rPr>
          <w:rFonts w:cs="Arial"/>
          <w:szCs w:val="20"/>
        </w:rPr>
        <w:t xml:space="preserve"> presence of one of the following:</w:t>
      </w:r>
    </w:p>
    <w:p w14:paraId="6C0EB9F4" w14:textId="77777777" w:rsidR="0031172E" w:rsidRPr="009B2AFD" w:rsidRDefault="0031172E" w:rsidP="0031172E">
      <w:pPr>
        <w:numPr>
          <w:ilvl w:val="1"/>
          <w:numId w:val="18"/>
        </w:numPr>
        <w:ind w:left="720"/>
        <w:rPr>
          <w:rFonts w:cs="Arial"/>
          <w:noProof/>
        </w:rPr>
      </w:pPr>
      <w:r>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CA6B0AE" w14:textId="77777777" w:rsidR="0077445B" w:rsidRPr="0069412D" w:rsidRDefault="0077445B" w:rsidP="0077445B">
      <w:pPr>
        <w:numPr>
          <w:ilvl w:val="0"/>
          <w:numId w:val="19"/>
        </w:numPr>
        <w:rPr>
          <w:rFonts w:cs="Arial"/>
          <w:szCs w:val="20"/>
        </w:rPr>
      </w:pPr>
      <w:r w:rsidRPr="0069412D">
        <w:rPr>
          <w:rFonts w:cs="Arial"/>
          <w:szCs w:val="20"/>
        </w:rPr>
        <w:t>Evidence-Based Medicine and Fiscal Analysis: “Pancreatic Enzymes – Therapeutic Class Review”, Conduent Business Services, L.L.C., Richmond, VA; January 2022.</w:t>
      </w:r>
    </w:p>
    <w:p w14:paraId="51D4EFB5" w14:textId="20918573" w:rsidR="0077445B" w:rsidRPr="002859B8" w:rsidRDefault="0077445B" w:rsidP="0077445B">
      <w:pPr>
        <w:numPr>
          <w:ilvl w:val="0"/>
          <w:numId w:val="19"/>
        </w:numPr>
        <w:rPr>
          <w:rFonts w:cs="Arial"/>
          <w:szCs w:val="20"/>
        </w:rPr>
      </w:pPr>
      <w:r w:rsidRPr="002859B8">
        <w:rPr>
          <w:rFonts w:cs="Arial"/>
          <w:szCs w:val="20"/>
        </w:rPr>
        <w:t xml:space="preserve">Evidence-Based Medicine Analysis: “Pancreatic Enzyme Products”, UMKC-DIC; Last updated </w:t>
      </w:r>
      <w:r w:rsidR="007B6162">
        <w:rPr>
          <w:rFonts w:cs="Arial"/>
          <w:szCs w:val="20"/>
        </w:rPr>
        <w:t>February</w:t>
      </w:r>
      <w:r w:rsidRPr="002859B8">
        <w:rPr>
          <w:rFonts w:cs="Arial"/>
          <w:szCs w:val="20"/>
        </w:rPr>
        <w:t xml:space="preserve"> 202</w:t>
      </w:r>
      <w:r w:rsidR="007B6162">
        <w:rPr>
          <w:rFonts w:cs="Arial"/>
          <w:szCs w:val="20"/>
        </w:rPr>
        <w:t>6</w:t>
      </w:r>
      <w:r w:rsidRPr="002859B8">
        <w:rPr>
          <w:rFonts w:cs="Arial"/>
          <w:szCs w:val="20"/>
        </w:rPr>
        <w:t>.</w:t>
      </w:r>
      <w:bookmarkStart w:id="2" w:name="_Hlk34121003"/>
    </w:p>
    <w:p w14:paraId="70FCCD31" w14:textId="7258360C" w:rsidR="0077445B" w:rsidRDefault="0077445B" w:rsidP="0077445B">
      <w:pPr>
        <w:numPr>
          <w:ilvl w:val="0"/>
          <w:numId w:val="19"/>
        </w:numPr>
        <w:rPr>
          <w:rFonts w:cs="Arial"/>
          <w:szCs w:val="20"/>
        </w:rPr>
      </w:pPr>
      <w:r w:rsidRPr="003B6388">
        <w:rPr>
          <w:rFonts w:cs="Arial"/>
          <w:szCs w:val="20"/>
        </w:rPr>
        <w:t>USPDI, Micromedex; 202</w:t>
      </w:r>
      <w:r>
        <w:rPr>
          <w:rFonts w:cs="Arial"/>
          <w:szCs w:val="20"/>
        </w:rPr>
        <w:t>6</w:t>
      </w:r>
      <w:r w:rsidRPr="003B6388">
        <w:rPr>
          <w:rFonts w:cs="Arial"/>
          <w:szCs w:val="20"/>
        </w:rPr>
        <w:t xml:space="preserve">. </w:t>
      </w:r>
    </w:p>
    <w:p w14:paraId="2D58B3DC" w14:textId="4FA66D9E" w:rsidR="0077445B" w:rsidRDefault="0077445B" w:rsidP="0077445B">
      <w:pPr>
        <w:numPr>
          <w:ilvl w:val="0"/>
          <w:numId w:val="19"/>
        </w:numPr>
        <w:rPr>
          <w:rFonts w:cs="Arial"/>
          <w:szCs w:val="20"/>
        </w:rPr>
      </w:pPr>
      <w:r w:rsidRPr="003B6388">
        <w:rPr>
          <w:rFonts w:cs="Arial"/>
          <w:szCs w:val="20"/>
        </w:rPr>
        <w:t xml:space="preserve">Facts and Comparisons </w:t>
      </w:r>
      <w:proofErr w:type="spellStart"/>
      <w:r w:rsidRPr="003B6388">
        <w:rPr>
          <w:rFonts w:cs="Arial"/>
          <w:szCs w:val="20"/>
        </w:rPr>
        <w:t>eAnswers</w:t>
      </w:r>
      <w:proofErr w:type="spellEnd"/>
      <w:r w:rsidRPr="003B6388">
        <w:rPr>
          <w:rFonts w:cs="Arial"/>
          <w:szCs w:val="20"/>
        </w:rPr>
        <w:t xml:space="preserve"> (online); 202</w:t>
      </w:r>
      <w:r>
        <w:rPr>
          <w:rFonts w:cs="Arial"/>
          <w:szCs w:val="20"/>
        </w:rPr>
        <w:t>6</w:t>
      </w:r>
      <w:r w:rsidRPr="003B6388">
        <w:rPr>
          <w:rFonts w:cs="Arial"/>
          <w:szCs w:val="20"/>
        </w:rPr>
        <w:t xml:space="preserve"> Clinical Drug Information, LLC. </w:t>
      </w:r>
      <w:bookmarkEnd w:id="2"/>
    </w:p>
    <w:p w14:paraId="3EF8B77E" w14:textId="77777777" w:rsidR="0077445B" w:rsidRPr="003B6388" w:rsidRDefault="0077445B" w:rsidP="0077445B">
      <w:pPr>
        <w:numPr>
          <w:ilvl w:val="0"/>
          <w:numId w:val="19"/>
        </w:numPr>
        <w:rPr>
          <w:rFonts w:cs="Arial"/>
          <w:szCs w:val="20"/>
        </w:rPr>
      </w:pPr>
      <w:r>
        <w:rPr>
          <w:rFonts w:cs="Arial"/>
          <w:szCs w:val="20"/>
        </w:rPr>
        <w:t xml:space="preserve">Whitcomb DC, Buchner AM, Forsmark CE. AGA Clinical Practice Update on the Epidemiology, Evaluation, and Management of Exocrine Pancreatic Insufficiency: Expert Review. Gastroenterology. </w:t>
      </w:r>
      <w:proofErr w:type="gramStart"/>
      <w:r>
        <w:rPr>
          <w:rFonts w:cs="Arial"/>
          <w:szCs w:val="20"/>
        </w:rPr>
        <w:t>2023;165:1292</w:t>
      </w:r>
      <w:proofErr w:type="gramEnd"/>
      <w:r>
        <w:rPr>
          <w:rFonts w:cs="Arial"/>
          <w:szCs w:val="20"/>
        </w:rPr>
        <w:t xml:space="preserve">-1301. </w:t>
      </w:r>
      <w:proofErr w:type="spellStart"/>
      <w:r>
        <w:rPr>
          <w:rFonts w:cs="Arial"/>
          <w:szCs w:val="20"/>
        </w:rPr>
        <w:t>doi</w:t>
      </w:r>
      <w:proofErr w:type="spellEnd"/>
      <w:r>
        <w:rPr>
          <w:rFonts w:cs="Arial"/>
          <w:szCs w:val="20"/>
        </w:rPr>
        <w:t xml:space="preserve">: </w:t>
      </w:r>
      <w:r w:rsidRPr="004F377D">
        <w:rPr>
          <w:rFonts w:cs="Arial"/>
          <w:szCs w:val="20"/>
        </w:rPr>
        <w:t>https://doi.org/10.1053/j.gastro.2023.07.007</w:t>
      </w:r>
    </w:p>
    <w:p w14:paraId="3FA1E7DB" w14:textId="1B5024F6" w:rsidR="00777CA4" w:rsidRDefault="00777CA4" w:rsidP="0077445B">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6325" w14:textId="77777777" w:rsidR="000B12D4" w:rsidRPr="00C02553" w:rsidRDefault="000B12D4" w:rsidP="00AE77DB">
      <w:r w:rsidRPr="00C02553">
        <w:separator/>
      </w:r>
    </w:p>
  </w:endnote>
  <w:endnote w:type="continuationSeparator" w:id="0">
    <w:p w14:paraId="207E6E7C" w14:textId="77777777" w:rsidR="000B12D4" w:rsidRPr="00C02553" w:rsidRDefault="000B12D4" w:rsidP="00AE77DB">
      <w:r w:rsidRPr="00C02553">
        <w:continuationSeparator/>
      </w:r>
    </w:p>
  </w:endnote>
  <w:endnote w:type="continuationNotice" w:id="1">
    <w:p w14:paraId="0646B0C1" w14:textId="77777777" w:rsidR="000B12D4" w:rsidRPr="00C02553" w:rsidRDefault="000B1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E162" w14:textId="77777777" w:rsidR="000B12D4" w:rsidRPr="00C02553" w:rsidRDefault="000B12D4" w:rsidP="00AE77DB">
      <w:r w:rsidRPr="00C02553">
        <w:separator/>
      </w:r>
    </w:p>
  </w:footnote>
  <w:footnote w:type="continuationSeparator" w:id="0">
    <w:p w14:paraId="5D6FF06B" w14:textId="77777777" w:rsidR="000B12D4" w:rsidRPr="00C02553" w:rsidRDefault="000B12D4" w:rsidP="00AE77DB">
      <w:r w:rsidRPr="00C02553">
        <w:continuationSeparator/>
      </w:r>
    </w:p>
  </w:footnote>
  <w:footnote w:type="continuationNotice" w:id="1">
    <w:p w14:paraId="527BBCCD" w14:textId="77777777" w:rsidR="000B12D4" w:rsidRPr="00C02553" w:rsidRDefault="000B1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3E2630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0EFE423D"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7312842"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81E75"/>
    <w:multiLevelType w:val="hybridMultilevel"/>
    <w:tmpl w:val="A126E0FE"/>
    <w:lvl w:ilvl="0" w:tplc="337C71B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A24130"/>
    <w:multiLevelType w:val="hybridMultilevel"/>
    <w:tmpl w:val="0AD4C1B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7636C39"/>
    <w:multiLevelType w:val="hybridMultilevel"/>
    <w:tmpl w:val="635E773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6"/>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7"/>
  </w:num>
  <w:num w:numId="13" w16cid:durableId="604729665">
    <w:abstractNumId w:val="5"/>
  </w:num>
  <w:num w:numId="14" w16cid:durableId="1805081292">
    <w:abstractNumId w:val="15"/>
  </w:num>
  <w:num w:numId="15" w16cid:durableId="1353534833">
    <w:abstractNumId w:val="10"/>
  </w:num>
  <w:num w:numId="16" w16cid:durableId="238564559">
    <w:abstractNumId w:val="6"/>
  </w:num>
  <w:num w:numId="17" w16cid:durableId="800807042">
    <w:abstractNumId w:val="13"/>
  </w:num>
  <w:num w:numId="18" w16cid:durableId="1114204464">
    <w:abstractNumId w:val="14"/>
  </w:num>
  <w:num w:numId="19" w16cid:durableId="173357744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t6AtJtxzq4sqMkfOely6EY+30dT8R4SSaDltfSUy+zfMO8gBAfjBD1ZlvYGJ/Tk5qRark1BfoqCGiISABCcxg==" w:salt="szBBgJuLiL3K4zpHpuXPx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5663"/>
    <w:rsid w:val="000276D9"/>
    <w:rsid w:val="000344C5"/>
    <w:rsid w:val="00040AD3"/>
    <w:rsid w:val="00053807"/>
    <w:rsid w:val="000572E5"/>
    <w:rsid w:val="00057F84"/>
    <w:rsid w:val="00061541"/>
    <w:rsid w:val="00064162"/>
    <w:rsid w:val="00065C22"/>
    <w:rsid w:val="00074464"/>
    <w:rsid w:val="00076030"/>
    <w:rsid w:val="0008232F"/>
    <w:rsid w:val="00082590"/>
    <w:rsid w:val="000913C3"/>
    <w:rsid w:val="000953B9"/>
    <w:rsid w:val="000A413B"/>
    <w:rsid w:val="000A6279"/>
    <w:rsid w:val="000B12D4"/>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172E"/>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2498"/>
    <w:rsid w:val="00446BBC"/>
    <w:rsid w:val="004472C0"/>
    <w:rsid w:val="00450705"/>
    <w:rsid w:val="00451928"/>
    <w:rsid w:val="0045363D"/>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76DF0"/>
    <w:rsid w:val="00590652"/>
    <w:rsid w:val="0059235F"/>
    <w:rsid w:val="00596936"/>
    <w:rsid w:val="005A2F1E"/>
    <w:rsid w:val="005A39A3"/>
    <w:rsid w:val="005A4232"/>
    <w:rsid w:val="005B0050"/>
    <w:rsid w:val="005C3616"/>
    <w:rsid w:val="005C363D"/>
    <w:rsid w:val="005C5FD1"/>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5505"/>
    <w:rsid w:val="00646DFE"/>
    <w:rsid w:val="00650530"/>
    <w:rsid w:val="00650C96"/>
    <w:rsid w:val="00651EA7"/>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C28FF"/>
    <w:rsid w:val="006D2330"/>
    <w:rsid w:val="006D5EB1"/>
    <w:rsid w:val="006E0F8B"/>
    <w:rsid w:val="006E12F7"/>
    <w:rsid w:val="006E29D7"/>
    <w:rsid w:val="007068A4"/>
    <w:rsid w:val="00706D67"/>
    <w:rsid w:val="00713052"/>
    <w:rsid w:val="00721367"/>
    <w:rsid w:val="007231FA"/>
    <w:rsid w:val="00732C67"/>
    <w:rsid w:val="00734418"/>
    <w:rsid w:val="0074785D"/>
    <w:rsid w:val="00757826"/>
    <w:rsid w:val="007632B7"/>
    <w:rsid w:val="0076382F"/>
    <w:rsid w:val="00765768"/>
    <w:rsid w:val="00765D10"/>
    <w:rsid w:val="00766AC8"/>
    <w:rsid w:val="00767486"/>
    <w:rsid w:val="0077070E"/>
    <w:rsid w:val="0077296A"/>
    <w:rsid w:val="0077445B"/>
    <w:rsid w:val="00777CA4"/>
    <w:rsid w:val="00792DF0"/>
    <w:rsid w:val="0079438F"/>
    <w:rsid w:val="007A3034"/>
    <w:rsid w:val="007A527E"/>
    <w:rsid w:val="007A53E7"/>
    <w:rsid w:val="007A78F7"/>
    <w:rsid w:val="007B3333"/>
    <w:rsid w:val="007B379F"/>
    <w:rsid w:val="007B37D6"/>
    <w:rsid w:val="007B5D30"/>
    <w:rsid w:val="007B6162"/>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E52"/>
    <w:rsid w:val="008D6B05"/>
    <w:rsid w:val="008E7D2D"/>
    <w:rsid w:val="008F44C0"/>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7400E"/>
    <w:rsid w:val="00984549"/>
    <w:rsid w:val="00985D28"/>
    <w:rsid w:val="00991BF0"/>
    <w:rsid w:val="009A0FB1"/>
    <w:rsid w:val="009A1FAC"/>
    <w:rsid w:val="009B001A"/>
    <w:rsid w:val="009B1A62"/>
    <w:rsid w:val="009B33AF"/>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4F88"/>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2EC7"/>
    <w:rsid w:val="00AC6E86"/>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58B9"/>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6805"/>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6B30"/>
    <w:rsid w:val="00E07ABE"/>
    <w:rsid w:val="00E11A3F"/>
    <w:rsid w:val="00E1386E"/>
    <w:rsid w:val="00E2369B"/>
    <w:rsid w:val="00E23EC0"/>
    <w:rsid w:val="00E3354B"/>
    <w:rsid w:val="00E354AA"/>
    <w:rsid w:val="00E43D54"/>
    <w:rsid w:val="00E442FB"/>
    <w:rsid w:val="00E529DB"/>
    <w:rsid w:val="00E53A5E"/>
    <w:rsid w:val="00E6466A"/>
    <w:rsid w:val="00E72221"/>
    <w:rsid w:val="00E83428"/>
    <w:rsid w:val="00E84C58"/>
    <w:rsid w:val="00E873A5"/>
    <w:rsid w:val="00E90D11"/>
    <w:rsid w:val="00E915E5"/>
    <w:rsid w:val="00E965E7"/>
    <w:rsid w:val="00EB0367"/>
    <w:rsid w:val="00EB4FB9"/>
    <w:rsid w:val="00EB5BC8"/>
    <w:rsid w:val="00EC2738"/>
    <w:rsid w:val="00EC633E"/>
    <w:rsid w:val="00ED0709"/>
    <w:rsid w:val="00ED7B42"/>
    <w:rsid w:val="00EE3EA5"/>
    <w:rsid w:val="00EE613F"/>
    <w:rsid w:val="00EE6BD1"/>
    <w:rsid w:val="00EF0262"/>
    <w:rsid w:val="00EF0828"/>
    <w:rsid w:val="00EF6F8B"/>
    <w:rsid w:val="00F03898"/>
    <w:rsid w:val="00F1527A"/>
    <w:rsid w:val="00F2696B"/>
    <w:rsid w:val="00F27821"/>
    <w:rsid w:val="00F27AED"/>
    <w:rsid w:val="00F4092A"/>
    <w:rsid w:val="00F41F69"/>
    <w:rsid w:val="00F43E41"/>
    <w:rsid w:val="00F4790C"/>
    <w:rsid w:val="00F50C4B"/>
    <w:rsid w:val="00F54C08"/>
    <w:rsid w:val="00F553A2"/>
    <w:rsid w:val="00F6068C"/>
    <w:rsid w:val="00F62F33"/>
    <w:rsid w:val="00F63A52"/>
    <w:rsid w:val="00F730BA"/>
    <w:rsid w:val="00F86272"/>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E965E7"/>
    <w:rPr>
      <w:sz w:val="16"/>
      <w:szCs w:val="16"/>
    </w:rPr>
  </w:style>
  <w:style w:type="paragraph" w:styleId="CommentSubject">
    <w:name w:val="annotation subject"/>
    <w:basedOn w:val="CommentText"/>
    <w:next w:val="CommentText"/>
    <w:link w:val="CommentSubjectChar"/>
    <w:uiPriority w:val="99"/>
    <w:semiHidden/>
    <w:unhideWhenUsed/>
    <w:rsid w:val="00E965E7"/>
    <w:rPr>
      <w:b/>
      <w:bCs/>
    </w:rPr>
  </w:style>
  <w:style w:type="character" w:customStyle="1" w:styleId="CommentTextChar">
    <w:name w:val="Comment Text Char"/>
    <w:basedOn w:val="DefaultParagraphFont"/>
    <w:link w:val="CommentText"/>
    <w:semiHidden/>
    <w:rsid w:val="00E965E7"/>
    <w:rPr>
      <w:rFonts w:ascii="Arial" w:hAnsi="Arial"/>
    </w:rPr>
  </w:style>
  <w:style w:type="character" w:customStyle="1" w:styleId="CommentSubjectChar">
    <w:name w:val="Comment Subject Char"/>
    <w:basedOn w:val="CommentTextChar"/>
    <w:link w:val="CommentSubject"/>
    <w:uiPriority w:val="99"/>
    <w:semiHidden/>
    <w:rsid w:val="00E965E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2C764-A28D-4033-B695-C78D90A8A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infopath/2007/PartnerControls"/>
    <ds:schemaRef ds:uri="f5eefb00-5952-4f7e-8cf8-96f81cfadd0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2382</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Pancreatic Enzyme Agents PDL</vt:lpstr>
    </vt:vector>
  </TitlesOfParts>
  <Company>DSS</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Pancreatic Enzyme Agents PDL</dc:title>
  <dc:creator>DMS</dc:creator>
  <cp:lastModifiedBy>Heriford, Katherine</cp:lastModifiedBy>
  <cp:revision>2</cp:revision>
  <cp:lastPrinted>2018-10-31T20:17:00Z</cp:lastPrinted>
  <dcterms:created xsi:type="dcterms:W3CDTF">2026-06-25T19:51:00Z</dcterms:created>
  <dcterms:modified xsi:type="dcterms:W3CDTF">2026-06-25T19:51:00Z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