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312D1" w14:textId="4E57B972" w:rsidR="00C15D2B" w:rsidRDefault="00C15D2B" w:rsidP="00C15D2B">
      <w:pPr>
        <w:pStyle w:val="Heading1"/>
        <w:spacing w:before="0" w:after="0"/>
        <w:jc w:val="left"/>
        <w:rPr>
          <w:rFonts w:ascii="Tahoma" w:hAnsi="Tahoma" w:cs="Tahoma"/>
          <w:sz w:val="32"/>
          <w:szCs w:val="28"/>
        </w:rPr>
      </w:pPr>
      <w:r>
        <w:rPr>
          <w:b w:val="0"/>
          <w:bCs w:val="0"/>
          <w:noProof/>
          <w:sz w:val="32"/>
        </w:rPr>
        <w:drawing>
          <wp:anchor distT="0" distB="0" distL="114300" distR="114300" simplePos="0" relativeHeight="251660800" behindDoc="0" locked="0" layoutInCell="1" allowOverlap="1" wp14:anchorId="09676E16" wp14:editId="24C2402C">
            <wp:simplePos x="0" y="0"/>
            <wp:positionH relativeFrom="margin">
              <wp:posOffset>3943350</wp:posOffset>
            </wp:positionH>
            <wp:positionV relativeFrom="paragraph">
              <wp:posOffset>6985</wp:posOffset>
            </wp:positionV>
            <wp:extent cx="2430145" cy="788848"/>
            <wp:effectExtent l="0" t="0" r="8255" b="0"/>
            <wp:wrapNone/>
            <wp:docPr id="1" name="Picture 1" descr="MO HealthN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 HealthNet">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0145" cy="788848"/>
                    </a:xfrm>
                    <a:prstGeom prst="rect">
                      <a:avLst/>
                    </a:prstGeom>
                  </pic:spPr>
                </pic:pic>
              </a:graphicData>
            </a:graphic>
            <wp14:sizeRelH relativeFrom="page">
              <wp14:pctWidth>0</wp14:pctWidth>
            </wp14:sizeRelH>
            <wp14:sizeRelV relativeFrom="page">
              <wp14:pctHeight>0</wp14:pctHeight>
            </wp14:sizeRelV>
          </wp:anchor>
        </w:drawing>
      </w:r>
    </w:p>
    <w:p w14:paraId="27EC4F89" w14:textId="235D5377" w:rsidR="00C15D2B" w:rsidRDefault="00C15D2B" w:rsidP="00C15D2B">
      <w:pPr>
        <w:pStyle w:val="Heading1"/>
        <w:spacing w:before="0" w:after="0"/>
        <w:jc w:val="left"/>
        <w:rPr>
          <w:rFonts w:ascii="Tahoma" w:hAnsi="Tahoma" w:cs="Tahoma"/>
          <w:sz w:val="32"/>
          <w:szCs w:val="28"/>
        </w:rPr>
      </w:pPr>
      <w:r w:rsidRPr="00FF23CD">
        <w:rPr>
          <w:rFonts w:ascii="Tahoma" w:hAnsi="Tahoma" w:cs="Tahoma"/>
          <w:sz w:val="32"/>
          <w:szCs w:val="28"/>
        </w:rPr>
        <w:t>Provider Bulletin</w:t>
      </w:r>
    </w:p>
    <w:p w14:paraId="2FB3FE6E" w14:textId="4797DA59" w:rsidR="00C15D2B" w:rsidRPr="00C15D2B" w:rsidRDefault="00C15D2B" w:rsidP="00C15D2B">
      <w:pPr>
        <w:spacing w:before="0" w:after="0" w:line="240" w:lineRule="auto"/>
        <w:rPr>
          <w:rFonts w:ascii="Tahoma" w:hAnsi="Tahoma" w:cs="Tahoma"/>
          <w:b/>
          <w:bCs/>
          <w:sz w:val="23"/>
          <w:szCs w:val="23"/>
        </w:rPr>
      </w:pPr>
      <w:r w:rsidRPr="00C15D2B">
        <w:rPr>
          <w:rFonts w:ascii="Tahoma" w:hAnsi="Tahoma" w:cs="Tahoma"/>
          <w:b/>
          <w:bCs/>
          <w:sz w:val="23"/>
          <w:szCs w:val="23"/>
        </w:rPr>
        <w:t xml:space="preserve">Volume </w:t>
      </w:r>
      <w:r w:rsidR="000842B2">
        <w:rPr>
          <w:rFonts w:ascii="Tahoma" w:hAnsi="Tahoma" w:cs="Tahoma"/>
          <w:b/>
          <w:bCs/>
          <w:sz w:val="23"/>
          <w:szCs w:val="23"/>
        </w:rPr>
        <w:t>49</w:t>
      </w:r>
      <w:r w:rsidRPr="00C15D2B">
        <w:rPr>
          <w:rFonts w:ascii="Tahoma" w:hAnsi="Tahoma" w:cs="Tahoma"/>
          <w:b/>
          <w:bCs/>
          <w:sz w:val="23"/>
          <w:szCs w:val="23"/>
        </w:rPr>
        <w:t xml:space="preserve"> Number </w:t>
      </w:r>
      <w:r w:rsidR="000842B2">
        <w:rPr>
          <w:rFonts w:ascii="Tahoma" w:hAnsi="Tahoma" w:cs="Tahoma"/>
          <w:b/>
          <w:bCs/>
          <w:sz w:val="23"/>
          <w:szCs w:val="23"/>
        </w:rPr>
        <w:t>01</w:t>
      </w:r>
    </w:p>
    <w:p w14:paraId="2F98D0BF" w14:textId="77777777" w:rsidR="00C15D2B" w:rsidRDefault="00C15D2B" w:rsidP="00C15D2B">
      <w:pPr>
        <w:spacing w:before="0" w:after="0" w:line="240" w:lineRule="auto"/>
        <w:rPr>
          <w:rFonts w:ascii="Tahoma" w:hAnsi="Tahoma" w:cs="Tahoma"/>
          <w:b/>
          <w:bCs/>
          <w:sz w:val="23"/>
          <w:szCs w:val="23"/>
        </w:rPr>
      </w:pPr>
    </w:p>
    <w:p w14:paraId="16C0CD84" w14:textId="77777777" w:rsidR="00C15D2B" w:rsidRDefault="00C15D2B" w:rsidP="00C15D2B">
      <w:pPr>
        <w:pBdr>
          <w:bottom w:val="single" w:sz="12" w:space="1" w:color="auto"/>
        </w:pBdr>
        <w:spacing w:before="0" w:after="120" w:line="240" w:lineRule="auto"/>
        <w:rPr>
          <w:rFonts w:ascii="Tahoma" w:hAnsi="Tahoma" w:cs="Tahoma"/>
          <w:b/>
          <w:bCs/>
          <w:sz w:val="23"/>
          <w:szCs w:val="23"/>
        </w:rPr>
      </w:pPr>
    </w:p>
    <w:p w14:paraId="2FF86A4D" w14:textId="1A076760" w:rsidR="004A0D31" w:rsidRDefault="004A0D31" w:rsidP="00175D54">
      <w:pPr>
        <w:pStyle w:val="Heading3"/>
        <w:spacing w:before="0" w:after="240" w:line="240" w:lineRule="auto"/>
        <w:jc w:val="center"/>
        <w:rPr>
          <w:rFonts w:ascii="Tahoma" w:hAnsi="Tahoma" w:cs="Tahoma"/>
          <w:bCs/>
          <w:sz w:val="24"/>
          <w:szCs w:val="24"/>
        </w:rPr>
      </w:pPr>
      <w:bookmarkStart w:id="0" w:name="_Hlk233189483"/>
      <w:r w:rsidRPr="00B852D3">
        <w:t>MORx Policy Regarding CMS GLP-1 Bridge Demonstration Program</w:t>
      </w:r>
      <w:bookmarkEnd w:id="0"/>
    </w:p>
    <w:p w14:paraId="245D3058" w14:textId="63E70003" w:rsidR="00C84852" w:rsidRPr="00C15D2B" w:rsidRDefault="00C84852" w:rsidP="00C15D2B">
      <w:pPr>
        <w:pStyle w:val="Heading3"/>
        <w:spacing w:before="0" w:after="240" w:line="240" w:lineRule="auto"/>
        <w:rPr>
          <w:rFonts w:ascii="Tahoma" w:hAnsi="Tahoma" w:cs="Tahoma"/>
          <w:b w:val="0"/>
          <w:sz w:val="24"/>
          <w:szCs w:val="24"/>
        </w:rPr>
      </w:pPr>
      <w:r w:rsidRPr="00C15D2B">
        <w:rPr>
          <w:rFonts w:ascii="Tahoma" w:hAnsi="Tahoma" w:cs="Tahoma"/>
          <w:bCs/>
          <w:sz w:val="24"/>
          <w:szCs w:val="24"/>
        </w:rPr>
        <w:t>Applies to:</w:t>
      </w:r>
      <w:r w:rsidR="004A0D31">
        <w:rPr>
          <w:rFonts w:ascii="Tahoma" w:hAnsi="Tahoma" w:cs="Tahoma"/>
          <w:bCs/>
          <w:sz w:val="24"/>
          <w:szCs w:val="24"/>
        </w:rPr>
        <w:t xml:space="preserve"> </w:t>
      </w:r>
      <w:bookmarkStart w:id="1" w:name="_Hlk233189627"/>
      <w:r w:rsidR="004A0D31" w:rsidRPr="00B852D3">
        <w:t>Pharmacy Providers and Prescribers</w:t>
      </w:r>
      <w:bookmarkEnd w:id="1"/>
    </w:p>
    <w:p w14:paraId="5CBDDB91" w14:textId="57BC2D29" w:rsidR="00C15D2B" w:rsidRPr="00C15D2B" w:rsidRDefault="00C15D2B" w:rsidP="00C15D2B">
      <w:pPr>
        <w:spacing w:before="0" w:line="240" w:lineRule="auto"/>
        <w:rPr>
          <w:rFonts w:ascii="Tahoma" w:hAnsi="Tahoma" w:cs="Tahoma"/>
        </w:rPr>
      </w:pPr>
      <w:r w:rsidRPr="00C15D2B">
        <w:rPr>
          <w:rFonts w:ascii="Tahoma" w:hAnsi="Tahoma" w:cs="Tahoma"/>
          <w:b/>
          <w:bCs/>
        </w:rPr>
        <w:t>Posted date:</w:t>
      </w:r>
      <w:r w:rsidR="000842B2">
        <w:rPr>
          <w:rFonts w:ascii="Tahoma" w:hAnsi="Tahoma" w:cs="Tahoma"/>
          <w:b/>
          <w:bCs/>
        </w:rPr>
        <w:t xml:space="preserve"> July 8, 2026</w:t>
      </w:r>
    </w:p>
    <w:p w14:paraId="36D30714" w14:textId="4290ED75" w:rsidR="00EF6940" w:rsidRPr="00C15D2B" w:rsidRDefault="00C84852" w:rsidP="00C15D2B">
      <w:pPr>
        <w:pStyle w:val="Heading3"/>
        <w:spacing w:after="240"/>
        <w:rPr>
          <w:rFonts w:ascii="Tahoma" w:hAnsi="Tahoma" w:cs="Tahoma"/>
          <w:bCs/>
          <w:sz w:val="24"/>
          <w:szCs w:val="24"/>
        </w:rPr>
      </w:pPr>
      <w:r w:rsidRPr="00C15D2B">
        <w:rPr>
          <w:rFonts w:ascii="Tahoma" w:hAnsi="Tahoma" w:cs="Tahoma"/>
          <w:bCs/>
          <w:sz w:val="24"/>
          <w:szCs w:val="24"/>
        </w:rPr>
        <w:t xml:space="preserve">Effective date: </w:t>
      </w:r>
      <w:r w:rsidR="004A0D31">
        <w:rPr>
          <w:rFonts w:ascii="Tahoma" w:hAnsi="Tahoma" w:cs="Tahoma"/>
          <w:bCs/>
          <w:sz w:val="24"/>
          <w:szCs w:val="24"/>
        </w:rPr>
        <w:t>July 1, 2026</w:t>
      </w:r>
    </w:p>
    <w:p w14:paraId="26C0C665" w14:textId="77777777" w:rsidR="004A0D31" w:rsidRPr="004A0D31" w:rsidRDefault="004A0D31" w:rsidP="004A0D31">
      <w:pPr>
        <w:rPr>
          <w:rFonts w:ascii="Tahoma" w:hAnsi="Tahoma" w:cs="Tahoma"/>
          <w:sz w:val="23"/>
          <w:szCs w:val="23"/>
        </w:rPr>
      </w:pPr>
      <w:bookmarkStart w:id="2" w:name="_Hlk233190277"/>
      <w:r w:rsidRPr="004A0D31">
        <w:rPr>
          <w:rFonts w:ascii="Tahoma" w:hAnsi="Tahoma" w:cs="Tahoma"/>
          <w:sz w:val="23"/>
          <w:szCs w:val="23"/>
        </w:rPr>
        <w:t>CMS has launched the GLP-1 Bridge Demonstration Program to offer temporary Medicare coverage for certain GLP-1 receptor agonists prescribed for chronic weight management or obesity, starting July 1, 2026 (</w:t>
      </w:r>
      <w:hyperlink r:id="rId12" w:tooltip="Link to CMS information on Medicare GLP-1 Bridge program" w:history="1">
        <w:r w:rsidRPr="004A0D31">
          <w:rPr>
            <w:rStyle w:val="Hyperlink"/>
            <w:rFonts w:ascii="Tahoma" w:hAnsi="Tahoma" w:cs="Tahoma"/>
            <w:sz w:val="23"/>
            <w:szCs w:val="23"/>
          </w:rPr>
          <w:t>Weight loss drugs | Medicare</w:t>
        </w:r>
      </w:hyperlink>
      <w:r w:rsidRPr="004A0D31">
        <w:rPr>
          <w:rFonts w:ascii="Tahoma" w:hAnsi="Tahoma" w:cs="Tahoma"/>
          <w:sz w:val="23"/>
          <w:szCs w:val="23"/>
        </w:rPr>
        <w:t xml:space="preserve">). Participants in this program will pay a flat $50.00 monthly copayment at the pharmacy.  </w:t>
      </w:r>
    </w:p>
    <w:p w14:paraId="4C87CF68" w14:textId="77777777" w:rsidR="004A0D31" w:rsidRPr="004A0D31" w:rsidRDefault="004A0D31" w:rsidP="004A0D31">
      <w:pPr>
        <w:rPr>
          <w:rFonts w:ascii="Tahoma" w:hAnsi="Tahoma" w:cs="Tahoma"/>
          <w:sz w:val="23"/>
          <w:szCs w:val="23"/>
        </w:rPr>
      </w:pPr>
      <w:r w:rsidRPr="004A0D31">
        <w:rPr>
          <w:rFonts w:ascii="Tahoma" w:hAnsi="Tahoma" w:cs="Tahoma"/>
          <w:sz w:val="23"/>
          <w:szCs w:val="23"/>
        </w:rPr>
        <w:t>MORx does not cover anti-obesity or weight-loss medications for dual-eligible participants and will not provide wrap-around coverage, secondary coordination of benefits, or financial assistance for the $50.00 GLP-1 Bridge Program copayment. Dual-eligible participants in the GLP-1 Bridge Program are responsible for the $50.00 monthly copay. Pharmacies should not submit these claims to MORx as a secondary payer.</w:t>
      </w:r>
    </w:p>
    <w:p w14:paraId="112CA3E6" w14:textId="3FDA0BDD" w:rsidR="004A0D31" w:rsidRPr="004A0D31" w:rsidRDefault="004A0D31" w:rsidP="004A0D31">
      <w:pPr>
        <w:rPr>
          <w:rFonts w:ascii="Tahoma" w:hAnsi="Tahoma" w:cs="Tahoma"/>
          <w:sz w:val="23"/>
          <w:szCs w:val="23"/>
        </w:rPr>
      </w:pPr>
      <w:r w:rsidRPr="004A0D31">
        <w:rPr>
          <w:rFonts w:ascii="Tahoma" w:hAnsi="Tahoma" w:cs="Tahoma"/>
          <w:sz w:val="23"/>
          <w:szCs w:val="23"/>
        </w:rPr>
        <w:t>This policy does not change how MORx helps with GLP-1 medications prescribed for other FDA</w:t>
      </w:r>
      <w:r w:rsidR="00565614">
        <w:rPr>
          <w:rFonts w:ascii="Tahoma" w:hAnsi="Tahoma" w:cs="Tahoma"/>
          <w:sz w:val="23"/>
          <w:szCs w:val="23"/>
        </w:rPr>
        <w:t>-</w:t>
      </w:r>
      <w:r w:rsidRPr="004A0D31">
        <w:rPr>
          <w:rFonts w:ascii="Tahoma" w:hAnsi="Tahoma" w:cs="Tahoma"/>
          <w:sz w:val="23"/>
          <w:szCs w:val="23"/>
        </w:rPr>
        <w:t>approved indications. If a participant’s Medicare Part D plan covers a GLP-1 medication for indications</w:t>
      </w:r>
      <w:r w:rsidRPr="004A0D31" w:rsidDel="008B1DFC">
        <w:rPr>
          <w:rFonts w:ascii="Tahoma" w:hAnsi="Tahoma" w:cs="Tahoma"/>
          <w:sz w:val="23"/>
          <w:szCs w:val="23"/>
        </w:rPr>
        <w:t xml:space="preserve"> </w:t>
      </w:r>
      <w:r w:rsidRPr="004A0D31">
        <w:rPr>
          <w:rFonts w:ascii="Tahoma" w:hAnsi="Tahoma" w:cs="Tahoma"/>
          <w:color w:val="000000"/>
          <w:sz w:val="23"/>
          <w:szCs w:val="23"/>
        </w:rPr>
        <w:t>such as Type 2 Diabetes, reducing major cardiovascular risks, obstructive sleep apnea, etc.</w:t>
      </w:r>
      <w:r w:rsidRPr="004A0D31">
        <w:rPr>
          <w:rFonts w:ascii="Tahoma" w:hAnsi="Tahoma" w:cs="Tahoma"/>
          <w:sz w:val="23"/>
          <w:szCs w:val="23"/>
        </w:rPr>
        <w:t>, MORx will continue to help pay the standard Part D copayment.</w:t>
      </w:r>
    </w:p>
    <w:p w14:paraId="78985D3B" w14:textId="77777777" w:rsidR="004A0D31" w:rsidRPr="004A0D31" w:rsidRDefault="004A0D31" w:rsidP="004A0D31">
      <w:pPr>
        <w:rPr>
          <w:rFonts w:ascii="Tahoma" w:hAnsi="Tahoma" w:cs="Tahoma"/>
          <w:sz w:val="23"/>
          <w:szCs w:val="23"/>
        </w:rPr>
      </w:pPr>
      <w:r w:rsidRPr="004A0D31">
        <w:rPr>
          <w:rFonts w:ascii="Tahoma" w:hAnsi="Tahoma" w:cs="Tahoma"/>
          <w:sz w:val="23"/>
          <w:szCs w:val="23"/>
        </w:rPr>
        <w:t>If you have questions about billing or this MORx policy update, please contact Pharmacy Administration at (573) 751-6963 or email MHD.PharmacyAdmin@dss.mo.gov.</w:t>
      </w:r>
    </w:p>
    <w:bookmarkEnd w:id="2"/>
    <w:p w14:paraId="33D179A9" w14:textId="77777777" w:rsidR="00B54FF2" w:rsidRPr="00087573" w:rsidRDefault="00B54FF2" w:rsidP="006A6EA0">
      <w:pPr>
        <w:spacing w:before="0" w:after="0" w:line="240" w:lineRule="auto"/>
        <w:rPr>
          <w:rFonts w:ascii="Tahoma" w:hAnsi="Tahoma" w:cs="Tahoma"/>
          <w:noProof/>
          <w:color w:val="FF0000"/>
          <w:sz w:val="20"/>
          <w:szCs w:val="20"/>
        </w:rPr>
      </w:pPr>
    </w:p>
    <w:p w14:paraId="6CE2C629" w14:textId="2CBEE619" w:rsidR="00E73773" w:rsidRPr="00087573" w:rsidRDefault="00C3526D" w:rsidP="00A95170">
      <w:pPr>
        <w:pStyle w:val="Bulletinendtext"/>
        <w:rPr>
          <w:rFonts w:ascii="Tahoma" w:hAnsi="Tahoma" w:cs="Tahoma"/>
        </w:rPr>
      </w:pPr>
      <w:r w:rsidRPr="00087573">
        <w:rPr>
          <w:rFonts w:ascii="Tahoma" w:hAnsi="Tahoma" w:cs="Tahoma"/>
        </w:rPr>
        <w:t xml:space="preserve">MO HealthNet Fee-For-Service (FFS) </w:t>
      </w:r>
      <w:r w:rsidR="001E4707" w:rsidRPr="00087573">
        <w:rPr>
          <w:rFonts w:ascii="Tahoma" w:hAnsi="Tahoma" w:cs="Tahoma"/>
        </w:rPr>
        <w:t>policies guide basic coverage for Managed Care (MC), though MC plans may add requirements like prior authorization. Some services, including pharmacy, are carved out of MC and paid through FFS. Contact each</w:t>
      </w:r>
      <w:r w:rsidR="00B4768B" w:rsidRPr="00087573">
        <w:rPr>
          <w:rFonts w:ascii="Tahoma" w:hAnsi="Tahoma" w:cs="Tahoma"/>
        </w:rPr>
        <w:t xml:space="preserve"> </w:t>
      </w:r>
      <w:hyperlink r:id="rId13" w:history="1">
        <w:r w:rsidR="001E4707" w:rsidRPr="00087573">
          <w:rPr>
            <w:rStyle w:val="Hyperlink"/>
            <w:rFonts w:ascii="Tahoma" w:hAnsi="Tahoma" w:cs="Tahoma"/>
            <w:sz w:val="18"/>
          </w:rPr>
          <w:t>MC health plan</w:t>
        </w:r>
      </w:hyperlink>
      <w:r w:rsidR="001E4707" w:rsidRPr="00087573">
        <w:rPr>
          <w:rFonts w:ascii="Tahoma" w:hAnsi="Tahoma" w:cs="Tahoma"/>
        </w:rPr>
        <w:t xml:space="preserve"> to confirm how this Bulletin applies. Unresolved issues may be submitted through the </w:t>
      </w:r>
      <w:hyperlink r:id="rId14" w:history="1">
        <w:r w:rsidR="00E73773" w:rsidRPr="00087573">
          <w:rPr>
            <w:rStyle w:val="Hyperlink"/>
            <w:rFonts w:ascii="Tahoma" w:hAnsi="Tahoma" w:cs="Tahoma"/>
            <w:sz w:val="18"/>
          </w:rPr>
          <w:t>MC Provider Request for Information</w:t>
        </w:r>
      </w:hyperlink>
      <w:r w:rsidR="00B4768B" w:rsidRPr="00087573">
        <w:rPr>
          <w:rFonts w:ascii="Tahoma" w:hAnsi="Tahoma" w:cs="Tahoma"/>
        </w:rPr>
        <w:t xml:space="preserve"> </w:t>
      </w:r>
      <w:r w:rsidR="001E4707" w:rsidRPr="00087573">
        <w:rPr>
          <w:rFonts w:ascii="Tahoma" w:hAnsi="Tahoma" w:cs="Tahoma"/>
        </w:rPr>
        <w:t>to reach an MHD MC Liaison.</w:t>
      </w:r>
    </w:p>
    <w:p w14:paraId="624CC583" w14:textId="5FAB45C1" w:rsidR="00E73773" w:rsidRPr="00087573" w:rsidRDefault="00E73773" w:rsidP="00B4768B">
      <w:pPr>
        <w:pStyle w:val="Bulletinendtext"/>
        <w:jc w:val="left"/>
        <w:rPr>
          <w:rFonts w:ascii="Tahoma" w:hAnsi="Tahoma" w:cs="Tahoma"/>
        </w:rPr>
      </w:pPr>
      <w:r w:rsidRPr="00087573">
        <w:rPr>
          <w:rFonts w:ascii="Tahoma" w:hAnsi="Tahoma" w:cs="Tahoma"/>
        </w:rPr>
        <w:t>Before providing services, verify patient eligibility by swiping the MO HealthNet card, calling Provider Communications at 573-751-2896 or toll-free (833) 222-7916 (Option 1) or using</w:t>
      </w:r>
      <w:r w:rsidR="00B4768B" w:rsidRPr="00087573">
        <w:rPr>
          <w:rFonts w:ascii="Tahoma" w:hAnsi="Tahoma" w:cs="Tahoma"/>
        </w:rPr>
        <w:t xml:space="preserve"> </w:t>
      </w:r>
      <w:hyperlink r:id="rId15" w:history="1">
        <w:r w:rsidRPr="00087573">
          <w:rPr>
            <w:rStyle w:val="Hyperlink"/>
            <w:rFonts w:ascii="Tahoma" w:hAnsi="Tahoma" w:cs="Tahoma"/>
            <w:sz w:val="18"/>
          </w:rPr>
          <w:t>eMOMED</w:t>
        </w:r>
      </w:hyperlink>
      <w:r w:rsidRPr="00087573">
        <w:rPr>
          <w:rFonts w:ascii="Tahoma" w:hAnsi="Tahoma" w:cs="Tahoma"/>
        </w:rPr>
        <w:t xml:space="preserve"> </w:t>
      </w:r>
      <w:r w:rsidR="001E4707" w:rsidRPr="00087573">
        <w:rPr>
          <w:rFonts w:ascii="Tahoma" w:hAnsi="Tahoma" w:cs="Tahoma"/>
        </w:rPr>
        <w:t>D</w:t>
      </w:r>
      <w:r w:rsidRPr="00087573">
        <w:rPr>
          <w:rFonts w:ascii="Tahoma" w:hAnsi="Tahoma" w:cs="Tahoma"/>
        </w:rPr>
        <w:t xml:space="preserve">irect </w:t>
      </w:r>
      <w:r w:rsidR="001E4707" w:rsidRPr="00087573">
        <w:rPr>
          <w:rFonts w:ascii="Tahoma" w:hAnsi="Tahoma" w:cs="Tahoma"/>
        </w:rPr>
        <w:t xml:space="preserve">MC benefit </w:t>
      </w:r>
      <w:r w:rsidRPr="00087573">
        <w:rPr>
          <w:rFonts w:ascii="Tahoma" w:hAnsi="Tahoma" w:cs="Tahoma"/>
        </w:rPr>
        <w:t xml:space="preserve">questions about MC benefits to the </w:t>
      </w:r>
      <w:r w:rsidR="001E4707" w:rsidRPr="00087573">
        <w:rPr>
          <w:rFonts w:ascii="Tahoma" w:hAnsi="Tahoma" w:cs="Tahoma"/>
        </w:rPr>
        <w:t>member’s</w:t>
      </w:r>
      <w:r w:rsidRPr="00087573">
        <w:rPr>
          <w:rFonts w:ascii="Tahoma" w:hAnsi="Tahoma" w:cs="Tahoma"/>
        </w:rPr>
        <w:t xml:space="preserve"> MC health plan. </w:t>
      </w:r>
    </w:p>
    <w:p w14:paraId="7256DCF4" w14:textId="44CF76D4" w:rsidR="00137A70" w:rsidRPr="00087573" w:rsidRDefault="001E4707" w:rsidP="00F01777">
      <w:pPr>
        <w:pStyle w:val="Bulletinendtext"/>
        <w:jc w:val="left"/>
        <w:rPr>
          <w:rFonts w:ascii="Tahoma" w:hAnsi="Tahoma" w:cs="Tahoma"/>
        </w:rPr>
      </w:pPr>
      <w:r w:rsidRPr="00087573">
        <w:rPr>
          <w:rFonts w:ascii="Tahoma" w:hAnsi="Tahoma" w:cs="Tahoma"/>
        </w:rPr>
        <w:lastRenderedPageBreak/>
        <w:t xml:space="preserve">Bulletins remain on the </w:t>
      </w:r>
      <w:hyperlink r:id="rId16" w:tooltip="visit the MO HealthNet News webpage" w:history="1">
        <w:r w:rsidRPr="00087573">
          <w:rPr>
            <w:rStyle w:val="Hyperlink"/>
            <w:rFonts w:ascii="Tahoma" w:hAnsi="Tahoma" w:cs="Tahoma"/>
            <w:b w:val="0"/>
            <w:color w:val="auto"/>
            <w:sz w:val="18"/>
            <w:u w:val="none"/>
          </w:rPr>
          <w:t>MO HealthNet News</w:t>
        </w:r>
      </w:hyperlink>
      <w:r w:rsidRPr="00087573">
        <w:rPr>
          <w:rFonts w:ascii="Tahoma" w:hAnsi="Tahoma" w:cs="Tahoma"/>
        </w:rPr>
        <w:t xml:space="preserve"> page for three years. Providers are encouraged to </w:t>
      </w:r>
      <w:hyperlink r:id="rId17" w:anchor="tab1" w:history="1">
        <w:r w:rsidRPr="00087573">
          <w:rPr>
            <w:rStyle w:val="Hyperlink"/>
            <w:rFonts w:ascii="Tahoma" w:hAnsi="Tahoma" w:cs="Tahoma"/>
            <w:bCs/>
            <w:sz w:val="18"/>
          </w:rPr>
          <w:t>subscribe</w:t>
        </w:r>
        <w:r w:rsidRPr="00087573">
          <w:rPr>
            <w:rStyle w:val="Hyperlink"/>
            <w:rFonts w:ascii="Tahoma" w:hAnsi="Tahoma" w:cs="Tahoma"/>
            <w:b w:val="0"/>
            <w:color w:val="auto"/>
            <w:sz w:val="18"/>
            <w:u w:val="none"/>
          </w:rPr>
          <w:t xml:space="preserve"> </w:t>
        </w:r>
      </w:hyperlink>
      <w:r w:rsidRPr="00087573">
        <w:rPr>
          <w:rFonts w:ascii="Tahoma" w:hAnsi="Tahoma" w:cs="Tahoma"/>
        </w:rPr>
        <w:t xml:space="preserve">for updates. </w:t>
      </w:r>
      <w:r w:rsidR="00E73773" w:rsidRPr="00087573">
        <w:rPr>
          <w:rFonts w:ascii="Tahoma" w:hAnsi="Tahoma" w:cs="Tahoma"/>
        </w:rPr>
        <w:t xml:space="preserve">Visit </w:t>
      </w:r>
      <w:hyperlink r:id="rId18" w:history="1">
        <w:r w:rsidR="00E73773" w:rsidRPr="00087573">
          <w:rPr>
            <w:rStyle w:val="Hyperlink"/>
            <w:rFonts w:ascii="Tahoma" w:hAnsi="Tahoma" w:cs="Tahoma"/>
            <w:sz w:val="18"/>
          </w:rPr>
          <w:t>MHD Education and Training</w:t>
        </w:r>
      </w:hyperlink>
      <w:r w:rsidR="00E73773" w:rsidRPr="00087573">
        <w:rPr>
          <w:rFonts w:ascii="Tahoma" w:hAnsi="Tahoma" w:cs="Tahoma"/>
        </w:rPr>
        <w:t xml:space="preserve"> </w:t>
      </w:r>
      <w:r w:rsidRPr="00087573">
        <w:rPr>
          <w:rFonts w:ascii="Tahoma" w:hAnsi="Tahoma" w:cs="Tahoma"/>
        </w:rPr>
        <w:t>for</w:t>
      </w:r>
      <w:r w:rsidR="00E73773" w:rsidRPr="00087573">
        <w:rPr>
          <w:rFonts w:ascii="Tahoma" w:hAnsi="Tahoma" w:cs="Tahoma"/>
        </w:rPr>
        <w:t xml:space="preserve"> web-based training </w:t>
      </w:r>
      <w:r w:rsidRPr="00087573">
        <w:rPr>
          <w:rFonts w:ascii="Tahoma" w:hAnsi="Tahoma" w:cs="Tahoma"/>
        </w:rPr>
        <w:t>and</w:t>
      </w:r>
      <w:r w:rsidR="00E73773" w:rsidRPr="00087573">
        <w:rPr>
          <w:rFonts w:ascii="Tahoma" w:hAnsi="Tahoma" w:cs="Tahoma"/>
        </w:rPr>
        <w:t xml:space="preserve"> resources</w:t>
      </w:r>
      <w:r w:rsidRPr="00087573">
        <w:rPr>
          <w:rFonts w:ascii="Tahoma" w:hAnsi="Tahoma" w:cs="Tahoma"/>
        </w:rPr>
        <w:t xml:space="preserve">, or </w:t>
      </w:r>
      <w:hyperlink r:id="rId19" w:history="1">
        <w:r w:rsidRPr="00087573">
          <w:rPr>
            <w:rStyle w:val="Hyperlink"/>
            <w:rFonts w:ascii="Tahoma" w:hAnsi="Tahoma" w:cs="Tahoma"/>
            <w:b w:val="0"/>
            <w:color w:val="auto"/>
            <w:sz w:val="18"/>
            <w:u w:val="none"/>
          </w:rPr>
          <w:t>submit an</w:t>
        </w:r>
        <w:r w:rsidR="00E73773" w:rsidRPr="00087573">
          <w:rPr>
            <w:rStyle w:val="Hyperlink"/>
            <w:rFonts w:ascii="Tahoma" w:hAnsi="Tahoma" w:cs="Tahoma"/>
            <w:b w:val="0"/>
            <w:color w:val="auto"/>
            <w:sz w:val="18"/>
            <w:u w:val="none"/>
          </w:rPr>
          <w:t xml:space="preserve"> </w:t>
        </w:r>
        <w:r w:rsidR="00E73773" w:rsidRPr="00087573">
          <w:rPr>
            <w:rStyle w:val="Hyperlink"/>
            <w:rFonts w:ascii="Tahoma" w:hAnsi="Tahoma" w:cs="Tahoma"/>
            <w:bCs/>
            <w:sz w:val="18"/>
          </w:rPr>
          <w:t>MHD Education Request</w:t>
        </w:r>
      </w:hyperlink>
      <w:r w:rsidRPr="00087573">
        <w:rPr>
          <w:rFonts w:ascii="Tahoma" w:hAnsi="Tahoma" w:cs="Tahoma"/>
        </w:rPr>
        <w:t xml:space="preserve"> to schedule training.</w:t>
      </w:r>
    </w:p>
    <w:sectPr w:rsidR="00137A70" w:rsidRPr="00087573" w:rsidSect="00C15D2B">
      <w:headerReference w:type="default" r:id="rId20"/>
      <w:footerReference w:type="first" r:id="rId21"/>
      <w:pgSz w:w="12240" w:h="15840"/>
      <w:pgMar w:top="432" w:right="1080" w:bottom="864"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F46DF" w14:textId="77777777" w:rsidR="00356170" w:rsidRDefault="00356170">
      <w:r>
        <w:separator/>
      </w:r>
    </w:p>
  </w:endnote>
  <w:endnote w:type="continuationSeparator" w:id="0">
    <w:p w14:paraId="05BE3FC2" w14:textId="77777777" w:rsidR="00356170" w:rsidRDefault="0035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FCA2" w14:textId="6997F7F5" w:rsidR="001E4707" w:rsidRPr="00087573" w:rsidRDefault="001E4707" w:rsidP="001E4707">
    <w:pPr>
      <w:jc w:val="right"/>
      <w:rPr>
        <w:rFonts w:ascii="Tahoma" w:hAnsi="Tahoma" w:cs="Tahoma"/>
        <w:sz w:val="16"/>
        <w:szCs w:val="16"/>
      </w:rPr>
    </w:pPr>
    <w:r w:rsidRPr="00087573">
      <w:rPr>
        <w:rFonts w:ascii="Tahoma" w:hAnsi="Tahoma" w:cs="Tahoma"/>
        <w:sz w:val="16"/>
        <w:szCs w:val="16"/>
      </w:rPr>
      <w:t xml:space="preserve">Template updated: </w:t>
    </w:r>
    <w:r w:rsidR="00017E48" w:rsidRPr="00087573">
      <w:rPr>
        <w:rFonts w:ascii="Tahoma" w:hAnsi="Tahoma" w:cs="Tahoma"/>
        <w:sz w:val="16"/>
        <w:szCs w:val="16"/>
      </w:rPr>
      <w:t>0</w:t>
    </w:r>
    <w:r w:rsidRPr="00087573">
      <w:rPr>
        <w:rFonts w:ascii="Tahoma" w:hAnsi="Tahoma" w:cs="Tahoma"/>
        <w:sz w:val="16"/>
        <w:szCs w:val="16"/>
      </w:rPr>
      <w:t>3/</w:t>
    </w:r>
    <w:r w:rsidR="00701A7F">
      <w:rPr>
        <w:rFonts w:ascii="Tahoma" w:hAnsi="Tahoma" w:cs="Tahoma"/>
        <w:sz w:val="16"/>
        <w:szCs w:val="16"/>
      </w:rPr>
      <w:t>12</w:t>
    </w:r>
    <w:r w:rsidRPr="00087573">
      <w:rPr>
        <w:rFonts w:ascii="Tahoma" w:hAnsi="Tahoma" w:cs="Tahoma"/>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ED998" w14:textId="77777777" w:rsidR="00356170" w:rsidRDefault="00356170">
      <w:r>
        <w:separator/>
      </w:r>
    </w:p>
  </w:footnote>
  <w:footnote w:type="continuationSeparator" w:id="0">
    <w:p w14:paraId="75FF1795" w14:textId="77777777" w:rsidR="00356170" w:rsidRDefault="00356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D37E" w14:textId="1E9C13DE" w:rsidR="000842B2" w:rsidRDefault="00930D08" w:rsidP="000842B2">
    <w:pPr>
      <w:tabs>
        <w:tab w:val="center" w:pos="5040"/>
        <w:tab w:val="right" w:pos="9840"/>
      </w:tabs>
      <w:spacing w:line="240" w:lineRule="auto"/>
      <w:rPr>
        <w:sz w:val="20"/>
      </w:rPr>
    </w:pPr>
    <w:r>
      <w:rPr>
        <w:sz w:val="20"/>
      </w:rPr>
      <w:t xml:space="preserve">Volume </w:t>
    </w:r>
    <w:r w:rsidR="000842B2">
      <w:rPr>
        <w:sz w:val="20"/>
      </w:rPr>
      <w:t>49</w:t>
    </w:r>
    <w:r>
      <w:rPr>
        <w:sz w:val="20"/>
      </w:rPr>
      <w:t xml:space="preserve"> Number </w:t>
    </w:r>
    <w:r w:rsidR="000842B2">
      <w:rPr>
        <w:sz w:val="20"/>
      </w:rPr>
      <w:t>01</w:t>
    </w:r>
    <w:r w:rsidR="000842B2">
      <w:rPr>
        <w:sz w:val="20"/>
      </w:rPr>
      <w:tab/>
    </w:r>
    <w:r w:rsidR="000842B2">
      <w:rPr>
        <w:sz w:val="20"/>
      </w:rPr>
      <w:tab/>
      <w:t>July 8, 2026</w:t>
    </w:r>
  </w:p>
  <w:p w14:paraId="1A134FC7" w14:textId="426FAA36" w:rsidR="00930D08" w:rsidRDefault="00F0134D" w:rsidP="000842B2">
    <w:pPr>
      <w:tabs>
        <w:tab w:val="center" w:pos="5040"/>
        <w:tab w:val="right" w:pos="9840"/>
      </w:tabs>
      <w:spacing w:line="240" w:lineRule="auto"/>
      <w:rPr>
        <w:sz w:val="20"/>
      </w:rPr>
    </w:pPr>
    <w:r>
      <w:rPr>
        <w:sz w:val="20"/>
      </w:rPr>
      <w:tab/>
    </w:r>
    <w:proofErr w:type="spellStart"/>
    <w:r w:rsidR="000842B2" w:rsidRPr="000842B2">
      <w:rPr>
        <w:sz w:val="20"/>
      </w:rPr>
      <w:t>MORx</w:t>
    </w:r>
    <w:proofErr w:type="spellEnd"/>
    <w:r w:rsidR="000842B2" w:rsidRPr="000842B2">
      <w:rPr>
        <w:sz w:val="20"/>
      </w:rPr>
      <w:t xml:space="preserve"> Policy Regarding CMS GLP-1 Bridge Demonstration Program Copayments</w:t>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4AF"/>
    <w:multiLevelType w:val="hybridMultilevel"/>
    <w:tmpl w:val="44562468"/>
    <w:lvl w:ilvl="0" w:tplc="C606741C">
      <w:start w:val="13"/>
      <w:numFmt w:val="bullet"/>
      <w:lvlText w:val="•"/>
      <w:lvlJc w:val="left"/>
      <w:pPr>
        <w:ind w:left="2074" w:hanging="360"/>
      </w:pPr>
      <w:rPr>
        <w:rFonts w:ascii="Times New Roman" w:eastAsia="Times New Roman" w:hAnsi="Times New Roman" w:cs="Times New Roman"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1" w15:restartNumberingAfterBreak="0">
    <w:nsid w:val="05DA2041"/>
    <w:multiLevelType w:val="hybridMultilevel"/>
    <w:tmpl w:val="22E032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55465"/>
    <w:multiLevelType w:val="hybridMultilevel"/>
    <w:tmpl w:val="E2E27A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40534"/>
    <w:multiLevelType w:val="hybridMultilevel"/>
    <w:tmpl w:val="D2AC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C4BC6"/>
    <w:multiLevelType w:val="hybridMultilevel"/>
    <w:tmpl w:val="AE52181E"/>
    <w:lvl w:ilvl="0" w:tplc="C606741C">
      <w:start w:val="13"/>
      <w:numFmt w:val="bullet"/>
      <w:lvlText w:val="•"/>
      <w:lvlJc w:val="left"/>
      <w:pPr>
        <w:ind w:left="2160" w:hanging="360"/>
      </w:pPr>
      <w:rPr>
        <w:rFonts w:ascii="Times New Roman" w:eastAsia="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EC57402"/>
    <w:multiLevelType w:val="hybridMultilevel"/>
    <w:tmpl w:val="93C67D2C"/>
    <w:lvl w:ilvl="0" w:tplc="11BE118A">
      <w:start w:val="1"/>
      <w:numFmt w:val="bullet"/>
      <w:pStyle w:val="TOC2"/>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6" w15:restartNumberingAfterBreak="0">
    <w:nsid w:val="2F837049"/>
    <w:multiLevelType w:val="hybridMultilevel"/>
    <w:tmpl w:val="9AAC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242DE4"/>
    <w:multiLevelType w:val="hybridMultilevel"/>
    <w:tmpl w:val="795C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FC4D42"/>
    <w:multiLevelType w:val="hybridMultilevel"/>
    <w:tmpl w:val="4C0CF7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1E0214"/>
    <w:multiLevelType w:val="hybridMultilevel"/>
    <w:tmpl w:val="24A084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4A1E8D"/>
    <w:multiLevelType w:val="hybridMultilevel"/>
    <w:tmpl w:val="94A6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E772B8"/>
    <w:multiLevelType w:val="hybridMultilevel"/>
    <w:tmpl w:val="1DBA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62672"/>
    <w:multiLevelType w:val="hybridMultilevel"/>
    <w:tmpl w:val="013A68E2"/>
    <w:lvl w:ilvl="0" w:tplc="C606741C">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35C0D"/>
    <w:multiLevelType w:val="hybridMultilevel"/>
    <w:tmpl w:val="789A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0715F9"/>
    <w:multiLevelType w:val="hybridMultilevel"/>
    <w:tmpl w:val="5BDC8D5E"/>
    <w:lvl w:ilvl="0" w:tplc="E0801518">
      <w:start w:val="1"/>
      <w:numFmt w:val="bullet"/>
      <w:lvlText w:val=""/>
      <w:lvlJc w:val="left"/>
      <w:pPr>
        <w:ind w:left="1016" w:hanging="360"/>
      </w:pPr>
      <w:rPr>
        <w:rFonts w:ascii="Symbol" w:eastAsia="Symbol" w:hAnsi="Symbol" w:hint="default"/>
        <w:w w:val="100"/>
        <w:sz w:val="24"/>
        <w:szCs w:val="24"/>
      </w:rPr>
    </w:lvl>
    <w:lvl w:ilvl="1" w:tplc="B6EAD504">
      <w:start w:val="1"/>
      <w:numFmt w:val="bullet"/>
      <w:lvlText w:val="•"/>
      <w:lvlJc w:val="left"/>
      <w:pPr>
        <w:ind w:left="1243" w:hanging="360"/>
      </w:pPr>
      <w:rPr>
        <w:rFonts w:hint="default"/>
      </w:rPr>
    </w:lvl>
    <w:lvl w:ilvl="2" w:tplc="8030241C">
      <w:start w:val="1"/>
      <w:numFmt w:val="bullet"/>
      <w:lvlText w:val="•"/>
      <w:lvlJc w:val="left"/>
      <w:pPr>
        <w:ind w:left="1467" w:hanging="360"/>
      </w:pPr>
      <w:rPr>
        <w:rFonts w:hint="default"/>
      </w:rPr>
    </w:lvl>
    <w:lvl w:ilvl="3" w:tplc="9D4277C8">
      <w:start w:val="1"/>
      <w:numFmt w:val="bullet"/>
      <w:lvlText w:val="•"/>
      <w:lvlJc w:val="left"/>
      <w:pPr>
        <w:ind w:left="1691" w:hanging="360"/>
      </w:pPr>
      <w:rPr>
        <w:rFonts w:hint="default"/>
      </w:rPr>
    </w:lvl>
    <w:lvl w:ilvl="4" w:tplc="945879BE">
      <w:start w:val="1"/>
      <w:numFmt w:val="bullet"/>
      <w:lvlText w:val="•"/>
      <w:lvlJc w:val="left"/>
      <w:pPr>
        <w:ind w:left="1915" w:hanging="360"/>
      </w:pPr>
      <w:rPr>
        <w:rFonts w:hint="default"/>
      </w:rPr>
    </w:lvl>
    <w:lvl w:ilvl="5" w:tplc="FDE25E82">
      <w:start w:val="1"/>
      <w:numFmt w:val="bullet"/>
      <w:lvlText w:val="•"/>
      <w:lvlJc w:val="left"/>
      <w:pPr>
        <w:ind w:left="2138" w:hanging="360"/>
      </w:pPr>
      <w:rPr>
        <w:rFonts w:hint="default"/>
      </w:rPr>
    </w:lvl>
    <w:lvl w:ilvl="6" w:tplc="214254BA">
      <w:start w:val="1"/>
      <w:numFmt w:val="bullet"/>
      <w:lvlText w:val="•"/>
      <w:lvlJc w:val="left"/>
      <w:pPr>
        <w:ind w:left="2362" w:hanging="360"/>
      </w:pPr>
      <w:rPr>
        <w:rFonts w:hint="default"/>
      </w:rPr>
    </w:lvl>
    <w:lvl w:ilvl="7" w:tplc="F088371E">
      <w:start w:val="1"/>
      <w:numFmt w:val="bullet"/>
      <w:lvlText w:val="•"/>
      <w:lvlJc w:val="left"/>
      <w:pPr>
        <w:ind w:left="2586" w:hanging="360"/>
      </w:pPr>
      <w:rPr>
        <w:rFonts w:hint="default"/>
      </w:rPr>
    </w:lvl>
    <w:lvl w:ilvl="8" w:tplc="C21E7C92">
      <w:start w:val="1"/>
      <w:numFmt w:val="bullet"/>
      <w:lvlText w:val="•"/>
      <w:lvlJc w:val="left"/>
      <w:pPr>
        <w:ind w:left="2810" w:hanging="360"/>
      </w:pPr>
      <w:rPr>
        <w:rFonts w:hint="default"/>
      </w:rPr>
    </w:lvl>
  </w:abstractNum>
  <w:abstractNum w:abstractNumId="15" w15:restartNumberingAfterBreak="0">
    <w:nsid w:val="540C26CE"/>
    <w:multiLevelType w:val="hybridMultilevel"/>
    <w:tmpl w:val="C408E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678C8"/>
    <w:multiLevelType w:val="hybridMultilevel"/>
    <w:tmpl w:val="E2F2FE4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614E2E28"/>
    <w:multiLevelType w:val="hybridMultilevel"/>
    <w:tmpl w:val="06F4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E243BC"/>
    <w:multiLevelType w:val="hybridMultilevel"/>
    <w:tmpl w:val="6EAC54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636E22"/>
    <w:multiLevelType w:val="hybridMultilevel"/>
    <w:tmpl w:val="C5F24AFC"/>
    <w:lvl w:ilvl="0" w:tplc="82FC62A6">
      <w:start w:val="1"/>
      <w:numFmt w:val="bullet"/>
      <w:pStyle w:val="TOC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160B28"/>
    <w:multiLevelType w:val="hybridMultilevel"/>
    <w:tmpl w:val="59B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F445FB"/>
    <w:multiLevelType w:val="hybridMultilevel"/>
    <w:tmpl w:val="C164BC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8877B6"/>
    <w:multiLevelType w:val="hybridMultilevel"/>
    <w:tmpl w:val="BD82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D442E7"/>
    <w:multiLevelType w:val="hybridMultilevel"/>
    <w:tmpl w:val="94EA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6B1E72"/>
    <w:multiLevelType w:val="hybridMultilevel"/>
    <w:tmpl w:val="51F8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391950">
    <w:abstractNumId w:val="19"/>
  </w:num>
  <w:num w:numId="2" w16cid:durableId="1901862822">
    <w:abstractNumId w:val="5"/>
  </w:num>
  <w:num w:numId="3" w16cid:durableId="128475939">
    <w:abstractNumId w:val="9"/>
  </w:num>
  <w:num w:numId="4" w16cid:durableId="911740830">
    <w:abstractNumId w:val="17"/>
  </w:num>
  <w:num w:numId="5" w16cid:durableId="356393516">
    <w:abstractNumId w:val="14"/>
  </w:num>
  <w:num w:numId="6" w16cid:durableId="1980569187">
    <w:abstractNumId w:val="23"/>
  </w:num>
  <w:num w:numId="7" w16cid:durableId="785394772">
    <w:abstractNumId w:val="7"/>
  </w:num>
  <w:num w:numId="8" w16cid:durableId="398134155">
    <w:abstractNumId w:val="3"/>
  </w:num>
  <w:num w:numId="9" w16cid:durableId="313873537">
    <w:abstractNumId w:val="13"/>
  </w:num>
  <w:num w:numId="10" w16cid:durableId="1871409018">
    <w:abstractNumId w:val="6"/>
  </w:num>
  <w:num w:numId="11" w16cid:durableId="699933206">
    <w:abstractNumId w:val="11"/>
  </w:num>
  <w:num w:numId="12" w16cid:durableId="1182285575">
    <w:abstractNumId w:val="16"/>
  </w:num>
  <w:num w:numId="13" w16cid:durableId="1891528166">
    <w:abstractNumId w:val="4"/>
  </w:num>
  <w:num w:numId="14" w16cid:durableId="629018626">
    <w:abstractNumId w:val="18"/>
  </w:num>
  <w:num w:numId="15" w16cid:durableId="440609485">
    <w:abstractNumId w:val="2"/>
  </w:num>
  <w:num w:numId="16" w16cid:durableId="713118432">
    <w:abstractNumId w:val="12"/>
  </w:num>
  <w:num w:numId="17" w16cid:durableId="1670451329">
    <w:abstractNumId w:val="21"/>
  </w:num>
  <w:num w:numId="18" w16cid:durableId="1655916653">
    <w:abstractNumId w:val="0"/>
  </w:num>
  <w:num w:numId="19" w16cid:durableId="1478645377">
    <w:abstractNumId w:val="8"/>
  </w:num>
  <w:num w:numId="20" w16cid:durableId="545529438">
    <w:abstractNumId w:val="15"/>
  </w:num>
  <w:num w:numId="21" w16cid:durableId="583346626">
    <w:abstractNumId w:val="20"/>
  </w:num>
  <w:num w:numId="22" w16cid:durableId="898832747">
    <w:abstractNumId w:val="10"/>
  </w:num>
  <w:num w:numId="23" w16cid:durableId="1607080103">
    <w:abstractNumId w:val="24"/>
  </w:num>
  <w:num w:numId="24" w16cid:durableId="1958608955">
    <w:abstractNumId w:val="22"/>
  </w:num>
  <w:num w:numId="25" w16cid:durableId="2084716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1NLE0MTMzMDe0MDVT0lEKTi0uzszPAykwqwUATbMDSywAAAA="/>
  </w:docVars>
  <w:rsids>
    <w:rsidRoot w:val="00F8751E"/>
    <w:rsid w:val="000065B4"/>
    <w:rsid w:val="00017E48"/>
    <w:rsid w:val="00031D39"/>
    <w:rsid w:val="00032E26"/>
    <w:rsid w:val="00045705"/>
    <w:rsid w:val="000473D3"/>
    <w:rsid w:val="00052CB4"/>
    <w:rsid w:val="0005567F"/>
    <w:rsid w:val="00060D6E"/>
    <w:rsid w:val="00070842"/>
    <w:rsid w:val="0007375E"/>
    <w:rsid w:val="00077FC5"/>
    <w:rsid w:val="000842B2"/>
    <w:rsid w:val="00087573"/>
    <w:rsid w:val="00091F6B"/>
    <w:rsid w:val="000B1F02"/>
    <w:rsid w:val="000B7ADF"/>
    <w:rsid w:val="000E0FA0"/>
    <w:rsid w:val="000E4F22"/>
    <w:rsid w:val="000F5A8E"/>
    <w:rsid w:val="00107D6F"/>
    <w:rsid w:val="00116E05"/>
    <w:rsid w:val="00124D7D"/>
    <w:rsid w:val="00133BBE"/>
    <w:rsid w:val="0013417B"/>
    <w:rsid w:val="00137A70"/>
    <w:rsid w:val="00144640"/>
    <w:rsid w:val="00160F2B"/>
    <w:rsid w:val="001615A3"/>
    <w:rsid w:val="00163F7C"/>
    <w:rsid w:val="00164F26"/>
    <w:rsid w:val="00175D54"/>
    <w:rsid w:val="00190124"/>
    <w:rsid w:val="00195BE9"/>
    <w:rsid w:val="001A37AD"/>
    <w:rsid w:val="001A38D1"/>
    <w:rsid w:val="001B75A9"/>
    <w:rsid w:val="001C0128"/>
    <w:rsid w:val="001C0EE3"/>
    <w:rsid w:val="001C70DE"/>
    <w:rsid w:val="001E4707"/>
    <w:rsid w:val="001F011F"/>
    <w:rsid w:val="002725D5"/>
    <w:rsid w:val="00291B5E"/>
    <w:rsid w:val="002A141F"/>
    <w:rsid w:val="002B2570"/>
    <w:rsid w:val="002C4EEE"/>
    <w:rsid w:val="002D14F3"/>
    <w:rsid w:val="002D7348"/>
    <w:rsid w:val="002F68DA"/>
    <w:rsid w:val="003112B4"/>
    <w:rsid w:val="0031353F"/>
    <w:rsid w:val="00315485"/>
    <w:rsid w:val="00322ABF"/>
    <w:rsid w:val="003234C4"/>
    <w:rsid w:val="003235A9"/>
    <w:rsid w:val="003274A6"/>
    <w:rsid w:val="003420CC"/>
    <w:rsid w:val="0034770B"/>
    <w:rsid w:val="00356170"/>
    <w:rsid w:val="00385719"/>
    <w:rsid w:val="003872EE"/>
    <w:rsid w:val="003B0122"/>
    <w:rsid w:val="003B6F18"/>
    <w:rsid w:val="003B6F79"/>
    <w:rsid w:val="003C563D"/>
    <w:rsid w:val="003C7CEA"/>
    <w:rsid w:val="003E79B2"/>
    <w:rsid w:val="00400F18"/>
    <w:rsid w:val="004171ED"/>
    <w:rsid w:val="0041769A"/>
    <w:rsid w:val="0042131E"/>
    <w:rsid w:val="004251B0"/>
    <w:rsid w:val="004412F9"/>
    <w:rsid w:val="004626D2"/>
    <w:rsid w:val="00471A11"/>
    <w:rsid w:val="00477517"/>
    <w:rsid w:val="004816FA"/>
    <w:rsid w:val="00491B48"/>
    <w:rsid w:val="004A0D31"/>
    <w:rsid w:val="004A62A9"/>
    <w:rsid w:val="004C5B1B"/>
    <w:rsid w:val="004C7CC4"/>
    <w:rsid w:val="004C7DCA"/>
    <w:rsid w:val="004D7229"/>
    <w:rsid w:val="004E3E8C"/>
    <w:rsid w:val="004E414D"/>
    <w:rsid w:val="004E574A"/>
    <w:rsid w:val="004E760F"/>
    <w:rsid w:val="004F06CD"/>
    <w:rsid w:val="004F5DA6"/>
    <w:rsid w:val="004F7CE4"/>
    <w:rsid w:val="00500A60"/>
    <w:rsid w:val="00512590"/>
    <w:rsid w:val="005153B2"/>
    <w:rsid w:val="00535E65"/>
    <w:rsid w:val="0054426D"/>
    <w:rsid w:val="00551C3F"/>
    <w:rsid w:val="00560B2E"/>
    <w:rsid w:val="005644C7"/>
    <w:rsid w:val="00565614"/>
    <w:rsid w:val="00565825"/>
    <w:rsid w:val="00567F56"/>
    <w:rsid w:val="00575F9B"/>
    <w:rsid w:val="00586954"/>
    <w:rsid w:val="005B2AC2"/>
    <w:rsid w:val="005B55AB"/>
    <w:rsid w:val="005E259F"/>
    <w:rsid w:val="006031E1"/>
    <w:rsid w:val="006129F5"/>
    <w:rsid w:val="00622F76"/>
    <w:rsid w:val="00635765"/>
    <w:rsid w:val="00647415"/>
    <w:rsid w:val="00647ADC"/>
    <w:rsid w:val="006507FF"/>
    <w:rsid w:val="006567C3"/>
    <w:rsid w:val="00673836"/>
    <w:rsid w:val="00674324"/>
    <w:rsid w:val="00684ECE"/>
    <w:rsid w:val="00692D22"/>
    <w:rsid w:val="006A68C8"/>
    <w:rsid w:val="006A6EA0"/>
    <w:rsid w:val="006B34B4"/>
    <w:rsid w:val="006B76BA"/>
    <w:rsid w:val="006C70ED"/>
    <w:rsid w:val="006E2B8D"/>
    <w:rsid w:val="00701A7F"/>
    <w:rsid w:val="0070258A"/>
    <w:rsid w:val="0070286C"/>
    <w:rsid w:val="007046E2"/>
    <w:rsid w:val="00731481"/>
    <w:rsid w:val="007936A1"/>
    <w:rsid w:val="007955B6"/>
    <w:rsid w:val="00796B1D"/>
    <w:rsid w:val="007C3B11"/>
    <w:rsid w:val="007C531C"/>
    <w:rsid w:val="007D02A2"/>
    <w:rsid w:val="007D7609"/>
    <w:rsid w:val="007E14E0"/>
    <w:rsid w:val="007E1A3C"/>
    <w:rsid w:val="007F5CF3"/>
    <w:rsid w:val="008049BF"/>
    <w:rsid w:val="008138BF"/>
    <w:rsid w:val="00826E06"/>
    <w:rsid w:val="00831081"/>
    <w:rsid w:val="008321FA"/>
    <w:rsid w:val="008322FB"/>
    <w:rsid w:val="00835A93"/>
    <w:rsid w:val="00836BF5"/>
    <w:rsid w:val="008A385A"/>
    <w:rsid w:val="008A6AC8"/>
    <w:rsid w:val="008B5E88"/>
    <w:rsid w:val="008D0780"/>
    <w:rsid w:val="008D2FF9"/>
    <w:rsid w:val="008D4932"/>
    <w:rsid w:val="008D5277"/>
    <w:rsid w:val="008D548F"/>
    <w:rsid w:val="008F71A3"/>
    <w:rsid w:val="00912A49"/>
    <w:rsid w:val="00930D08"/>
    <w:rsid w:val="00935B33"/>
    <w:rsid w:val="00941B58"/>
    <w:rsid w:val="00947218"/>
    <w:rsid w:val="00947B74"/>
    <w:rsid w:val="00954E82"/>
    <w:rsid w:val="00957605"/>
    <w:rsid w:val="00960FA2"/>
    <w:rsid w:val="009660AC"/>
    <w:rsid w:val="009674AD"/>
    <w:rsid w:val="00967616"/>
    <w:rsid w:val="00975518"/>
    <w:rsid w:val="009A40C2"/>
    <w:rsid w:val="009C1004"/>
    <w:rsid w:val="009C1BEE"/>
    <w:rsid w:val="009E25B5"/>
    <w:rsid w:val="009E7435"/>
    <w:rsid w:val="00A00366"/>
    <w:rsid w:val="00A02423"/>
    <w:rsid w:val="00A06495"/>
    <w:rsid w:val="00A125F4"/>
    <w:rsid w:val="00A330BA"/>
    <w:rsid w:val="00A5520E"/>
    <w:rsid w:val="00A710B7"/>
    <w:rsid w:val="00A7734C"/>
    <w:rsid w:val="00A94A1C"/>
    <w:rsid w:val="00A95170"/>
    <w:rsid w:val="00AA1C36"/>
    <w:rsid w:val="00AB125D"/>
    <w:rsid w:val="00AB42FA"/>
    <w:rsid w:val="00AC3202"/>
    <w:rsid w:val="00AF1EA0"/>
    <w:rsid w:val="00B1210E"/>
    <w:rsid w:val="00B4768B"/>
    <w:rsid w:val="00B522C4"/>
    <w:rsid w:val="00B54FF2"/>
    <w:rsid w:val="00B621A6"/>
    <w:rsid w:val="00B83AF3"/>
    <w:rsid w:val="00B97322"/>
    <w:rsid w:val="00BA1F90"/>
    <w:rsid w:val="00BA35D9"/>
    <w:rsid w:val="00BA3E4E"/>
    <w:rsid w:val="00BB0029"/>
    <w:rsid w:val="00BB2404"/>
    <w:rsid w:val="00BC42AC"/>
    <w:rsid w:val="00BD6221"/>
    <w:rsid w:val="00C06C7C"/>
    <w:rsid w:val="00C07277"/>
    <w:rsid w:val="00C15D2B"/>
    <w:rsid w:val="00C20534"/>
    <w:rsid w:val="00C20E2F"/>
    <w:rsid w:val="00C2583F"/>
    <w:rsid w:val="00C25B23"/>
    <w:rsid w:val="00C3526D"/>
    <w:rsid w:val="00C41FBB"/>
    <w:rsid w:val="00C437ED"/>
    <w:rsid w:val="00C51A38"/>
    <w:rsid w:val="00C62831"/>
    <w:rsid w:val="00C84852"/>
    <w:rsid w:val="00C92891"/>
    <w:rsid w:val="00C95C94"/>
    <w:rsid w:val="00CB7E3E"/>
    <w:rsid w:val="00CC7DDF"/>
    <w:rsid w:val="00CD4C25"/>
    <w:rsid w:val="00CD60BC"/>
    <w:rsid w:val="00CE0F9E"/>
    <w:rsid w:val="00CE4464"/>
    <w:rsid w:val="00D03B60"/>
    <w:rsid w:val="00D1293E"/>
    <w:rsid w:val="00D2118B"/>
    <w:rsid w:val="00D431F4"/>
    <w:rsid w:val="00D53DCE"/>
    <w:rsid w:val="00D56472"/>
    <w:rsid w:val="00D63BC3"/>
    <w:rsid w:val="00D67E71"/>
    <w:rsid w:val="00D70B6D"/>
    <w:rsid w:val="00D77A01"/>
    <w:rsid w:val="00D87896"/>
    <w:rsid w:val="00DA4CA4"/>
    <w:rsid w:val="00DB00F5"/>
    <w:rsid w:val="00DC7B8F"/>
    <w:rsid w:val="00DF675D"/>
    <w:rsid w:val="00E23CA3"/>
    <w:rsid w:val="00E40FE6"/>
    <w:rsid w:val="00E529DD"/>
    <w:rsid w:val="00E67688"/>
    <w:rsid w:val="00E67D51"/>
    <w:rsid w:val="00E73773"/>
    <w:rsid w:val="00EA6323"/>
    <w:rsid w:val="00EC2499"/>
    <w:rsid w:val="00EC4BD1"/>
    <w:rsid w:val="00ED0B9A"/>
    <w:rsid w:val="00EF1384"/>
    <w:rsid w:val="00EF6940"/>
    <w:rsid w:val="00F0134D"/>
    <w:rsid w:val="00F01777"/>
    <w:rsid w:val="00F01B2C"/>
    <w:rsid w:val="00F05407"/>
    <w:rsid w:val="00F20634"/>
    <w:rsid w:val="00F270A2"/>
    <w:rsid w:val="00F32B14"/>
    <w:rsid w:val="00F33111"/>
    <w:rsid w:val="00F460B0"/>
    <w:rsid w:val="00F4793D"/>
    <w:rsid w:val="00F53598"/>
    <w:rsid w:val="00F5609C"/>
    <w:rsid w:val="00F73F1E"/>
    <w:rsid w:val="00F8751E"/>
    <w:rsid w:val="00F9058D"/>
    <w:rsid w:val="00F9106F"/>
    <w:rsid w:val="00FA4389"/>
    <w:rsid w:val="00FC6AD7"/>
    <w:rsid w:val="00FD2020"/>
    <w:rsid w:val="00FF23CD"/>
    <w:rsid w:val="00FF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67DC9"/>
  <w15:docId w15:val="{A077C3BE-4B53-4FCF-B950-2B7510A3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6BA"/>
    <w:pPr>
      <w:spacing w:before="240" w:after="240" w:line="360" w:lineRule="auto"/>
    </w:pPr>
    <w:rPr>
      <w:rFonts w:ascii="Arial" w:hAnsi="Arial"/>
      <w:sz w:val="24"/>
      <w:szCs w:val="24"/>
    </w:rPr>
  </w:style>
  <w:style w:type="paragraph" w:styleId="Heading1">
    <w:name w:val="heading 1"/>
    <w:next w:val="Normal"/>
    <w:qFormat/>
    <w:rsid w:val="00FF7F9E"/>
    <w:pPr>
      <w:spacing w:before="120" w:after="120"/>
      <w:ind w:left="-86"/>
      <w:jc w:val="center"/>
      <w:outlineLvl w:val="0"/>
    </w:pPr>
    <w:rPr>
      <w:rFonts w:ascii="Arial" w:hAnsi="Arial" w:cs="Arial"/>
      <w:b/>
      <w:bCs/>
      <w:sz w:val="28"/>
      <w:szCs w:val="24"/>
    </w:rPr>
  </w:style>
  <w:style w:type="paragraph" w:styleId="Heading2">
    <w:name w:val="heading 2"/>
    <w:next w:val="Normal"/>
    <w:qFormat/>
    <w:rsid w:val="00FF7F9E"/>
    <w:pPr>
      <w:spacing w:before="240" w:after="120"/>
      <w:jc w:val="center"/>
      <w:outlineLvl w:val="1"/>
    </w:pPr>
    <w:rPr>
      <w:rFonts w:ascii="Arial" w:hAnsi="Arial"/>
      <w:b/>
      <w:sz w:val="36"/>
      <w:szCs w:val="24"/>
    </w:rPr>
  </w:style>
  <w:style w:type="paragraph" w:styleId="Heading3">
    <w:name w:val="heading 3"/>
    <w:next w:val="Normal"/>
    <w:qFormat/>
    <w:rsid w:val="00FF7F9E"/>
    <w:pPr>
      <w:spacing w:before="120" w:after="120" w:line="360" w:lineRule="auto"/>
      <w:outlineLvl w:val="2"/>
    </w:pPr>
    <w:rPr>
      <w:rFonts w:ascii="Arial" w:hAnsi="Arial"/>
      <w:b/>
      <w:sz w:val="28"/>
      <w:szCs w:val="28"/>
    </w:rPr>
  </w:style>
  <w:style w:type="paragraph" w:styleId="Heading4">
    <w:name w:val="heading 4"/>
    <w:basedOn w:val="Normal"/>
    <w:next w:val="Normal"/>
    <w:qFormat/>
    <w:rsid w:val="0005567F"/>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5567F"/>
    <w:pPr>
      <w:framePr w:w="7920" w:h="1980" w:hRule="exact" w:hSpace="180" w:wrap="auto" w:hAnchor="page" w:xAlign="center" w:yAlign="bottom"/>
      <w:ind w:left="2880"/>
    </w:pPr>
    <w:rPr>
      <w:rFonts w:ascii="Comic Sans MS" w:hAnsi="Comic Sans MS" w:cs="Arial"/>
    </w:rPr>
  </w:style>
  <w:style w:type="character" w:styleId="Hyperlink">
    <w:name w:val="Hyperlink"/>
    <w:basedOn w:val="DefaultParagraphFont"/>
    <w:rsid w:val="00B4768B"/>
    <w:rPr>
      <w:rFonts w:ascii="Arial" w:hAnsi="Arial"/>
      <w:b/>
      <w:color w:val="04427D"/>
      <w:sz w:val="24"/>
      <w:u w:val="single"/>
    </w:rPr>
  </w:style>
  <w:style w:type="paragraph" w:styleId="BodyText">
    <w:name w:val="Body Text"/>
    <w:basedOn w:val="Normal"/>
    <w:rsid w:val="0005567F"/>
    <w:pPr>
      <w:jc w:val="both"/>
    </w:pPr>
    <w:rPr>
      <w:rFonts w:cs="Arial"/>
    </w:rPr>
  </w:style>
  <w:style w:type="paragraph" w:styleId="TOC1">
    <w:name w:val="toc 1"/>
    <w:basedOn w:val="Normal"/>
    <w:next w:val="Normal"/>
    <w:autoRedefine/>
    <w:semiHidden/>
    <w:rsid w:val="0005567F"/>
    <w:pPr>
      <w:numPr>
        <w:numId w:val="1"/>
      </w:numPr>
    </w:pPr>
    <w:rPr>
      <w:b/>
    </w:rPr>
  </w:style>
  <w:style w:type="paragraph" w:styleId="TOC2">
    <w:name w:val="toc 2"/>
    <w:basedOn w:val="Normal"/>
    <w:next w:val="Normal"/>
    <w:autoRedefine/>
    <w:semiHidden/>
    <w:rsid w:val="0005567F"/>
    <w:pPr>
      <w:numPr>
        <w:numId w:val="2"/>
      </w:numPr>
      <w:tabs>
        <w:tab w:val="clear" w:pos="960"/>
        <w:tab w:val="num" w:pos="360"/>
      </w:tabs>
      <w:ind w:left="0" w:firstLine="0"/>
    </w:pPr>
    <w:rPr>
      <w:b/>
    </w:rPr>
  </w:style>
  <w:style w:type="paragraph" w:styleId="Header">
    <w:name w:val="header"/>
    <w:basedOn w:val="Normal"/>
    <w:rsid w:val="0005567F"/>
    <w:pPr>
      <w:tabs>
        <w:tab w:val="center" w:pos="4320"/>
        <w:tab w:val="right" w:pos="8640"/>
      </w:tabs>
    </w:pPr>
  </w:style>
  <w:style w:type="paragraph" w:styleId="Footer">
    <w:name w:val="footer"/>
    <w:basedOn w:val="Normal"/>
    <w:link w:val="FooterChar"/>
    <w:uiPriority w:val="99"/>
    <w:rsid w:val="0005567F"/>
    <w:pPr>
      <w:tabs>
        <w:tab w:val="center" w:pos="4320"/>
        <w:tab w:val="right" w:pos="8640"/>
      </w:tabs>
    </w:pPr>
  </w:style>
  <w:style w:type="paragraph" w:customStyle="1" w:styleId="xl28">
    <w:name w:val="xl28"/>
    <w:basedOn w:val="Normal"/>
    <w:rsid w:val="0005567F"/>
    <w:pPr>
      <w:spacing w:before="100" w:beforeAutospacing="1" w:after="100" w:afterAutospacing="1"/>
    </w:pPr>
    <w:rPr>
      <w:rFonts w:eastAsia="Arial Unicode MS" w:cs="Arial"/>
    </w:rPr>
  </w:style>
  <w:style w:type="paragraph" w:styleId="BodyText2">
    <w:name w:val="Body Text 2"/>
    <w:basedOn w:val="Normal"/>
    <w:rsid w:val="0005567F"/>
    <w:pPr>
      <w:jc w:val="both"/>
    </w:pPr>
    <w:rPr>
      <w:u w:val="single"/>
    </w:rPr>
  </w:style>
  <w:style w:type="paragraph" w:styleId="BodyText3">
    <w:name w:val="Body Text 3"/>
    <w:basedOn w:val="Normal"/>
    <w:rsid w:val="0005567F"/>
    <w:pPr>
      <w:jc w:val="center"/>
    </w:pPr>
    <w:rPr>
      <w:b/>
      <w:bCs/>
      <w:sz w:val="32"/>
    </w:rPr>
  </w:style>
  <w:style w:type="character" w:styleId="FollowedHyperlink">
    <w:name w:val="FollowedHyperlink"/>
    <w:basedOn w:val="DefaultParagraphFont"/>
    <w:rsid w:val="00B4768B"/>
    <w:rPr>
      <w:rFonts w:ascii="Arial" w:hAnsi="Arial"/>
      <w:color w:val="04427D"/>
      <w:sz w:val="18"/>
      <w:u w:val="single"/>
    </w:rPr>
  </w:style>
  <w:style w:type="paragraph" w:styleId="BalloonText">
    <w:name w:val="Balloon Text"/>
    <w:basedOn w:val="Normal"/>
    <w:semiHidden/>
    <w:rsid w:val="0042131E"/>
    <w:rPr>
      <w:rFonts w:ascii="Tahoma" w:hAnsi="Tahoma" w:cs="Tahoma"/>
      <w:sz w:val="16"/>
      <w:szCs w:val="16"/>
    </w:rPr>
  </w:style>
  <w:style w:type="paragraph" w:styleId="ListParagraph">
    <w:name w:val="List Paragraph"/>
    <w:basedOn w:val="Normal"/>
    <w:qFormat/>
    <w:rsid w:val="008D2FF9"/>
    <w:pPr>
      <w:ind w:left="720"/>
      <w:contextualSpacing/>
    </w:pPr>
  </w:style>
  <w:style w:type="character" w:customStyle="1" w:styleId="FooterChar">
    <w:name w:val="Footer Char"/>
    <w:basedOn w:val="DefaultParagraphFont"/>
    <w:link w:val="Footer"/>
    <w:uiPriority w:val="99"/>
    <w:rsid w:val="009E7435"/>
    <w:rPr>
      <w:rFonts w:ascii="Arial" w:hAnsi="Arial"/>
      <w:sz w:val="24"/>
      <w:szCs w:val="24"/>
    </w:rPr>
  </w:style>
  <w:style w:type="table" w:styleId="TableGrid">
    <w:name w:val="Table Grid"/>
    <w:basedOn w:val="TableNormal"/>
    <w:uiPriority w:val="39"/>
    <w:rsid w:val="004E3E8C"/>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BEE"/>
    <w:rPr>
      <w:rFonts w:ascii="Arial" w:hAnsi="Arial"/>
      <w:sz w:val="24"/>
      <w:szCs w:val="24"/>
    </w:rPr>
  </w:style>
  <w:style w:type="character" w:styleId="CommentReference">
    <w:name w:val="annotation reference"/>
    <w:basedOn w:val="DefaultParagraphFont"/>
    <w:rsid w:val="00144640"/>
    <w:rPr>
      <w:sz w:val="16"/>
      <w:szCs w:val="16"/>
    </w:rPr>
  </w:style>
  <w:style w:type="paragraph" w:styleId="CommentText">
    <w:name w:val="annotation text"/>
    <w:basedOn w:val="Normal"/>
    <w:link w:val="CommentTextChar"/>
    <w:rsid w:val="00144640"/>
    <w:rPr>
      <w:sz w:val="20"/>
      <w:szCs w:val="20"/>
    </w:rPr>
  </w:style>
  <w:style w:type="character" w:customStyle="1" w:styleId="CommentTextChar">
    <w:name w:val="Comment Text Char"/>
    <w:basedOn w:val="DefaultParagraphFont"/>
    <w:link w:val="CommentText"/>
    <w:rsid w:val="00144640"/>
    <w:rPr>
      <w:rFonts w:ascii="Arial" w:hAnsi="Arial"/>
    </w:rPr>
  </w:style>
  <w:style w:type="paragraph" w:styleId="CommentSubject">
    <w:name w:val="annotation subject"/>
    <w:basedOn w:val="CommentText"/>
    <w:next w:val="CommentText"/>
    <w:link w:val="CommentSubjectChar"/>
    <w:rsid w:val="00144640"/>
    <w:rPr>
      <w:b/>
      <w:bCs/>
    </w:rPr>
  </w:style>
  <w:style w:type="character" w:customStyle="1" w:styleId="CommentSubjectChar">
    <w:name w:val="Comment Subject Char"/>
    <w:basedOn w:val="CommentTextChar"/>
    <w:link w:val="CommentSubject"/>
    <w:rsid w:val="00144640"/>
    <w:rPr>
      <w:rFonts w:ascii="Arial" w:hAnsi="Arial"/>
      <w:b/>
      <w:bCs/>
    </w:rPr>
  </w:style>
  <w:style w:type="character" w:styleId="UnresolvedMention">
    <w:name w:val="Unresolved Mention"/>
    <w:basedOn w:val="DefaultParagraphFont"/>
    <w:uiPriority w:val="99"/>
    <w:semiHidden/>
    <w:unhideWhenUsed/>
    <w:rsid w:val="00E73773"/>
    <w:rPr>
      <w:color w:val="605E5C"/>
      <w:shd w:val="clear" w:color="auto" w:fill="E1DFDD"/>
    </w:rPr>
  </w:style>
  <w:style w:type="paragraph" w:customStyle="1" w:styleId="Bulletinendtext">
    <w:name w:val="Bulletin end text"/>
    <w:qFormat/>
    <w:rsid w:val="006B76BA"/>
    <w:pPr>
      <w:spacing w:before="120" w:after="120" w:line="240" w:lineRule="atLeast"/>
      <w:jc w:val="both"/>
    </w:pPr>
    <w:rPr>
      <w:rFonts w:ascii="Arial" w:hAnsi="Arial"/>
      <w:i/>
      <w:iCs/>
      <w:sz w:val="18"/>
      <w:szCs w:val="18"/>
    </w:rPr>
  </w:style>
  <w:style w:type="paragraph" w:customStyle="1" w:styleId="Bull">
    <w:name w:val="Bull"/>
    <w:basedOn w:val="Bulletinendtext"/>
    <w:qFormat/>
    <w:rsid w:val="00032E26"/>
  </w:style>
  <w:style w:type="paragraph" w:customStyle="1" w:styleId="hyperlinkBulletinendtext">
    <w:name w:val="hyperlink Bulletin end text"/>
    <w:next w:val="Bulletinendtext"/>
    <w:qFormat/>
    <w:rsid w:val="00A95170"/>
    <w:rPr>
      <w:rFonts w:ascii="Arial" w:hAnsi="Arial"/>
      <w:b/>
      <w:i/>
      <w:iCs/>
      <w:color w:val="04427D"/>
      <w:sz w:val="18"/>
      <w:szCs w:val="18"/>
      <w:u w:val="single"/>
    </w:rPr>
  </w:style>
  <w:style w:type="paragraph" w:customStyle="1" w:styleId="StyleBottomSinglesolidlineAuto15ptLinewidth">
    <w:name w:val="Style Bottom: (Single solid line Auto  1.5 pt Line width)"/>
    <w:basedOn w:val="Normal"/>
    <w:rsid w:val="006B76BA"/>
    <w:pPr>
      <w:pBdr>
        <w:bottom w:val="single" w:sz="12" w:space="1" w:color="auto"/>
      </w:pBdr>
    </w:pPr>
    <w:rPr>
      <w:szCs w:val="20"/>
    </w:rPr>
  </w:style>
  <w:style w:type="paragraph" w:customStyle="1" w:styleId="StyleListParagraphTopSinglesolidlineAuto15ptLine">
    <w:name w:val="Style List Paragraph + Top: (Single solid line Auto  1.5 pt Line ..."/>
    <w:basedOn w:val="ListParagraph"/>
    <w:rsid w:val="006B76BA"/>
    <w:pPr>
      <w:pBdr>
        <w:top w:val="single" w:sz="12" w:space="1" w:color="auto"/>
        <w:bottom w:val="single" w:sz="12" w:space="1" w:color="auto"/>
      </w:pBdr>
      <w:spacing w:line="480" w:lineRule="auto"/>
    </w:pPr>
    <w:rPr>
      <w:szCs w:val="20"/>
    </w:rPr>
  </w:style>
  <w:style w:type="paragraph" w:customStyle="1" w:styleId="StyleListParagraphTopSinglesolidlineAuto15ptLine1">
    <w:name w:val="Style List Paragraph + Top: (Single solid line Auto  1.5 pt Line ...1"/>
    <w:basedOn w:val="ListParagraph"/>
    <w:rsid w:val="006B76BA"/>
    <w:pPr>
      <w:pBdr>
        <w:top w:val="single" w:sz="12" w:space="1" w:color="auto"/>
        <w:bottom w:val="single" w:sz="12" w:space="1" w:color="auto"/>
      </w:pBdr>
      <w:spacing w:line="480"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00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dss.mo.gov/mhd/providers" TargetMode="External"/><Relationship Id="rId18" Type="http://schemas.openxmlformats.org/officeDocument/2006/relationships/hyperlink" Target="https://mydss.mo.gov/mhd/education-and-trainin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medicare.gov/coverage/weight-loss-drugs" TargetMode="External"/><Relationship Id="rId17" Type="http://schemas.openxmlformats.org/officeDocument/2006/relationships/hyperlink" Target="https://public.govdelivery.com/accounts/MODSS/subscriber/new?preferences=true" TargetMode="External"/><Relationship Id="rId2" Type="http://schemas.openxmlformats.org/officeDocument/2006/relationships/customXml" Target="../customXml/item2.xml"/><Relationship Id="rId16" Type="http://schemas.openxmlformats.org/officeDocument/2006/relationships/hyperlink" Target="https://mydss.mo.gov/mhd/new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momed.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oexperience.qualtrics.com/jfe/form/SV_8v5YgbpJmYXuPa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dss.mo.gov/media/pdf/managed-care-provider-information-reques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e4ce362-36a0-45ca-b15f-c64cd8e2760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435508F8315CF448504F42060908B5E" ma:contentTypeVersion="11" ma:contentTypeDescription="Create a new document." ma:contentTypeScope="" ma:versionID="d20ec6b62ad95006f46e04ae00891f85">
  <xsd:schema xmlns:xsd="http://www.w3.org/2001/XMLSchema" xmlns:xs="http://www.w3.org/2001/XMLSchema" xmlns:p="http://schemas.microsoft.com/office/2006/metadata/properties" xmlns:ns3="de4ce362-36a0-45ca-b15f-c64cd8e27601" targetNamespace="http://schemas.microsoft.com/office/2006/metadata/properties" ma:root="true" ma:fieldsID="573fccda873d472861422d9bccf75335" ns3:_="">
    <xsd:import namespace="de4ce362-36a0-45ca-b15f-c64cd8e2760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e362-36a0-45ca-b15f-c64cd8e2760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376A26-ABCF-4F33-9418-C2B4CFA3D9BE}">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de4ce362-36a0-45ca-b15f-c64cd8e27601"/>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058B5B4-D336-47A8-84BC-1AE585D0F064}">
  <ds:schemaRefs>
    <ds:schemaRef ds:uri="http://schemas.openxmlformats.org/officeDocument/2006/bibliography"/>
  </ds:schemaRefs>
</ds:datastoreItem>
</file>

<file path=customXml/itemProps3.xml><?xml version="1.0" encoding="utf-8"?>
<ds:datastoreItem xmlns:ds="http://schemas.openxmlformats.org/officeDocument/2006/customXml" ds:itemID="{5664BA2C-F8B3-47D5-A511-77EF954DC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ce362-36a0-45ca-b15f-c64cd8e27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8D662F-B0E4-4296-BA9C-5496226688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348</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MORx Policy Regarding CMS GLP-1 Bridge Demonstration Program Copayments</vt:lpstr>
    </vt:vector>
  </TitlesOfParts>
  <Manager>Missouri Department of Social Services</Manager>
  <Company>State of Missouri</Company>
  <LinksUpToDate>false</LinksUpToDate>
  <CharactersWithSpaces>3004</CharactersWithSpaces>
  <SharedDoc>false</SharedDoc>
  <HLinks>
    <vt:vector size="24" baseType="variant">
      <vt:variant>
        <vt:i4>4390989</vt:i4>
      </vt:variant>
      <vt:variant>
        <vt:i4>9</vt:i4>
      </vt:variant>
      <vt:variant>
        <vt:i4>0</vt:i4>
      </vt:variant>
      <vt:variant>
        <vt:i4>5</vt:i4>
      </vt:variant>
      <vt:variant>
        <vt:lpwstr>http://dss.missouri.gov/mhd/global/pages/mednewssubscribe.htm</vt:lpwstr>
      </vt:variant>
      <vt:variant>
        <vt:lpwstr/>
      </vt:variant>
      <vt:variant>
        <vt:i4>5242900</vt:i4>
      </vt:variant>
      <vt:variant>
        <vt:i4>6</vt:i4>
      </vt:variant>
      <vt:variant>
        <vt:i4>0</vt:i4>
      </vt:variant>
      <vt:variant>
        <vt:i4>5</vt:i4>
      </vt:variant>
      <vt:variant>
        <vt:lpwstr>http://manuals.momed.com/</vt:lpwstr>
      </vt:variant>
      <vt:variant>
        <vt:lpwstr/>
      </vt:variant>
      <vt:variant>
        <vt:i4>3604542</vt:i4>
      </vt:variant>
      <vt:variant>
        <vt:i4>3</vt:i4>
      </vt:variant>
      <vt:variant>
        <vt:i4>0</vt:i4>
      </vt:variant>
      <vt:variant>
        <vt:i4>5</vt:i4>
      </vt:variant>
      <vt:variant>
        <vt:lpwstr>http://dss.mo.gov/mhd/providers/pages/bulletins.htm</vt:lpwstr>
      </vt:variant>
      <vt:variant>
        <vt:lpwstr/>
      </vt:variant>
      <vt:variant>
        <vt:i4>5701662</vt:i4>
      </vt:variant>
      <vt:variant>
        <vt:i4>0</vt:i4>
      </vt:variant>
      <vt:variant>
        <vt:i4>0</vt:i4>
      </vt:variant>
      <vt:variant>
        <vt:i4>5</vt:i4>
      </vt:variant>
      <vt:variant>
        <vt:lpwstr>http://www.dss.mo.gov/mhd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MORx Policy Regarding CMS GLP-1 Bridge Demonstration Program Copayments</dc:title>
  <dc:creator>MO HealthNet</dc:creator>
  <cp:keywords>MORx Policy Regarding CMS GLP-1 Bridge Demonstration Program Copayments</cp:keywords>
  <cp:lastModifiedBy>Craig, Madelyn</cp:lastModifiedBy>
  <cp:revision>2</cp:revision>
  <cp:lastPrinted>2018-12-28T19:46:00Z</cp:lastPrinted>
  <dcterms:created xsi:type="dcterms:W3CDTF">2026-07-08T18:05:00Z</dcterms:created>
  <dcterms:modified xsi:type="dcterms:W3CDTF">2026-07-08T18:05:00Z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393f7b5cafba1db6b979a5036e7e13c156db6d0604ca2a285162f501e8dbe580</vt:lpwstr>
  </property>
  <property fmtid="{D5CDD505-2E9C-101B-9397-08002B2CF9AE}" pid="3" name="ContentTypeId">
    <vt:lpwstr>0x010100C435508F8315CF448504F42060908B5E</vt:lpwstr>
  </property>
</Properties>
</file>