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E015CCA" w:rsidR="004C5767" w:rsidRPr="008859E1" w:rsidRDefault="004C5767" w:rsidP="00D27533">
      <w:pPr>
        <w:pStyle w:val="tbody"/>
        <w:rPr>
          <w:b w:val="0"/>
          <w:bCs/>
        </w:rPr>
      </w:pPr>
      <w:r w:rsidRPr="00C02553">
        <w:t>Drug/Drug Class:</w:t>
      </w:r>
      <w:r w:rsidR="003B4820" w:rsidRPr="00573856">
        <w:rPr>
          <w:b w:val="0"/>
          <w:bCs/>
        </w:rPr>
        <w:t xml:space="preserve"> </w:t>
      </w:r>
      <w:r w:rsidR="005D78FF" w:rsidRPr="005D78FF">
        <w:rPr>
          <w:b w:val="0"/>
          <w:bCs/>
        </w:rPr>
        <w:t>Growth Hormone Releasing Factors, Select Agents PDL Edit</w:t>
      </w:r>
    </w:p>
    <w:p w14:paraId="7AD7FFCE" w14:textId="73641678" w:rsidR="004C5767" w:rsidRPr="00C02553" w:rsidRDefault="004C5767" w:rsidP="00D27533">
      <w:pPr>
        <w:pStyle w:val="tbody"/>
      </w:pPr>
      <w:r w:rsidRPr="00C02553">
        <w:t>First Implementation Date:</w:t>
      </w:r>
      <w:r w:rsidRPr="00573856">
        <w:rPr>
          <w:b w:val="0"/>
          <w:bCs/>
        </w:rPr>
        <w:t xml:space="preserve"> </w:t>
      </w:r>
      <w:r w:rsidR="007F663E" w:rsidRPr="007F663E">
        <w:rPr>
          <w:b w:val="0"/>
          <w:bCs/>
        </w:rPr>
        <w:t>December 5, 2007</w:t>
      </w:r>
    </w:p>
    <w:p w14:paraId="4B7D760D" w14:textId="447678AC" w:rsidR="004C5767" w:rsidRPr="00057F84" w:rsidRDefault="00F41F69" w:rsidP="70E341D6">
      <w:pPr>
        <w:pStyle w:val="tbody"/>
        <w:rPr>
          <w:b w:val="0"/>
        </w:rPr>
      </w:pPr>
      <w:r>
        <w:t>Pro</w:t>
      </w:r>
      <w:r w:rsidR="00FA2CFB">
        <w:t>posed</w:t>
      </w:r>
      <w:r w:rsidR="004C5767">
        <w:t xml:space="preserve"> Date:</w:t>
      </w:r>
      <w:r w:rsidR="00065C22">
        <w:t xml:space="preserve"> </w:t>
      </w:r>
      <w:r w:rsidR="00793825">
        <w:rPr>
          <w:b w:val="0"/>
          <w:bCs/>
        </w:rPr>
        <w:t>July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7D21E05"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B20A545" w14:textId="77777777" w:rsidR="00F50096" w:rsidRDefault="00F50096" w:rsidP="00696E3A">
      <w:r w:rsidRPr="00F50096">
        <w:t xml:space="preserve">The MO HealthNet Pharmacy Program will implement a state-specific preferred drug list.  </w:t>
      </w:r>
    </w:p>
    <w:p w14:paraId="2320C114" w14:textId="5BFD2FD3"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1B725A26" w14:textId="751E1903" w:rsidR="00905887" w:rsidRPr="006959A6" w:rsidRDefault="00905887" w:rsidP="00905887">
      <w:r>
        <w:t>Growth hormone-releasing hormone (GHRH), or somatocrinin, is primarily secreted by the arcuate nucleus of the hypothalamus and acts on the pituitary to stimulate the release of human growth hormone (hGH). hGH is then secreted and acts by binding to the hGH receptor which initiates the production of insulin-like growth-factor 1 (IGF-1). Growth hormone (GH), or somatotropin, was first FDA-approved in 1985 for the treatment of growth hormone deficiency. Indications for the use of exogenously-produced GH and GHRH have expanded to include conditions that affect not only children, but also adolescents and adults. Increlex</w:t>
      </w:r>
      <w:r w:rsidRPr="00620384">
        <w:rPr>
          <w:vertAlign w:val="superscript"/>
        </w:rPr>
        <w:t>®</w:t>
      </w:r>
      <w:r>
        <w:t xml:space="preserve"> (mecasermin [rDNA origin]), a recombinant human insulin-like growth factor, is specifically indicated for deficiencies in IGF-1. Egrifta SV</w:t>
      </w:r>
      <w:r w:rsidRPr="00620384">
        <w:rPr>
          <w:vertAlign w:val="superscript"/>
        </w:rPr>
        <w:t>®</w:t>
      </w:r>
      <w:r>
        <w:t xml:space="preserve"> (tesamorelin), a human growth hormone-releasing factor analog, is indicated for the reduction of excess abdominal fat in HIV-infected adult patients with lipodystrophy.</w:t>
      </w:r>
      <w:r w:rsidR="0023471B">
        <w:t xml:space="preserve"> </w:t>
      </w:r>
      <w:r w:rsidR="00821085" w:rsidRPr="003228B2">
        <w:t>Egrifta WR™</w:t>
      </w:r>
      <w:r w:rsidR="0048520C" w:rsidRPr="003228B2">
        <w:t xml:space="preserve"> (tesamorelin),</w:t>
      </w:r>
      <w:r w:rsidR="009C163C" w:rsidRPr="003228B2">
        <w:t xml:space="preserve"> was </w:t>
      </w:r>
      <w:r w:rsidR="005572CE" w:rsidRPr="003228B2">
        <w:t>FDA approved in March 2025</w:t>
      </w:r>
      <w:r w:rsidR="00951B28" w:rsidRPr="003228B2">
        <w:t xml:space="preserve">, </w:t>
      </w:r>
      <w:r w:rsidR="002138C2" w:rsidRPr="003228B2">
        <w:t xml:space="preserve">offers a more convenient </w:t>
      </w:r>
      <w:r w:rsidR="00616FD7" w:rsidRPr="003228B2">
        <w:t>once weekly</w:t>
      </w:r>
      <w:r w:rsidR="002138C2" w:rsidRPr="003228B2">
        <w:t xml:space="preserve"> </w:t>
      </w:r>
      <w:r w:rsidR="00CC4474" w:rsidRPr="003228B2">
        <w:t>reconstitution</w:t>
      </w:r>
      <w:r w:rsidR="003326B6" w:rsidRPr="003228B2">
        <w:t xml:space="preserve"> </w:t>
      </w:r>
      <w:r w:rsidR="00CC4474" w:rsidRPr="003228B2">
        <w:t xml:space="preserve">while maintaining the </w:t>
      </w:r>
      <w:r w:rsidR="003326B6" w:rsidRPr="003228B2">
        <w:t>daily dosing</w:t>
      </w:r>
      <w:r w:rsidR="002138C2" w:rsidRPr="003228B2">
        <w:t xml:space="preserve"> </w:t>
      </w:r>
      <w:r w:rsidR="002F14AE" w:rsidRPr="003228B2">
        <w:t xml:space="preserve">as </w:t>
      </w:r>
      <w:r w:rsidR="002138C2" w:rsidRPr="003228B2">
        <w:t xml:space="preserve">compared </w:t>
      </w:r>
      <w:r w:rsidR="00CC4474" w:rsidRPr="003228B2">
        <w:t xml:space="preserve">with </w:t>
      </w:r>
      <w:r w:rsidR="002138C2" w:rsidRPr="003228B2">
        <w:t>Egrifta SV</w:t>
      </w:r>
      <w:r w:rsidR="002138C2" w:rsidRPr="003228B2">
        <w:rPr>
          <w:vertAlign w:val="superscript"/>
        </w:rPr>
        <w:t>®</w:t>
      </w:r>
      <w:r w:rsidR="000C02EE" w:rsidRPr="003228B2">
        <w:t>.</w:t>
      </w:r>
    </w:p>
    <w:p w14:paraId="0CF93328" w14:textId="77777777" w:rsidR="00905887" w:rsidRDefault="00905887" w:rsidP="00905887"/>
    <w:p w14:paraId="05964CF2" w14:textId="4F2C46B8" w:rsidR="007A3034" w:rsidRDefault="00905887" w:rsidP="00905887">
      <w:r>
        <w:t>Total program savings for the PDL classes will be regularly reviewed.</w:t>
      </w:r>
    </w:p>
    <w:p w14:paraId="795D157F" w14:textId="77777777" w:rsidR="00905887" w:rsidRPr="002C2C41" w:rsidRDefault="00905887" w:rsidP="00905887">
      <w:pPr>
        <w:rPr>
          <w:rFonts w:cs="Arial"/>
          <w:szCs w:val="20"/>
        </w:rPr>
      </w:pPr>
    </w:p>
    <w:p w14:paraId="6CBEE541" w14:textId="3A362043" w:rsidR="00E90D11" w:rsidRDefault="009A0FB1" w:rsidP="00696E3A">
      <w:pPr>
        <w:rPr>
          <w:b/>
          <w:bCs/>
        </w:rPr>
      </w:pPr>
      <w:r>
        <w:rPr>
          <w:b/>
          <w:bCs/>
        </w:rPr>
        <w:t>Preferred Agents:</w:t>
      </w:r>
    </w:p>
    <w:p w14:paraId="52C979FB" w14:textId="77777777" w:rsidR="00E66D55" w:rsidRPr="00DC3417" w:rsidRDefault="00E66D55" w:rsidP="00E66D55">
      <w:pPr>
        <w:numPr>
          <w:ilvl w:val="0"/>
          <w:numId w:val="15"/>
        </w:numPr>
        <w:rPr>
          <w:rFonts w:cs="Arial"/>
          <w:szCs w:val="20"/>
        </w:rPr>
      </w:pPr>
      <w:r w:rsidRPr="00DC3417">
        <w:rPr>
          <w:rFonts w:cs="Arial"/>
          <w:szCs w:val="20"/>
        </w:rPr>
        <w:t>Increlex</w:t>
      </w:r>
      <w:r w:rsidRPr="00DC3417">
        <w:rPr>
          <w:rFonts w:cs="Arial"/>
          <w:szCs w:val="20"/>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D696800" w14:textId="783AD800" w:rsidR="00E23EC0" w:rsidRPr="00E57CD5" w:rsidRDefault="00EB6226" w:rsidP="00EB6226">
      <w:pPr>
        <w:pStyle w:val="ListParagraph"/>
        <w:numPr>
          <w:ilvl w:val="0"/>
          <w:numId w:val="16"/>
        </w:numPr>
        <w:ind w:left="360"/>
        <w:rPr>
          <w:rFonts w:cs="Arial"/>
          <w:spacing w:val="-3"/>
          <w:szCs w:val="20"/>
        </w:rPr>
      </w:pPr>
      <w:r w:rsidRPr="00EB6226">
        <w:t>Egrifta SV</w:t>
      </w:r>
      <w:r w:rsidRPr="00EB6226">
        <w:rPr>
          <w:vertAlign w:val="superscript"/>
        </w:rPr>
        <w:t>®</w:t>
      </w:r>
    </w:p>
    <w:p w14:paraId="6994078E" w14:textId="183C524F" w:rsidR="00E57CD5" w:rsidRPr="00636903" w:rsidRDefault="00E57CD5" w:rsidP="00EB6226">
      <w:pPr>
        <w:pStyle w:val="ListParagraph"/>
        <w:numPr>
          <w:ilvl w:val="0"/>
          <w:numId w:val="16"/>
        </w:numPr>
        <w:ind w:left="360"/>
        <w:rPr>
          <w:b/>
          <w:bCs/>
          <w:color w:val="1F497D" w:themeColor="text2"/>
        </w:rPr>
      </w:pPr>
      <w:r w:rsidRPr="00636903">
        <w:rPr>
          <w:b/>
          <w:bCs/>
          <w:color w:val="1F497D" w:themeColor="text2"/>
        </w:rPr>
        <w:t>Egrifta WR</w:t>
      </w:r>
      <w:r w:rsidR="00636903" w:rsidRPr="00636903">
        <w:rPr>
          <w:b/>
          <w:bCs/>
          <w:color w:val="1F497D" w:themeColor="text2"/>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0E5B4ED" w:rsidR="0097028A" w:rsidRPr="0079438F" w:rsidRDefault="0097028A" w:rsidP="00696E3A">
      <w:pPr>
        <w:rPr>
          <w:b/>
        </w:rPr>
      </w:pPr>
      <w:r w:rsidRPr="00696E3A">
        <w:rPr>
          <w:b/>
          <w:bCs/>
        </w:rPr>
        <w:t>Drug class for review:</w:t>
      </w:r>
      <w:r w:rsidRPr="00C02553">
        <w:t xml:space="preserve"> </w:t>
      </w:r>
      <w:r w:rsidR="008B1FC6" w:rsidRPr="008B1FC6">
        <w:t>Growth Hormones &amp; Growth Hormone Releasing Factors, Select Agents</w:t>
      </w:r>
    </w:p>
    <w:p w14:paraId="26CFE8A0" w14:textId="06A3E9E1" w:rsidR="008524BA" w:rsidRDefault="0097028A" w:rsidP="00696E3A">
      <w:pPr>
        <w:rPr>
          <w:rFonts w:cs="Arial"/>
          <w:b/>
        </w:rPr>
      </w:pPr>
      <w:r w:rsidRPr="00696E3A">
        <w:rPr>
          <w:b/>
          <w:bCs/>
        </w:rPr>
        <w:t>Age range:</w:t>
      </w:r>
      <w:r w:rsidRPr="00C02553">
        <w:t xml:space="preserve"> </w:t>
      </w:r>
      <w:r w:rsidR="00A70F42" w:rsidRPr="00A70F42">
        <w:rPr>
          <w:rFonts w:cs="Arial"/>
        </w:rPr>
        <w:t>All appropriate MO HealthNet participants aged 2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1B4E9E3" w14:textId="77777777" w:rsidR="002967A0" w:rsidRPr="002967A0" w:rsidRDefault="002967A0" w:rsidP="002967A0">
      <w:pPr>
        <w:jc w:val="both"/>
        <w:rPr>
          <w:rFonts w:cs="Arial"/>
          <w:bCs/>
          <w:szCs w:val="20"/>
          <w:u w:val="single"/>
        </w:rPr>
      </w:pPr>
      <w:r w:rsidRPr="002967A0">
        <w:rPr>
          <w:rFonts w:cs="Arial"/>
          <w:bCs/>
          <w:szCs w:val="20"/>
          <w:u w:val="single"/>
        </w:rPr>
        <w:t>Initial Therapy:</w:t>
      </w:r>
    </w:p>
    <w:p w14:paraId="747D985B" w14:textId="77777777" w:rsidR="002967A0" w:rsidRPr="002967A0" w:rsidRDefault="002967A0" w:rsidP="002967A0">
      <w:pPr>
        <w:numPr>
          <w:ilvl w:val="0"/>
          <w:numId w:val="18"/>
        </w:numPr>
        <w:contextualSpacing/>
        <w:jc w:val="both"/>
        <w:rPr>
          <w:rFonts w:cs="Arial"/>
          <w:bCs/>
          <w:szCs w:val="20"/>
        </w:rPr>
      </w:pPr>
      <w:r w:rsidRPr="002967A0">
        <w:rPr>
          <w:rFonts w:cs="Arial"/>
          <w:bCs/>
          <w:szCs w:val="20"/>
        </w:rPr>
        <w:t xml:space="preserve">Must meet </w:t>
      </w:r>
      <w:proofErr w:type="gramStart"/>
      <w:r w:rsidRPr="002967A0">
        <w:rPr>
          <w:rFonts w:cs="Arial"/>
          <w:bCs/>
          <w:szCs w:val="20"/>
        </w:rPr>
        <w:t>all of</w:t>
      </w:r>
      <w:proofErr w:type="gramEnd"/>
      <w:r w:rsidRPr="002967A0">
        <w:rPr>
          <w:rFonts w:cs="Arial"/>
          <w:bCs/>
          <w:szCs w:val="20"/>
        </w:rPr>
        <w:t xml:space="preserve"> the following:</w:t>
      </w:r>
    </w:p>
    <w:p w14:paraId="114AD4AC" w14:textId="77777777" w:rsidR="002967A0" w:rsidRPr="002967A0" w:rsidRDefault="002967A0" w:rsidP="002967A0">
      <w:pPr>
        <w:numPr>
          <w:ilvl w:val="1"/>
          <w:numId w:val="18"/>
        </w:numPr>
        <w:contextualSpacing/>
        <w:jc w:val="both"/>
        <w:rPr>
          <w:rFonts w:cs="Arial"/>
          <w:bCs/>
          <w:szCs w:val="20"/>
        </w:rPr>
      </w:pPr>
      <w:r w:rsidRPr="002967A0">
        <w:rPr>
          <w:rFonts w:cs="Arial"/>
          <w:bCs/>
          <w:szCs w:val="20"/>
        </w:rPr>
        <w:t>Prescribed by or in consultation with an infectious disease specialist, endocrinologist, nephrologist, or other appropriate specialist for the disease state.</w:t>
      </w:r>
    </w:p>
    <w:p w14:paraId="7ECD7677" w14:textId="1C62B9C3" w:rsidR="002967A0" w:rsidRPr="002967A0" w:rsidRDefault="002967A0" w:rsidP="002967A0">
      <w:pPr>
        <w:numPr>
          <w:ilvl w:val="0"/>
          <w:numId w:val="18"/>
        </w:numPr>
        <w:contextualSpacing/>
        <w:jc w:val="both"/>
        <w:rPr>
          <w:rFonts w:cs="Arial"/>
          <w:bCs/>
          <w:szCs w:val="20"/>
        </w:rPr>
      </w:pPr>
      <w:r w:rsidRPr="002967A0">
        <w:rPr>
          <w:rFonts w:cs="Arial"/>
          <w:bCs/>
          <w:szCs w:val="20"/>
        </w:rPr>
        <w:t xml:space="preserve">Additional approval criteria for Egrifta SV </w:t>
      </w:r>
      <w:r w:rsidR="003228B2">
        <w:rPr>
          <w:rFonts w:cs="Arial"/>
          <w:b/>
          <w:color w:val="1F497D" w:themeColor="text2"/>
          <w:szCs w:val="20"/>
        </w:rPr>
        <w:t>and Egrifta WR</w:t>
      </w:r>
      <w:r w:rsidRPr="002967A0">
        <w:rPr>
          <w:rFonts w:cs="Arial"/>
          <w:bCs/>
          <w:szCs w:val="20"/>
        </w:rPr>
        <w:t xml:space="preserve">– must meet </w:t>
      </w:r>
      <w:proofErr w:type="gramStart"/>
      <w:r w:rsidRPr="002967A0">
        <w:rPr>
          <w:rFonts w:cs="Arial"/>
          <w:bCs/>
          <w:szCs w:val="20"/>
        </w:rPr>
        <w:t>all of</w:t>
      </w:r>
      <w:proofErr w:type="gramEnd"/>
      <w:r w:rsidRPr="002967A0">
        <w:rPr>
          <w:rFonts w:cs="Arial"/>
          <w:bCs/>
          <w:szCs w:val="20"/>
        </w:rPr>
        <w:t xml:space="preserve"> the following:</w:t>
      </w:r>
    </w:p>
    <w:p w14:paraId="2B46A4F9" w14:textId="77777777" w:rsidR="002967A0" w:rsidRPr="002967A0" w:rsidRDefault="002967A0" w:rsidP="002967A0">
      <w:pPr>
        <w:numPr>
          <w:ilvl w:val="0"/>
          <w:numId w:val="19"/>
        </w:numPr>
        <w:ind w:left="720"/>
        <w:contextualSpacing/>
        <w:jc w:val="both"/>
        <w:rPr>
          <w:rFonts w:cs="Arial"/>
          <w:bCs/>
          <w:szCs w:val="20"/>
        </w:rPr>
      </w:pPr>
      <w:r w:rsidRPr="002967A0">
        <w:rPr>
          <w:rFonts w:cs="Arial"/>
          <w:bCs/>
          <w:szCs w:val="20"/>
        </w:rPr>
        <w:t>Participant aged 18 years or older</w:t>
      </w:r>
      <w:r w:rsidRPr="002967A0">
        <w:rPr>
          <w:rFonts w:cs="Arial"/>
          <w:b/>
          <w:szCs w:val="20"/>
        </w:rPr>
        <w:t>;</w:t>
      </w:r>
    </w:p>
    <w:p w14:paraId="5033B41B" w14:textId="77777777" w:rsidR="002967A0" w:rsidRPr="002967A0" w:rsidRDefault="002967A0" w:rsidP="002967A0">
      <w:pPr>
        <w:numPr>
          <w:ilvl w:val="0"/>
          <w:numId w:val="19"/>
        </w:numPr>
        <w:ind w:left="720"/>
        <w:contextualSpacing/>
        <w:jc w:val="both"/>
        <w:rPr>
          <w:rFonts w:cs="Arial"/>
          <w:bCs/>
          <w:szCs w:val="20"/>
        </w:rPr>
      </w:pPr>
      <w:r w:rsidRPr="002967A0">
        <w:rPr>
          <w:rFonts w:cs="Arial"/>
          <w:bCs/>
          <w:szCs w:val="20"/>
        </w:rPr>
        <w:lastRenderedPageBreak/>
        <w:t>Documented diagnosis of HIV</w:t>
      </w:r>
      <w:r w:rsidRPr="002967A0">
        <w:rPr>
          <w:rFonts w:cs="Arial"/>
          <w:b/>
          <w:szCs w:val="20"/>
        </w:rPr>
        <w:t>;</w:t>
      </w:r>
    </w:p>
    <w:p w14:paraId="6A914CDE" w14:textId="77777777" w:rsidR="002967A0" w:rsidRPr="002967A0" w:rsidRDefault="002967A0" w:rsidP="002967A0">
      <w:pPr>
        <w:numPr>
          <w:ilvl w:val="0"/>
          <w:numId w:val="19"/>
        </w:numPr>
        <w:ind w:left="720"/>
        <w:contextualSpacing/>
        <w:jc w:val="both"/>
        <w:rPr>
          <w:rFonts w:cs="Arial"/>
          <w:bCs/>
          <w:szCs w:val="20"/>
        </w:rPr>
      </w:pPr>
      <w:r w:rsidRPr="002967A0">
        <w:rPr>
          <w:rFonts w:cs="Arial"/>
          <w:bCs/>
          <w:szCs w:val="20"/>
        </w:rPr>
        <w:t>Participant is currently receiving and compliant to antiretroviral therapy (90/120 days)</w:t>
      </w:r>
      <w:r w:rsidRPr="002967A0">
        <w:rPr>
          <w:rFonts w:cs="Arial"/>
          <w:b/>
          <w:szCs w:val="20"/>
        </w:rPr>
        <w:t>;</w:t>
      </w:r>
    </w:p>
    <w:p w14:paraId="633ED16A" w14:textId="77777777" w:rsidR="002967A0" w:rsidRPr="002967A0" w:rsidRDefault="002967A0" w:rsidP="002967A0">
      <w:pPr>
        <w:numPr>
          <w:ilvl w:val="0"/>
          <w:numId w:val="19"/>
        </w:numPr>
        <w:ind w:left="720"/>
        <w:contextualSpacing/>
        <w:jc w:val="both"/>
        <w:rPr>
          <w:rFonts w:cs="Arial"/>
          <w:bCs/>
          <w:szCs w:val="20"/>
        </w:rPr>
      </w:pPr>
      <w:r w:rsidRPr="002967A0">
        <w:rPr>
          <w:rFonts w:cs="Arial"/>
          <w:bCs/>
          <w:szCs w:val="20"/>
        </w:rPr>
        <w:t>Documented diagnosis of excess abdominal fat lipodystrophy</w:t>
      </w:r>
      <w:r w:rsidRPr="002967A0">
        <w:rPr>
          <w:rFonts w:cs="Arial"/>
          <w:b/>
          <w:szCs w:val="20"/>
        </w:rPr>
        <w:t>;</w:t>
      </w:r>
    </w:p>
    <w:p w14:paraId="7BF4B781" w14:textId="77777777" w:rsidR="002967A0" w:rsidRPr="002967A0" w:rsidRDefault="002967A0" w:rsidP="002967A0">
      <w:pPr>
        <w:numPr>
          <w:ilvl w:val="0"/>
          <w:numId w:val="20"/>
        </w:numPr>
        <w:ind w:left="720"/>
        <w:contextualSpacing/>
        <w:jc w:val="both"/>
        <w:rPr>
          <w:rFonts w:cs="Arial"/>
          <w:bCs/>
          <w:szCs w:val="20"/>
        </w:rPr>
      </w:pPr>
      <w:r w:rsidRPr="002967A0">
        <w:rPr>
          <w:rFonts w:cs="Arial"/>
          <w:bCs/>
          <w:szCs w:val="20"/>
        </w:rPr>
        <w:t xml:space="preserve">Participant is currently not pregnant; </w:t>
      </w:r>
      <w:r w:rsidRPr="002967A0">
        <w:rPr>
          <w:rFonts w:cs="Arial"/>
          <w:b/>
          <w:szCs w:val="20"/>
        </w:rPr>
        <w:t>AND</w:t>
      </w:r>
    </w:p>
    <w:p w14:paraId="7630D48F" w14:textId="77777777" w:rsidR="002967A0" w:rsidRPr="00573302" w:rsidRDefault="002967A0" w:rsidP="002967A0">
      <w:pPr>
        <w:numPr>
          <w:ilvl w:val="0"/>
          <w:numId w:val="20"/>
        </w:numPr>
        <w:ind w:left="720"/>
        <w:contextualSpacing/>
        <w:jc w:val="both"/>
        <w:rPr>
          <w:rFonts w:cs="Arial"/>
          <w:bCs/>
          <w:szCs w:val="20"/>
        </w:rPr>
      </w:pPr>
      <w:r w:rsidRPr="002967A0">
        <w:rPr>
          <w:rFonts w:cs="Arial"/>
          <w:bCs/>
          <w:szCs w:val="20"/>
        </w:rPr>
        <w:t>Baseline IGF-1</w:t>
      </w:r>
      <w:r w:rsidRPr="002967A0">
        <w:rPr>
          <w:rFonts w:cs="Arial"/>
          <w:b/>
          <w:szCs w:val="20"/>
        </w:rPr>
        <w:t xml:space="preserve"> </w:t>
      </w:r>
      <w:r w:rsidRPr="002967A0">
        <w:rPr>
          <w:rFonts w:cs="Arial"/>
          <w:bCs/>
          <w:szCs w:val="20"/>
        </w:rPr>
        <w:t>levels.</w:t>
      </w:r>
      <w:r w:rsidRPr="002967A0">
        <w:rPr>
          <w:rFonts w:cs="Arial"/>
          <w:b/>
          <w:szCs w:val="20"/>
        </w:rPr>
        <w:t xml:space="preserve"> </w:t>
      </w:r>
    </w:p>
    <w:p w14:paraId="4A57662A" w14:textId="77777777" w:rsidR="002967A0" w:rsidRPr="002967A0" w:rsidRDefault="002967A0" w:rsidP="002967A0">
      <w:pPr>
        <w:numPr>
          <w:ilvl w:val="0"/>
          <w:numId w:val="17"/>
        </w:numPr>
        <w:rPr>
          <w:rFonts w:cs="Arial"/>
          <w:szCs w:val="20"/>
        </w:rPr>
      </w:pPr>
      <w:r w:rsidRPr="002967A0">
        <w:rPr>
          <w:rFonts w:cs="Arial"/>
          <w:szCs w:val="20"/>
        </w:rPr>
        <w:t xml:space="preserve">Additional approval criteria for Increlex – must meet </w:t>
      </w:r>
      <w:proofErr w:type="gramStart"/>
      <w:r w:rsidRPr="002967A0">
        <w:rPr>
          <w:rFonts w:cs="Arial"/>
          <w:szCs w:val="20"/>
        </w:rPr>
        <w:t>all of</w:t>
      </w:r>
      <w:proofErr w:type="gramEnd"/>
      <w:r w:rsidRPr="002967A0">
        <w:rPr>
          <w:rFonts w:cs="Arial"/>
          <w:szCs w:val="20"/>
        </w:rPr>
        <w:t xml:space="preserve"> the following:</w:t>
      </w:r>
    </w:p>
    <w:p w14:paraId="15F7289C" w14:textId="77777777" w:rsidR="002967A0" w:rsidRPr="002967A0" w:rsidRDefault="002967A0" w:rsidP="002967A0">
      <w:pPr>
        <w:numPr>
          <w:ilvl w:val="1"/>
          <w:numId w:val="17"/>
        </w:numPr>
        <w:rPr>
          <w:rFonts w:cs="Arial"/>
          <w:szCs w:val="20"/>
        </w:rPr>
      </w:pPr>
      <w:r w:rsidRPr="002967A0">
        <w:rPr>
          <w:rFonts w:cs="Arial"/>
          <w:szCs w:val="20"/>
        </w:rPr>
        <w:t>Participant aged 2 years or older</w:t>
      </w:r>
      <w:r w:rsidRPr="002967A0">
        <w:rPr>
          <w:rFonts w:cs="Arial"/>
          <w:b/>
          <w:bCs/>
          <w:szCs w:val="20"/>
        </w:rPr>
        <w:t>;</w:t>
      </w:r>
    </w:p>
    <w:p w14:paraId="45DDA9DC" w14:textId="77777777" w:rsidR="002967A0" w:rsidRPr="002967A0" w:rsidRDefault="002967A0" w:rsidP="002967A0">
      <w:pPr>
        <w:numPr>
          <w:ilvl w:val="1"/>
          <w:numId w:val="17"/>
        </w:numPr>
        <w:rPr>
          <w:rFonts w:cs="Arial"/>
          <w:szCs w:val="20"/>
        </w:rPr>
      </w:pPr>
      <w:r w:rsidRPr="002967A0">
        <w:rPr>
          <w:rFonts w:cs="Arial"/>
          <w:szCs w:val="20"/>
        </w:rPr>
        <w:t>Documented diagnosis of one of the following:</w:t>
      </w:r>
    </w:p>
    <w:p w14:paraId="63CA37CF" w14:textId="77777777" w:rsidR="002967A0" w:rsidRPr="002967A0" w:rsidRDefault="002967A0" w:rsidP="002967A0">
      <w:pPr>
        <w:numPr>
          <w:ilvl w:val="2"/>
          <w:numId w:val="17"/>
        </w:numPr>
        <w:rPr>
          <w:rFonts w:cs="Arial"/>
          <w:szCs w:val="20"/>
        </w:rPr>
      </w:pPr>
      <w:r w:rsidRPr="002967A0">
        <w:rPr>
          <w:rFonts w:cs="Arial"/>
          <w:szCs w:val="20"/>
        </w:rPr>
        <w:t xml:space="preserve">Growth failure with severe primary IGF-1 deficiency as defined by height SDS ≤ -3, basal IGF-1 SDS ≤ -3, and normal or elevated growth hormone; </w:t>
      </w:r>
      <w:r w:rsidRPr="002967A0">
        <w:rPr>
          <w:rFonts w:cs="Arial"/>
          <w:b/>
          <w:bCs/>
          <w:szCs w:val="20"/>
        </w:rPr>
        <w:t>OR</w:t>
      </w:r>
    </w:p>
    <w:p w14:paraId="5FCBE6B3" w14:textId="77777777" w:rsidR="002967A0" w:rsidRPr="002967A0" w:rsidRDefault="002967A0" w:rsidP="002967A0">
      <w:pPr>
        <w:numPr>
          <w:ilvl w:val="2"/>
          <w:numId w:val="17"/>
        </w:numPr>
        <w:rPr>
          <w:rFonts w:cs="Arial"/>
          <w:szCs w:val="20"/>
        </w:rPr>
      </w:pPr>
      <w:r w:rsidRPr="002967A0">
        <w:rPr>
          <w:rFonts w:cs="Arial"/>
          <w:szCs w:val="20"/>
        </w:rPr>
        <w:t>Growth hormone gene deletion with development of neutralizing antibodies to GH;</w:t>
      </w:r>
      <w:r w:rsidRPr="002967A0">
        <w:rPr>
          <w:rFonts w:cs="Arial"/>
          <w:b/>
          <w:bCs/>
          <w:szCs w:val="20"/>
        </w:rPr>
        <w:t xml:space="preserve"> </w:t>
      </w:r>
    </w:p>
    <w:p w14:paraId="2C5E4D73" w14:textId="77777777" w:rsidR="002967A0" w:rsidRPr="002967A0" w:rsidRDefault="002967A0" w:rsidP="002967A0">
      <w:pPr>
        <w:numPr>
          <w:ilvl w:val="1"/>
          <w:numId w:val="17"/>
        </w:numPr>
        <w:rPr>
          <w:rFonts w:cs="Arial"/>
          <w:szCs w:val="20"/>
        </w:rPr>
      </w:pPr>
      <w:r w:rsidRPr="002967A0">
        <w:rPr>
          <w:rFonts w:cs="Arial"/>
          <w:szCs w:val="20"/>
        </w:rPr>
        <w:t>Documented baseline blood glucose levels</w:t>
      </w:r>
      <w:r w:rsidRPr="002967A0">
        <w:rPr>
          <w:rFonts w:cs="Arial"/>
          <w:b/>
          <w:bCs/>
          <w:szCs w:val="20"/>
        </w:rPr>
        <w:t xml:space="preserve">; </w:t>
      </w:r>
    </w:p>
    <w:p w14:paraId="38CE0840" w14:textId="77777777" w:rsidR="002967A0" w:rsidRPr="002967A0" w:rsidRDefault="002967A0" w:rsidP="002967A0">
      <w:pPr>
        <w:numPr>
          <w:ilvl w:val="1"/>
          <w:numId w:val="17"/>
        </w:numPr>
        <w:rPr>
          <w:rFonts w:cs="Arial"/>
          <w:szCs w:val="20"/>
        </w:rPr>
      </w:pPr>
      <w:r w:rsidRPr="002967A0">
        <w:rPr>
          <w:rFonts w:cs="Arial"/>
          <w:szCs w:val="20"/>
        </w:rPr>
        <w:t xml:space="preserve">Documented baseline IGF-1 level; </w:t>
      </w:r>
      <w:r w:rsidRPr="002967A0">
        <w:rPr>
          <w:rFonts w:cs="Arial"/>
          <w:b/>
          <w:bCs/>
          <w:szCs w:val="20"/>
        </w:rPr>
        <w:t>AND</w:t>
      </w:r>
    </w:p>
    <w:p w14:paraId="531F4010" w14:textId="77777777" w:rsidR="002967A0" w:rsidRPr="002967A0" w:rsidRDefault="002967A0" w:rsidP="002967A0">
      <w:pPr>
        <w:numPr>
          <w:ilvl w:val="0"/>
          <w:numId w:val="23"/>
        </w:numPr>
        <w:rPr>
          <w:rFonts w:cs="Arial"/>
          <w:szCs w:val="20"/>
        </w:rPr>
      </w:pPr>
      <w:r w:rsidRPr="002967A0">
        <w:rPr>
          <w:rFonts w:cs="Arial"/>
          <w:szCs w:val="20"/>
        </w:rPr>
        <w:t>Participants 10 years of age and older – must meet one of the following:</w:t>
      </w:r>
    </w:p>
    <w:p w14:paraId="70E98438" w14:textId="77777777" w:rsidR="002967A0" w:rsidRPr="002967A0" w:rsidRDefault="002967A0" w:rsidP="002967A0">
      <w:pPr>
        <w:numPr>
          <w:ilvl w:val="0"/>
          <w:numId w:val="22"/>
        </w:numPr>
        <w:contextualSpacing/>
        <w:rPr>
          <w:rFonts w:cs="Arial"/>
          <w:szCs w:val="20"/>
        </w:rPr>
      </w:pPr>
      <w:r w:rsidRPr="002967A0">
        <w:rPr>
          <w:rFonts w:cs="Arial"/>
          <w:szCs w:val="20"/>
        </w:rPr>
        <w:t xml:space="preserve">Documented bone age less than 14 years for females and 16 years for males; </w:t>
      </w:r>
      <w:r w:rsidRPr="002967A0">
        <w:rPr>
          <w:rFonts w:cs="Arial"/>
          <w:b/>
          <w:bCs/>
          <w:szCs w:val="20"/>
        </w:rPr>
        <w:t>OR</w:t>
      </w:r>
    </w:p>
    <w:p w14:paraId="49825373" w14:textId="77777777" w:rsidR="002967A0" w:rsidRPr="002967A0" w:rsidRDefault="002967A0" w:rsidP="002967A0">
      <w:pPr>
        <w:numPr>
          <w:ilvl w:val="0"/>
          <w:numId w:val="22"/>
        </w:numPr>
        <w:contextualSpacing/>
        <w:rPr>
          <w:rFonts w:cs="Arial"/>
          <w:szCs w:val="20"/>
        </w:rPr>
      </w:pPr>
      <w:r w:rsidRPr="002967A0">
        <w:rPr>
          <w:rFonts w:cs="Arial"/>
          <w:szCs w:val="20"/>
        </w:rPr>
        <w:t>Documented open epiphyses.</w:t>
      </w:r>
    </w:p>
    <w:p w14:paraId="27C84D67" w14:textId="77777777" w:rsidR="002967A0" w:rsidRPr="002967A0" w:rsidRDefault="002967A0" w:rsidP="002967A0">
      <w:pPr>
        <w:rPr>
          <w:rFonts w:cs="Arial"/>
          <w:szCs w:val="20"/>
        </w:rPr>
      </w:pPr>
    </w:p>
    <w:p w14:paraId="4A4E2E1A" w14:textId="77777777" w:rsidR="002967A0" w:rsidRPr="002967A0" w:rsidRDefault="002967A0" w:rsidP="002967A0">
      <w:pPr>
        <w:rPr>
          <w:rFonts w:cs="Arial"/>
          <w:szCs w:val="20"/>
          <w:u w:val="single"/>
        </w:rPr>
      </w:pPr>
      <w:r w:rsidRPr="002967A0">
        <w:rPr>
          <w:rFonts w:cs="Arial"/>
          <w:szCs w:val="20"/>
          <w:u w:val="single"/>
        </w:rPr>
        <w:t xml:space="preserve">Continuation of Therapy: </w:t>
      </w:r>
    </w:p>
    <w:p w14:paraId="344B7270" w14:textId="77777777" w:rsidR="002967A0" w:rsidRPr="002967A0" w:rsidRDefault="002967A0" w:rsidP="002967A0">
      <w:pPr>
        <w:numPr>
          <w:ilvl w:val="0"/>
          <w:numId w:val="21"/>
        </w:numPr>
        <w:contextualSpacing/>
        <w:rPr>
          <w:rFonts w:cs="Arial"/>
          <w:szCs w:val="20"/>
        </w:rPr>
      </w:pPr>
      <w:r w:rsidRPr="002967A0">
        <w:rPr>
          <w:rFonts w:cs="Arial"/>
          <w:szCs w:val="20"/>
        </w:rPr>
        <w:t xml:space="preserve">Must meet </w:t>
      </w:r>
      <w:proofErr w:type="gramStart"/>
      <w:r w:rsidRPr="002967A0">
        <w:rPr>
          <w:rFonts w:cs="Arial"/>
          <w:szCs w:val="20"/>
        </w:rPr>
        <w:t>all of</w:t>
      </w:r>
      <w:proofErr w:type="gramEnd"/>
      <w:r w:rsidRPr="002967A0">
        <w:rPr>
          <w:rFonts w:cs="Arial"/>
          <w:szCs w:val="20"/>
        </w:rPr>
        <w:t xml:space="preserve"> the following:</w:t>
      </w:r>
    </w:p>
    <w:p w14:paraId="4D72081B" w14:textId="77777777" w:rsidR="002967A0" w:rsidRPr="002967A0" w:rsidRDefault="002967A0" w:rsidP="002967A0">
      <w:pPr>
        <w:numPr>
          <w:ilvl w:val="1"/>
          <w:numId w:val="17"/>
        </w:numPr>
        <w:contextualSpacing/>
        <w:rPr>
          <w:rFonts w:cs="Arial"/>
          <w:szCs w:val="20"/>
        </w:rPr>
      </w:pPr>
      <w:r w:rsidRPr="002967A0">
        <w:rPr>
          <w:rFonts w:cs="Arial"/>
          <w:szCs w:val="20"/>
        </w:rPr>
        <w:t>Documentation of current IGF-1 levels</w:t>
      </w:r>
      <w:r w:rsidRPr="002967A0">
        <w:rPr>
          <w:rFonts w:cs="Arial"/>
          <w:b/>
          <w:bCs/>
          <w:szCs w:val="20"/>
        </w:rPr>
        <w:t>;</w:t>
      </w:r>
    </w:p>
    <w:p w14:paraId="2AADD059" w14:textId="77777777" w:rsidR="002967A0" w:rsidRPr="002967A0" w:rsidRDefault="002967A0" w:rsidP="002967A0">
      <w:pPr>
        <w:numPr>
          <w:ilvl w:val="1"/>
          <w:numId w:val="17"/>
        </w:numPr>
        <w:contextualSpacing/>
        <w:rPr>
          <w:rFonts w:cs="Arial"/>
          <w:szCs w:val="20"/>
        </w:rPr>
      </w:pPr>
      <w:r w:rsidRPr="002967A0">
        <w:rPr>
          <w:rFonts w:cs="Arial"/>
          <w:szCs w:val="20"/>
        </w:rPr>
        <w:t>Documentation of benefit of therapy as demonstrated by growth monitoring or reduction in excessive abdominal fat</w:t>
      </w:r>
      <w:r w:rsidRPr="002967A0">
        <w:rPr>
          <w:rFonts w:cs="Arial"/>
          <w:b/>
          <w:bCs/>
          <w:szCs w:val="20"/>
        </w:rPr>
        <w:t>; AND</w:t>
      </w:r>
    </w:p>
    <w:p w14:paraId="691EA652" w14:textId="77777777" w:rsidR="002967A0" w:rsidRPr="002967A0" w:rsidRDefault="002967A0" w:rsidP="002967A0">
      <w:pPr>
        <w:numPr>
          <w:ilvl w:val="1"/>
          <w:numId w:val="17"/>
        </w:numPr>
        <w:contextualSpacing/>
        <w:rPr>
          <w:rFonts w:cs="Arial"/>
          <w:szCs w:val="20"/>
        </w:rPr>
      </w:pPr>
      <w:r w:rsidRPr="002967A0">
        <w:rPr>
          <w:rFonts w:cs="Arial"/>
          <w:szCs w:val="20"/>
        </w:rPr>
        <w:t xml:space="preserve">For Increlex only – must meet </w:t>
      </w:r>
      <w:proofErr w:type="gramStart"/>
      <w:r w:rsidRPr="002967A0">
        <w:rPr>
          <w:rFonts w:cs="Arial"/>
          <w:szCs w:val="20"/>
        </w:rPr>
        <w:t>all of</w:t>
      </w:r>
      <w:proofErr w:type="gramEnd"/>
      <w:r w:rsidRPr="002967A0">
        <w:rPr>
          <w:rFonts w:cs="Arial"/>
          <w:szCs w:val="20"/>
        </w:rPr>
        <w:t xml:space="preserve"> the following:</w:t>
      </w:r>
    </w:p>
    <w:p w14:paraId="57DF7646" w14:textId="77777777" w:rsidR="002967A0" w:rsidRPr="002967A0" w:rsidRDefault="002967A0" w:rsidP="002967A0">
      <w:pPr>
        <w:numPr>
          <w:ilvl w:val="2"/>
          <w:numId w:val="17"/>
        </w:numPr>
        <w:contextualSpacing/>
        <w:rPr>
          <w:rFonts w:cs="Arial"/>
          <w:szCs w:val="20"/>
        </w:rPr>
      </w:pPr>
      <w:r w:rsidRPr="002967A0">
        <w:rPr>
          <w:rFonts w:cs="Arial"/>
          <w:szCs w:val="20"/>
        </w:rPr>
        <w:t xml:space="preserve">Documentation of current blood glucose levels; </w:t>
      </w:r>
      <w:r w:rsidRPr="002967A0">
        <w:rPr>
          <w:rFonts w:cs="Arial"/>
          <w:b/>
          <w:bCs/>
          <w:szCs w:val="20"/>
        </w:rPr>
        <w:t>AND</w:t>
      </w:r>
      <w:r w:rsidRPr="002967A0">
        <w:rPr>
          <w:rFonts w:cs="Arial"/>
          <w:szCs w:val="20"/>
        </w:rPr>
        <w:t xml:space="preserve"> </w:t>
      </w:r>
    </w:p>
    <w:p w14:paraId="32C93725" w14:textId="77777777" w:rsidR="002967A0" w:rsidRPr="002967A0" w:rsidRDefault="002967A0" w:rsidP="002967A0">
      <w:pPr>
        <w:numPr>
          <w:ilvl w:val="2"/>
          <w:numId w:val="17"/>
        </w:numPr>
        <w:contextualSpacing/>
        <w:rPr>
          <w:rFonts w:cs="Arial"/>
          <w:szCs w:val="20"/>
        </w:rPr>
      </w:pPr>
      <w:r w:rsidRPr="002967A0">
        <w:rPr>
          <w:rFonts w:cs="Arial"/>
          <w:szCs w:val="20"/>
        </w:rPr>
        <w:t xml:space="preserve">Participants 10 years of age and older – must meet one of the following: </w:t>
      </w:r>
    </w:p>
    <w:p w14:paraId="6C554681" w14:textId="77777777" w:rsidR="002967A0" w:rsidRPr="002967A0" w:rsidRDefault="002967A0" w:rsidP="002967A0">
      <w:pPr>
        <w:numPr>
          <w:ilvl w:val="3"/>
          <w:numId w:val="17"/>
        </w:numPr>
        <w:ind w:left="1440"/>
        <w:contextualSpacing/>
        <w:rPr>
          <w:rFonts w:cs="Arial"/>
          <w:szCs w:val="20"/>
        </w:rPr>
      </w:pPr>
      <w:r w:rsidRPr="002967A0">
        <w:rPr>
          <w:rFonts w:cs="Arial"/>
          <w:szCs w:val="20"/>
        </w:rPr>
        <w:t xml:space="preserve">Documentation of current bone age less than 14 years for females and 16 years for males; </w:t>
      </w:r>
      <w:r w:rsidRPr="002967A0">
        <w:rPr>
          <w:rFonts w:cs="Arial"/>
          <w:b/>
          <w:bCs/>
          <w:szCs w:val="20"/>
        </w:rPr>
        <w:t>OR</w:t>
      </w:r>
    </w:p>
    <w:p w14:paraId="1E7EA852" w14:textId="77777777" w:rsidR="002967A0" w:rsidRPr="002967A0" w:rsidRDefault="002967A0" w:rsidP="002967A0">
      <w:pPr>
        <w:numPr>
          <w:ilvl w:val="3"/>
          <w:numId w:val="17"/>
        </w:numPr>
        <w:ind w:left="1440"/>
        <w:contextualSpacing/>
        <w:rPr>
          <w:rFonts w:cs="Arial"/>
          <w:b/>
          <w:bCs/>
          <w:szCs w:val="20"/>
        </w:rPr>
      </w:pPr>
      <w:r w:rsidRPr="002967A0">
        <w:rPr>
          <w:rFonts w:cs="Arial"/>
          <w:szCs w:val="20"/>
        </w:rPr>
        <w:t>Growth velocity is more than 2 cm/year</w:t>
      </w:r>
      <w:r w:rsidRPr="002967A0">
        <w:rPr>
          <w:rFonts w:cs="Arial"/>
          <w:b/>
          <w:bCs/>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AE8A4CC" w14:textId="77777777" w:rsidR="00CD0B21" w:rsidRPr="00CD0B21" w:rsidRDefault="00CD0B21" w:rsidP="00CD0B21">
      <w:pPr>
        <w:numPr>
          <w:ilvl w:val="0"/>
          <w:numId w:val="17"/>
        </w:numPr>
        <w:contextualSpacing/>
        <w:rPr>
          <w:rFonts w:cs="Arial"/>
          <w:noProof/>
          <w:szCs w:val="20"/>
        </w:rPr>
      </w:pPr>
      <w:r w:rsidRPr="00CD0B21">
        <w:rPr>
          <w:rFonts w:cs="Arial"/>
          <w:noProof/>
          <w:szCs w:val="20"/>
        </w:rPr>
        <w:t>Therapy will deny with the presence of one of the following:</w:t>
      </w:r>
    </w:p>
    <w:p w14:paraId="1A06E50D" w14:textId="77777777" w:rsidR="00CD0B21" w:rsidRPr="00CD0B21" w:rsidRDefault="00CD0B21" w:rsidP="00CD0B21">
      <w:pPr>
        <w:numPr>
          <w:ilvl w:val="1"/>
          <w:numId w:val="17"/>
        </w:numPr>
        <w:contextualSpacing/>
        <w:rPr>
          <w:rFonts w:cs="Arial"/>
          <w:noProof/>
          <w:szCs w:val="20"/>
        </w:rPr>
      </w:pPr>
      <w:r w:rsidRPr="00CD0B21">
        <w:rPr>
          <w:rFonts w:cs="Arial"/>
          <w:noProof/>
          <w:szCs w:val="20"/>
        </w:rPr>
        <w:t>Any approval criteria are not met;</w:t>
      </w:r>
    </w:p>
    <w:p w14:paraId="158DED61" w14:textId="77777777" w:rsidR="00CD0B21" w:rsidRPr="00CD0B21" w:rsidRDefault="00CD0B21" w:rsidP="00CD0B21">
      <w:pPr>
        <w:numPr>
          <w:ilvl w:val="1"/>
          <w:numId w:val="17"/>
        </w:numPr>
        <w:rPr>
          <w:rFonts w:cs="Arial"/>
          <w:noProof/>
          <w:szCs w:val="20"/>
        </w:rPr>
      </w:pPr>
      <w:r w:rsidRPr="00CD0B21">
        <w:rPr>
          <w:rFonts w:cs="Arial"/>
          <w:szCs w:val="20"/>
        </w:rPr>
        <w:t>Documented diagnosis of cancer;</w:t>
      </w:r>
    </w:p>
    <w:p w14:paraId="00D86AEC" w14:textId="77777777" w:rsidR="00CD0B21" w:rsidRPr="00CD0B21" w:rsidRDefault="00CD0B21" w:rsidP="00CD0B21">
      <w:pPr>
        <w:numPr>
          <w:ilvl w:val="1"/>
          <w:numId w:val="17"/>
        </w:numPr>
        <w:rPr>
          <w:rFonts w:cs="Arial"/>
          <w:noProof/>
          <w:szCs w:val="20"/>
        </w:rPr>
      </w:pPr>
      <w:r w:rsidRPr="00CD0B21">
        <w:rPr>
          <w:rFonts w:cs="Arial"/>
          <w:noProof/>
          <w:szCs w:val="20"/>
        </w:rPr>
        <w:t xml:space="preserve">Claim is for Increlex: </w:t>
      </w:r>
    </w:p>
    <w:p w14:paraId="098A9A8F" w14:textId="77777777" w:rsidR="00CD0B21" w:rsidRPr="00CD0B21" w:rsidRDefault="00CD0B21" w:rsidP="00CD0B21">
      <w:pPr>
        <w:numPr>
          <w:ilvl w:val="2"/>
          <w:numId w:val="24"/>
        </w:numPr>
        <w:tabs>
          <w:tab w:val="left" w:pos="810"/>
        </w:tabs>
        <w:contextualSpacing/>
        <w:rPr>
          <w:rFonts w:cs="Arial"/>
          <w:szCs w:val="20"/>
        </w:rPr>
      </w:pPr>
      <w:r w:rsidRPr="00CD0B21">
        <w:rPr>
          <w:rFonts w:cs="Arial"/>
          <w:szCs w:val="20"/>
        </w:rPr>
        <w:t>Documented diagnosis of secondary IGF-I deficiency (i.e., malnutrition, hypothyroidism, chronic treatment with pharmacological doses of anti-inflammatory steroids)</w:t>
      </w:r>
      <w:r w:rsidRPr="00CD0B21">
        <w:rPr>
          <w:rFonts w:cs="Arial"/>
          <w:noProof/>
          <w:szCs w:val="20"/>
        </w:rPr>
        <w:t xml:space="preserve">; </w:t>
      </w:r>
      <w:r w:rsidRPr="00CD0B21">
        <w:rPr>
          <w:rFonts w:cs="Arial"/>
          <w:b/>
          <w:bCs/>
          <w:noProof/>
          <w:szCs w:val="20"/>
        </w:rPr>
        <w:t>OR</w:t>
      </w:r>
    </w:p>
    <w:p w14:paraId="2558039E" w14:textId="77777777" w:rsidR="00CD0B21" w:rsidRPr="00CD0B21" w:rsidRDefault="00CD0B21" w:rsidP="00CD0B21">
      <w:pPr>
        <w:numPr>
          <w:ilvl w:val="1"/>
          <w:numId w:val="17"/>
        </w:numPr>
        <w:contextualSpacing/>
        <w:rPr>
          <w:rFonts w:cs="Arial"/>
          <w:noProof/>
          <w:szCs w:val="20"/>
        </w:rPr>
      </w:pPr>
      <w:bookmarkStart w:id="1" w:name="_Hlk34745611"/>
      <w:r w:rsidRPr="00CD0B21">
        <w:rPr>
          <w:rFonts w:cs="Arial"/>
          <w:noProof/>
          <w:szCs w:val="20"/>
        </w:rPr>
        <w:t>Claim exceeds maximum dosing limitation for the following:</w:t>
      </w:r>
    </w:p>
    <w:tbl>
      <w:tblPr>
        <w:tblW w:w="80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610"/>
      </w:tblGrid>
      <w:tr w:rsidR="00CD0B21" w:rsidRPr="00CD0B21" w14:paraId="2CDC2A2B" w14:textId="77777777" w:rsidTr="00565633">
        <w:tc>
          <w:tcPr>
            <w:tcW w:w="2700" w:type="dxa"/>
            <w:shd w:val="clear" w:color="auto" w:fill="FABF8F" w:themeFill="accent6" w:themeFillTint="99"/>
            <w:vAlign w:val="bottom"/>
          </w:tcPr>
          <w:p w14:paraId="3C8F950F" w14:textId="77777777" w:rsidR="00CD0B21" w:rsidRPr="00CD0B21" w:rsidRDefault="00CD0B21" w:rsidP="00CD0B21">
            <w:pPr>
              <w:rPr>
                <w:rFonts w:cs="Arial"/>
                <w:szCs w:val="20"/>
              </w:rPr>
            </w:pPr>
            <w:r w:rsidRPr="00CD0B21">
              <w:rPr>
                <w:rFonts w:cs="Arial"/>
                <w:b/>
                <w:szCs w:val="20"/>
              </w:rPr>
              <w:t>Drug Description</w:t>
            </w:r>
          </w:p>
        </w:tc>
        <w:tc>
          <w:tcPr>
            <w:tcW w:w="2700" w:type="dxa"/>
            <w:shd w:val="clear" w:color="auto" w:fill="FABF8F" w:themeFill="accent6" w:themeFillTint="99"/>
            <w:vAlign w:val="bottom"/>
          </w:tcPr>
          <w:p w14:paraId="6B563BAC" w14:textId="77777777" w:rsidR="00CD0B21" w:rsidRPr="00CD0B21" w:rsidRDefault="00CD0B21" w:rsidP="00CD0B21">
            <w:pPr>
              <w:rPr>
                <w:rFonts w:cs="Arial"/>
                <w:szCs w:val="20"/>
              </w:rPr>
            </w:pPr>
            <w:r w:rsidRPr="00CD0B21">
              <w:rPr>
                <w:rFonts w:cs="Arial"/>
                <w:b/>
                <w:szCs w:val="20"/>
              </w:rPr>
              <w:t>Generic Equivalent</w:t>
            </w:r>
          </w:p>
        </w:tc>
        <w:tc>
          <w:tcPr>
            <w:tcW w:w="2610" w:type="dxa"/>
            <w:shd w:val="clear" w:color="auto" w:fill="FABF8F" w:themeFill="accent6" w:themeFillTint="99"/>
          </w:tcPr>
          <w:p w14:paraId="663C281F" w14:textId="77777777" w:rsidR="00CD0B21" w:rsidRPr="00CD0B21" w:rsidRDefault="00CD0B21" w:rsidP="00CD0B21">
            <w:pPr>
              <w:rPr>
                <w:rFonts w:cs="Arial"/>
                <w:b/>
                <w:szCs w:val="20"/>
              </w:rPr>
            </w:pPr>
            <w:r w:rsidRPr="00CD0B21">
              <w:rPr>
                <w:rFonts w:cs="Arial"/>
                <w:b/>
                <w:szCs w:val="20"/>
              </w:rPr>
              <w:t>Max Dosing Limitation</w:t>
            </w:r>
          </w:p>
        </w:tc>
      </w:tr>
      <w:tr w:rsidR="00CD0B21" w:rsidRPr="00CD0B21" w14:paraId="451B499D" w14:textId="77777777" w:rsidTr="00565633">
        <w:tc>
          <w:tcPr>
            <w:tcW w:w="2700" w:type="dxa"/>
            <w:tcBorders>
              <w:top w:val="single" w:sz="4" w:space="0" w:color="auto"/>
              <w:left w:val="single" w:sz="4" w:space="0" w:color="auto"/>
              <w:bottom w:val="single" w:sz="4" w:space="0" w:color="auto"/>
              <w:right w:val="single" w:sz="4" w:space="0" w:color="auto"/>
            </w:tcBorders>
            <w:vAlign w:val="bottom"/>
          </w:tcPr>
          <w:p w14:paraId="154A8598" w14:textId="77777777" w:rsidR="00CD0B21" w:rsidRPr="00CD0B21" w:rsidRDefault="00CD0B21" w:rsidP="00CD0B21">
            <w:pPr>
              <w:rPr>
                <w:rFonts w:cs="Arial"/>
                <w:szCs w:val="20"/>
              </w:rPr>
            </w:pPr>
            <w:r w:rsidRPr="00CD0B21">
              <w:rPr>
                <w:rFonts w:cs="Arial"/>
                <w:szCs w:val="20"/>
              </w:rPr>
              <w:t xml:space="preserve">EGRIFTA SV 2 MG VIAL    </w:t>
            </w:r>
          </w:p>
        </w:tc>
        <w:tc>
          <w:tcPr>
            <w:tcW w:w="2700" w:type="dxa"/>
            <w:tcBorders>
              <w:top w:val="single" w:sz="4" w:space="0" w:color="auto"/>
              <w:left w:val="single" w:sz="4" w:space="0" w:color="auto"/>
              <w:bottom w:val="single" w:sz="4" w:space="0" w:color="auto"/>
              <w:right w:val="single" w:sz="4" w:space="0" w:color="auto"/>
            </w:tcBorders>
            <w:vAlign w:val="bottom"/>
          </w:tcPr>
          <w:p w14:paraId="66F3E71E" w14:textId="77777777" w:rsidR="00CD0B21" w:rsidRPr="00CD0B21" w:rsidRDefault="00CD0B21" w:rsidP="00CD0B21">
            <w:pPr>
              <w:rPr>
                <w:rFonts w:cs="Arial"/>
                <w:szCs w:val="20"/>
              </w:rPr>
            </w:pPr>
            <w:r w:rsidRPr="00CD0B21">
              <w:rPr>
                <w:rFonts w:cs="Arial"/>
                <w:szCs w:val="20"/>
              </w:rPr>
              <w:t>TESAMORELIN ACETATE</w:t>
            </w:r>
          </w:p>
        </w:tc>
        <w:tc>
          <w:tcPr>
            <w:tcW w:w="2610" w:type="dxa"/>
            <w:tcBorders>
              <w:top w:val="single" w:sz="4" w:space="0" w:color="auto"/>
              <w:left w:val="single" w:sz="4" w:space="0" w:color="auto"/>
              <w:bottom w:val="single" w:sz="4" w:space="0" w:color="auto"/>
              <w:right w:val="single" w:sz="4" w:space="0" w:color="auto"/>
            </w:tcBorders>
          </w:tcPr>
          <w:p w14:paraId="35F64E01" w14:textId="77777777" w:rsidR="00CD0B21" w:rsidRPr="00CD0B21" w:rsidRDefault="00CD0B21" w:rsidP="00CD0B21">
            <w:pPr>
              <w:rPr>
                <w:rFonts w:cs="Arial"/>
                <w:szCs w:val="20"/>
              </w:rPr>
            </w:pPr>
            <w:r w:rsidRPr="00CD0B21">
              <w:rPr>
                <w:rFonts w:cs="Arial"/>
                <w:szCs w:val="20"/>
              </w:rPr>
              <w:t>1 vial per day</w:t>
            </w:r>
          </w:p>
        </w:tc>
      </w:tr>
      <w:tr w:rsidR="00620384" w:rsidRPr="00CD0B21" w14:paraId="3814C049" w14:textId="77777777" w:rsidTr="00565633">
        <w:tc>
          <w:tcPr>
            <w:tcW w:w="2700" w:type="dxa"/>
            <w:tcBorders>
              <w:top w:val="single" w:sz="4" w:space="0" w:color="auto"/>
              <w:left w:val="single" w:sz="4" w:space="0" w:color="auto"/>
              <w:bottom w:val="single" w:sz="4" w:space="0" w:color="auto"/>
              <w:right w:val="single" w:sz="4" w:space="0" w:color="auto"/>
            </w:tcBorders>
            <w:vAlign w:val="bottom"/>
          </w:tcPr>
          <w:p w14:paraId="5D3424D1" w14:textId="307F3FDE" w:rsidR="00620384" w:rsidRPr="00B51D9F" w:rsidRDefault="00620384" w:rsidP="00CD0B21">
            <w:pPr>
              <w:rPr>
                <w:rFonts w:cs="Arial"/>
                <w:b/>
                <w:bCs/>
                <w:color w:val="1F497D" w:themeColor="text2"/>
                <w:szCs w:val="20"/>
              </w:rPr>
            </w:pPr>
            <w:r w:rsidRPr="00B51D9F">
              <w:rPr>
                <w:rFonts w:cs="Arial"/>
                <w:b/>
                <w:bCs/>
                <w:color w:val="1F497D" w:themeColor="text2"/>
                <w:szCs w:val="20"/>
              </w:rPr>
              <w:t xml:space="preserve">EGRIFTA </w:t>
            </w:r>
            <w:r w:rsidR="0070301F" w:rsidRPr="00B51D9F">
              <w:rPr>
                <w:rFonts w:cs="Arial"/>
                <w:b/>
                <w:bCs/>
                <w:color w:val="1F497D" w:themeColor="text2"/>
                <w:szCs w:val="20"/>
              </w:rPr>
              <w:t xml:space="preserve">WR </w:t>
            </w:r>
            <w:r w:rsidR="00B149BC" w:rsidRPr="00B51D9F">
              <w:rPr>
                <w:rFonts w:cs="Arial"/>
                <w:b/>
                <w:bCs/>
                <w:color w:val="1F497D" w:themeColor="text2"/>
                <w:szCs w:val="20"/>
              </w:rPr>
              <w:t>11.6 MG</w:t>
            </w:r>
            <w:r w:rsidR="00B51D9F" w:rsidRPr="00B51D9F">
              <w:rPr>
                <w:rFonts w:cs="Arial"/>
                <w:b/>
                <w:bCs/>
                <w:color w:val="1F497D" w:themeColor="text2"/>
                <w:szCs w:val="20"/>
              </w:rPr>
              <w:t xml:space="preserve"> KIT</w:t>
            </w:r>
          </w:p>
        </w:tc>
        <w:tc>
          <w:tcPr>
            <w:tcW w:w="2700" w:type="dxa"/>
            <w:tcBorders>
              <w:top w:val="single" w:sz="4" w:space="0" w:color="auto"/>
              <w:left w:val="single" w:sz="4" w:space="0" w:color="auto"/>
              <w:bottom w:val="single" w:sz="4" w:space="0" w:color="auto"/>
              <w:right w:val="single" w:sz="4" w:space="0" w:color="auto"/>
            </w:tcBorders>
            <w:vAlign w:val="bottom"/>
          </w:tcPr>
          <w:p w14:paraId="347547A2" w14:textId="5C498CCA" w:rsidR="00620384" w:rsidRPr="00B51D9F" w:rsidRDefault="00481732" w:rsidP="00CD0B21">
            <w:pPr>
              <w:rPr>
                <w:rFonts w:cs="Arial"/>
                <w:b/>
                <w:bCs/>
                <w:color w:val="1F497D" w:themeColor="text2"/>
                <w:szCs w:val="20"/>
              </w:rPr>
            </w:pPr>
            <w:r w:rsidRPr="00B51D9F">
              <w:rPr>
                <w:rFonts w:cs="Arial"/>
                <w:b/>
                <w:bCs/>
                <w:color w:val="1F497D" w:themeColor="text2"/>
                <w:szCs w:val="20"/>
              </w:rPr>
              <w:t>TESAMORELIN ACETATE</w:t>
            </w:r>
          </w:p>
        </w:tc>
        <w:tc>
          <w:tcPr>
            <w:tcW w:w="2610" w:type="dxa"/>
            <w:tcBorders>
              <w:top w:val="single" w:sz="4" w:space="0" w:color="auto"/>
              <w:left w:val="single" w:sz="4" w:space="0" w:color="auto"/>
              <w:bottom w:val="single" w:sz="4" w:space="0" w:color="auto"/>
              <w:right w:val="single" w:sz="4" w:space="0" w:color="auto"/>
            </w:tcBorders>
          </w:tcPr>
          <w:p w14:paraId="1249E64D" w14:textId="6BD2E830" w:rsidR="00620384" w:rsidRPr="00B51D9F" w:rsidRDefault="00481732" w:rsidP="00CD0B21">
            <w:pPr>
              <w:rPr>
                <w:rFonts w:cs="Arial"/>
                <w:b/>
                <w:bCs/>
                <w:color w:val="1F497D" w:themeColor="text2"/>
                <w:szCs w:val="20"/>
              </w:rPr>
            </w:pPr>
            <w:r w:rsidRPr="00B51D9F">
              <w:rPr>
                <w:rFonts w:cs="Arial"/>
                <w:b/>
                <w:bCs/>
                <w:color w:val="1F497D" w:themeColor="text2"/>
                <w:szCs w:val="20"/>
              </w:rPr>
              <w:t>1 kit</w:t>
            </w:r>
            <w:r w:rsidR="00C245B8">
              <w:rPr>
                <w:rFonts w:cs="Arial"/>
                <w:b/>
                <w:bCs/>
                <w:color w:val="1F497D" w:themeColor="text2"/>
                <w:szCs w:val="20"/>
              </w:rPr>
              <w:t xml:space="preserve"> </w:t>
            </w:r>
            <w:r w:rsidR="00154B11" w:rsidRPr="00B51D9F">
              <w:rPr>
                <w:rFonts w:cs="Arial"/>
                <w:b/>
                <w:bCs/>
                <w:color w:val="1F497D" w:themeColor="text2"/>
                <w:szCs w:val="20"/>
              </w:rPr>
              <w:t>every</w:t>
            </w:r>
            <w:r w:rsidR="00565633">
              <w:rPr>
                <w:rFonts w:cs="Arial"/>
                <w:b/>
                <w:bCs/>
                <w:color w:val="1F497D" w:themeColor="text2"/>
                <w:szCs w:val="20"/>
              </w:rPr>
              <w:t xml:space="preserve"> </w:t>
            </w:r>
            <w:r w:rsidRPr="00B51D9F">
              <w:rPr>
                <w:rFonts w:cs="Arial"/>
                <w:b/>
                <w:bCs/>
                <w:color w:val="1F497D" w:themeColor="text2"/>
                <w:szCs w:val="20"/>
              </w:rPr>
              <w:t xml:space="preserve">28 days </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68B9F5FB" w:rsidR="00343D6B" w:rsidRPr="00C02553" w:rsidRDefault="00343D6B" w:rsidP="00696E3A">
      <w:r w:rsidRPr="00696E3A">
        <w:rPr>
          <w:b/>
          <w:bCs/>
        </w:rPr>
        <w:t>Default Approval Period:</w:t>
      </w:r>
      <w:r w:rsidR="00973BD6">
        <w:t xml:space="preserve"> </w:t>
      </w:r>
      <w:r w:rsidR="00A70F42">
        <w:t>12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4401286C" w14:textId="77777777" w:rsidR="00761290" w:rsidRPr="00761290" w:rsidRDefault="00761290" w:rsidP="00761290">
      <w:pPr>
        <w:numPr>
          <w:ilvl w:val="0"/>
          <w:numId w:val="25"/>
        </w:numPr>
        <w:contextualSpacing/>
        <w:rPr>
          <w:rFonts w:cs="Arial"/>
          <w:szCs w:val="20"/>
        </w:rPr>
      </w:pPr>
      <w:r w:rsidRPr="00761290">
        <w:rPr>
          <w:rFonts w:cs="Arial"/>
          <w:szCs w:val="20"/>
        </w:rPr>
        <w:t>Evidence-Based Medicine and Fiscal Analysis: “Therapeutic Class Review: ENDOCRINE AND METABOLIC AGENTS: Growth Hormones &amp; Growth Hormone Release Factors, Select Agents”, Gainwell Technologies; Last updated April 15, 2024.</w:t>
      </w:r>
    </w:p>
    <w:p w14:paraId="7B78932B" w14:textId="1A96097D" w:rsidR="00761290" w:rsidRPr="00761290" w:rsidRDefault="00761290" w:rsidP="00761290">
      <w:pPr>
        <w:numPr>
          <w:ilvl w:val="0"/>
          <w:numId w:val="25"/>
        </w:numPr>
        <w:rPr>
          <w:rFonts w:cs="Arial"/>
        </w:rPr>
      </w:pPr>
      <w:r w:rsidRPr="1B4CFDF2">
        <w:rPr>
          <w:rFonts w:cs="Arial"/>
        </w:rPr>
        <w:lastRenderedPageBreak/>
        <w:t xml:space="preserve">Evidence-Based Medicine Analysis: “Growth Hormones and Growth Factors”, UMKC-DIC; </w:t>
      </w:r>
      <w:r w:rsidR="5ECA9F62" w:rsidRPr="1B4CFDF2">
        <w:rPr>
          <w:rFonts w:cs="Arial"/>
        </w:rPr>
        <w:t>March</w:t>
      </w:r>
      <w:r w:rsidRPr="1B4CFDF2">
        <w:rPr>
          <w:rFonts w:cs="Arial"/>
        </w:rPr>
        <w:t xml:space="preserve"> 202</w:t>
      </w:r>
      <w:r w:rsidR="22612D2F" w:rsidRPr="1B4CFDF2">
        <w:rPr>
          <w:rFonts w:cs="Arial"/>
        </w:rPr>
        <w:t>6</w:t>
      </w:r>
      <w:r w:rsidRPr="1B4CFDF2">
        <w:rPr>
          <w:rFonts w:cs="Arial"/>
        </w:rPr>
        <w:t>.</w:t>
      </w:r>
    </w:p>
    <w:p w14:paraId="5BB2D3F4" w14:textId="77777777" w:rsidR="00761290" w:rsidRPr="00580BB6" w:rsidRDefault="00761290" w:rsidP="00761290">
      <w:pPr>
        <w:numPr>
          <w:ilvl w:val="0"/>
          <w:numId w:val="25"/>
        </w:numPr>
        <w:contextualSpacing/>
        <w:rPr>
          <w:rFonts w:cs="Arial"/>
          <w:szCs w:val="20"/>
        </w:rPr>
      </w:pPr>
      <w:r w:rsidRPr="00761290">
        <w:rPr>
          <w:rFonts w:cs="Arial"/>
          <w:szCs w:val="20"/>
          <w:shd w:val="clear" w:color="auto" w:fill="FFFFFF"/>
        </w:rPr>
        <w:t>Grimberg A, DiVall SA, Polychronakos C, et al. Guidelines for Growth Hormone and Insulin-Like Growth Factor-I Treatment in Children and Adolescents: Growth Hormone Deficiency, Idiopathic Short Stature, and Primary Insulin-Like Growth Factor-I Deficiency. </w:t>
      </w:r>
      <w:r w:rsidRPr="00761290">
        <w:rPr>
          <w:rFonts w:cs="Arial"/>
          <w:i/>
          <w:iCs/>
          <w:szCs w:val="20"/>
          <w:shd w:val="clear" w:color="auto" w:fill="FFFFFF"/>
        </w:rPr>
        <w:t>Horm Res Paediatr</w:t>
      </w:r>
      <w:r w:rsidRPr="00761290">
        <w:rPr>
          <w:rFonts w:cs="Arial"/>
          <w:szCs w:val="20"/>
          <w:shd w:val="clear" w:color="auto" w:fill="FFFFFF"/>
        </w:rPr>
        <w:t>. 2016;86(6):361-397.</w:t>
      </w:r>
    </w:p>
    <w:p w14:paraId="3872EECC" w14:textId="77777777" w:rsidR="00B669CE" w:rsidRDefault="00761290" w:rsidP="00761290">
      <w:pPr>
        <w:numPr>
          <w:ilvl w:val="0"/>
          <w:numId w:val="25"/>
        </w:numPr>
        <w:contextualSpacing/>
        <w:rPr>
          <w:rFonts w:cs="Arial"/>
          <w:szCs w:val="20"/>
        </w:rPr>
      </w:pPr>
      <w:r w:rsidRPr="00761290">
        <w:rPr>
          <w:rFonts w:cs="Arial"/>
          <w:szCs w:val="20"/>
        </w:rPr>
        <w:t>Egrifta SV [package insert]. Montreal, Quebec, Canada: Theratechnologies; February 2024.</w:t>
      </w:r>
    </w:p>
    <w:p w14:paraId="767A10E1" w14:textId="2745CB43" w:rsidR="00761290" w:rsidRPr="00B669CE" w:rsidRDefault="00B669CE" w:rsidP="00B669CE">
      <w:pPr>
        <w:pStyle w:val="ListParagraph"/>
        <w:numPr>
          <w:ilvl w:val="0"/>
          <w:numId w:val="25"/>
        </w:numPr>
        <w:rPr>
          <w:rFonts w:cs="Arial"/>
          <w:szCs w:val="20"/>
        </w:rPr>
      </w:pPr>
      <w:r w:rsidRPr="00B669CE">
        <w:rPr>
          <w:rFonts w:cs="Arial"/>
          <w:szCs w:val="20"/>
        </w:rPr>
        <w:t xml:space="preserve">Egrifta WR [package insert]. Montreal, Quebec, Canada: Theratechnologies; March 2025. </w:t>
      </w:r>
    </w:p>
    <w:p w14:paraId="43E66E64" w14:textId="38B357A5" w:rsidR="00761290" w:rsidRPr="00761290" w:rsidRDefault="00761290" w:rsidP="00761290">
      <w:pPr>
        <w:numPr>
          <w:ilvl w:val="0"/>
          <w:numId w:val="25"/>
        </w:numPr>
        <w:contextualSpacing/>
        <w:rPr>
          <w:rFonts w:cs="Arial"/>
          <w:szCs w:val="20"/>
        </w:rPr>
      </w:pPr>
      <w:r w:rsidRPr="00761290">
        <w:rPr>
          <w:rFonts w:cs="Arial"/>
          <w:szCs w:val="20"/>
        </w:rPr>
        <w:t xml:space="preserve">Increlex [package insert]. Cambridge, MA: Ipsen Biopharmaceuticals Inc; </w:t>
      </w:r>
      <w:r w:rsidR="005E2AD3">
        <w:rPr>
          <w:rFonts w:cs="Arial"/>
          <w:szCs w:val="20"/>
        </w:rPr>
        <w:t>July</w:t>
      </w:r>
      <w:r w:rsidRPr="00761290">
        <w:rPr>
          <w:rFonts w:cs="Arial"/>
          <w:szCs w:val="20"/>
        </w:rPr>
        <w:t xml:space="preserve"> 202</w:t>
      </w:r>
      <w:r w:rsidR="00D97665">
        <w:rPr>
          <w:rFonts w:cs="Arial"/>
          <w:szCs w:val="20"/>
        </w:rPr>
        <w:t>5</w:t>
      </w:r>
      <w:r w:rsidRPr="00761290">
        <w:rPr>
          <w:rFonts w:cs="Arial"/>
          <w:szCs w:val="20"/>
        </w:rPr>
        <w:t xml:space="preserve">. </w:t>
      </w:r>
    </w:p>
    <w:p w14:paraId="7A25C678" w14:textId="77777777" w:rsidR="00761290" w:rsidRPr="00761290" w:rsidRDefault="00761290" w:rsidP="00761290">
      <w:pPr>
        <w:numPr>
          <w:ilvl w:val="0"/>
          <w:numId w:val="25"/>
        </w:numPr>
        <w:rPr>
          <w:rFonts w:cs="Arial"/>
        </w:rPr>
      </w:pPr>
      <w:r w:rsidRPr="00761290">
        <w:rPr>
          <w:rFonts w:cs="Arial"/>
          <w:szCs w:val="20"/>
        </w:rPr>
        <w:t xml:space="preserve">USPDI, Micromedex; 2025. </w:t>
      </w:r>
    </w:p>
    <w:p w14:paraId="163BE920" w14:textId="77777777" w:rsidR="00761290" w:rsidRPr="00761290" w:rsidRDefault="00761290" w:rsidP="00761290">
      <w:pPr>
        <w:numPr>
          <w:ilvl w:val="0"/>
          <w:numId w:val="25"/>
        </w:numPr>
        <w:rPr>
          <w:rFonts w:cs="Arial"/>
          <w:szCs w:val="20"/>
        </w:rPr>
      </w:pPr>
      <w:r w:rsidRPr="00761290">
        <w:rPr>
          <w:rFonts w:cs="Arial"/>
          <w:szCs w:val="20"/>
        </w:rPr>
        <w:t xml:space="preserve">Facts and Comparisons eAnswers (online); 2025 Clinical Drug Information, LLC. </w:t>
      </w:r>
    </w:p>
    <w:p w14:paraId="3FA1E7DB" w14:textId="1FC0D6E7" w:rsidR="00777CA4" w:rsidRDefault="00777CA4" w:rsidP="00761290">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5D41" w14:textId="77777777" w:rsidR="000E77BA" w:rsidRPr="00C02553" w:rsidRDefault="000E77BA" w:rsidP="00AE77DB">
      <w:r w:rsidRPr="00C02553">
        <w:separator/>
      </w:r>
    </w:p>
  </w:endnote>
  <w:endnote w:type="continuationSeparator" w:id="0">
    <w:p w14:paraId="1791BCCC" w14:textId="77777777" w:rsidR="000E77BA" w:rsidRPr="00C02553" w:rsidRDefault="000E77BA" w:rsidP="00AE77DB">
      <w:r w:rsidRPr="00C02553">
        <w:continuationSeparator/>
      </w:r>
    </w:p>
  </w:endnote>
  <w:endnote w:type="continuationNotice" w:id="1">
    <w:p w14:paraId="428E81F5" w14:textId="77777777" w:rsidR="000E77BA" w:rsidRPr="00C02553" w:rsidRDefault="000E7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F1B7B" w14:textId="77777777" w:rsidR="000E77BA" w:rsidRPr="00C02553" w:rsidRDefault="000E77BA" w:rsidP="00AE77DB">
      <w:r w:rsidRPr="00C02553">
        <w:separator/>
      </w:r>
    </w:p>
  </w:footnote>
  <w:footnote w:type="continuationSeparator" w:id="0">
    <w:p w14:paraId="3CC6913E" w14:textId="77777777" w:rsidR="000E77BA" w:rsidRPr="00C02553" w:rsidRDefault="000E77BA" w:rsidP="00AE77DB">
      <w:r w:rsidRPr="00C02553">
        <w:continuationSeparator/>
      </w:r>
    </w:p>
  </w:footnote>
  <w:footnote w:type="continuationNotice" w:id="1">
    <w:p w14:paraId="3B9AECA6" w14:textId="77777777" w:rsidR="000E77BA" w:rsidRPr="00C02553" w:rsidRDefault="000E77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E21D1C">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E21D1C">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21D1C">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7736496"/>
    <w:multiLevelType w:val="hybridMultilevel"/>
    <w:tmpl w:val="A2B473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101AB"/>
    <w:multiLevelType w:val="hybridMultilevel"/>
    <w:tmpl w:val="0AB63DE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224A4"/>
    <w:multiLevelType w:val="hybridMultilevel"/>
    <w:tmpl w:val="B03C84B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49378B"/>
    <w:multiLevelType w:val="hybridMultilevel"/>
    <w:tmpl w:val="0F768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2B7665"/>
    <w:multiLevelType w:val="hybridMultilevel"/>
    <w:tmpl w:val="9D368FE8"/>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AB37B0"/>
    <w:multiLevelType w:val="hybridMultilevel"/>
    <w:tmpl w:val="97AC24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E410AF1"/>
    <w:multiLevelType w:val="hybridMultilevel"/>
    <w:tmpl w:val="E8E2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C0385C"/>
    <w:multiLevelType w:val="hybridMultilevel"/>
    <w:tmpl w:val="C90E9198"/>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865B84"/>
    <w:multiLevelType w:val="hybridMultilevel"/>
    <w:tmpl w:val="337475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4"/>
  </w:num>
  <w:num w:numId="3" w16cid:durableId="1729067566">
    <w:abstractNumId w:val="4"/>
  </w:num>
  <w:num w:numId="4" w16cid:durableId="320159068">
    <w:abstractNumId w:val="9"/>
  </w:num>
  <w:num w:numId="5" w16cid:durableId="1769498754">
    <w:abstractNumId w:val="3"/>
  </w:num>
  <w:num w:numId="6" w16cid:durableId="1094596320">
    <w:abstractNumId w:val="19"/>
  </w:num>
  <w:num w:numId="7" w16cid:durableId="2110008555">
    <w:abstractNumId w:val="2"/>
  </w:num>
  <w:num w:numId="8" w16cid:durableId="489712751">
    <w:abstractNumId w:val="8"/>
  </w:num>
  <w:num w:numId="9" w16cid:durableId="1085147965">
    <w:abstractNumId w:val="13"/>
  </w:num>
  <w:num w:numId="10" w16cid:durableId="917518096">
    <w:abstractNumId w:val="10"/>
  </w:num>
  <w:num w:numId="11" w16cid:durableId="1894998475">
    <w:abstractNumId w:val="1"/>
  </w:num>
  <w:num w:numId="12" w16cid:durableId="1418215296">
    <w:abstractNumId w:val="20"/>
  </w:num>
  <w:num w:numId="13" w16cid:durableId="604729665">
    <w:abstractNumId w:val="7"/>
  </w:num>
  <w:num w:numId="14" w16cid:durableId="1805081292">
    <w:abstractNumId w:val="17"/>
  </w:num>
  <w:num w:numId="15" w16cid:durableId="984361069">
    <w:abstractNumId w:val="12"/>
  </w:num>
  <w:num w:numId="16" w16cid:durableId="1793859511">
    <w:abstractNumId w:val="21"/>
  </w:num>
  <w:num w:numId="17" w16cid:durableId="1415735822">
    <w:abstractNumId w:val="15"/>
  </w:num>
  <w:num w:numId="18" w16cid:durableId="264962617">
    <w:abstractNumId w:val="18"/>
  </w:num>
  <w:num w:numId="19" w16cid:durableId="758326985">
    <w:abstractNumId w:val="23"/>
  </w:num>
  <w:num w:numId="20" w16cid:durableId="365107764">
    <w:abstractNumId w:val="22"/>
  </w:num>
  <w:num w:numId="21" w16cid:durableId="1305813786">
    <w:abstractNumId w:val="14"/>
  </w:num>
  <w:num w:numId="22" w16cid:durableId="1998412312">
    <w:abstractNumId w:val="6"/>
  </w:num>
  <w:num w:numId="23" w16cid:durableId="367684652">
    <w:abstractNumId w:val="5"/>
  </w:num>
  <w:num w:numId="24" w16cid:durableId="275067124">
    <w:abstractNumId w:val="11"/>
  </w:num>
  <w:num w:numId="25" w16cid:durableId="215363503">
    <w:abstractNumId w:val="16"/>
  </w:num>
  <w:num w:numId="26" w16cid:durableId="173462374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22inn8w+hZUSwK3sWNasv+Q/gSvofninjKpz8qk/gT7X7hn0q1lRwzneqGfwuUDfNLXLBRtAGHYrxevlP8YMPg==" w:salt="Un+aMii2q47sd+njpZLKu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334"/>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02EE"/>
    <w:rsid w:val="000C3940"/>
    <w:rsid w:val="000C5992"/>
    <w:rsid w:val="000E1479"/>
    <w:rsid w:val="000E231E"/>
    <w:rsid w:val="000E247D"/>
    <w:rsid w:val="000E6B14"/>
    <w:rsid w:val="000E70D8"/>
    <w:rsid w:val="000E77BA"/>
    <w:rsid w:val="001062F6"/>
    <w:rsid w:val="00112FC7"/>
    <w:rsid w:val="00125F5F"/>
    <w:rsid w:val="00126951"/>
    <w:rsid w:val="00126B60"/>
    <w:rsid w:val="001273EB"/>
    <w:rsid w:val="00127EF6"/>
    <w:rsid w:val="001310AD"/>
    <w:rsid w:val="001314A5"/>
    <w:rsid w:val="00132C7F"/>
    <w:rsid w:val="00136626"/>
    <w:rsid w:val="00144DBE"/>
    <w:rsid w:val="00152C8B"/>
    <w:rsid w:val="00154B11"/>
    <w:rsid w:val="0015636A"/>
    <w:rsid w:val="00172053"/>
    <w:rsid w:val="00177A80"/>
    <w:rsid w:val="001A50CB"/>
    <w:rsid w:val="001A74B7"/>
    <w:rsid w:val="001B2D47"/>
    <w:rsid w:val="001B73DF"/>
    <w:rsid w:val="001C0250"/>
    <w:rsid w:val="001C6DA4"/>
    <w:rsid w:val="001C73B1"/>
    <w:rsid w:val="001D1E7D"/>
    <w:rsid w:val="001D6567"/>
    <w:rsid w:val="001E2CCB"/>
    <w:rsid w:val="001E4CBA"/>
    <w:rsid w:val="001E523C"/>
    <w:rsid w:val="001E61DF"/>
    <w:rsid w:val="001F2B9F"/>
    <w:rsid w:val="001F5954"/>
    <w:rsid w:val="00202DD3"/>
    <w:rsid w:val="00205F9A"/>
    <w:rsid w:val="00206E7D"/>
    <w:rsid w:val="002138C2"/>
    <w:rsid w:val="00217E14"/>
    <w:rsid w:val="00217EFD"/>
    <w:rsid w:val="00220F86"/>
    <w:rsid w:val="00222134"/>
    <w:rsid w:val="0022233F"/>
    <w:rsid w:val="00222942"/>
    <w:rsid w:val="00226275"/>
    <w:rsid w:val="0023471B"/>
    <w:rsid w:val="00246564"/>
    <w:rsid w:val="00246A3B"/>
    <w:rsid w:val="00255404"/>
    <w:rsid w:val="0025594F"/>
    <w:rsid w:val="00270C5E"/>
    <w:rsid w:val="00284842"/>
    <w:rsid w:val="00290A03"/>
    <w:rsid w:val="0029159A"/>
    <w:rsid w:val="00291600"/>
    <w:rsid w:val="002967A0"/>
    <w:rsid w:val="002A02F4"/>
    <w:rsid w:val="002C2C41"/>
    <w:rsid w:val="002C62E7"/>
    <w:rsid w:val="002D3694"/>
    <w:rsid w:val="002E05E2"/>
    <w:rsid w:val="002E2DD6"/>
    <w:rsid w:val="002E3F28"/>
    <w:rsid w:val="002E6B89"/>
    <w:rsid w:val="002F0E52"/>
    <w:rsid w:val="002F14AE"/>
    <w:rsid w:val="002F216C"/>
    <w:rsid w:val="002F2274"/>
    <w:rsid w:val="002F2405"/>
    <w:rsid w:val="002F690F"/>
    <w:rsid w:val="0030301F"/>
    <w:rsid w:val="00303B21"/>
    <w:rsid w:val="00313701"/>
    <w:rsid w:val="00314430"/>
    <w:rsid w:val="00316188"/>
    <w:rsid w:val="003171AF"/>
    <w:rsid w:val="00317469"/>
    <w:rsid w:val="0032215C"/>
    <w:rsid w:val="003228B2"/>
    <w:rsid w:val="0032616B"/>
    <w:rsid w:val="00326687"/>
    <w:rsid w:val="003275F9"/>
    <w:rsid w:val="003326B6"/>
    <w:rsid w:val="003355AC"/>
    <w:rsid w:val="00343D6B"/>
    <w:rsid w:val="00347FB5"/>
    <w:rsid w:val="00355515"/>
    <w:rsid w:val="003608B5"/>
    <w:rsid w:val="003613AF"/>
    <w:rsid w:val="003643D0"/>
    <w:rsid w:val="003663B5"/>
    <w:rsid w:val="003878C1"/>
    <w:rsid w:val="00396C0B"/>
    <w:rsid w:val="003A211F"/>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4BB4"/>
    <w:rsid w:val="0046618B"/>
    <w:rsid w:val="00481732"/>
    <w:rsid w:val="0048520C"/>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358F"/>
    <w:rsid w:val="005572CE"/>
    <w:rsid w:val="005572D5"/>
    <w:rsid w:val="00565633"/>
    <w:rsid w:val="00566BE4"/>
    <w:rsid w:val="005708EF"/>
    <w:rsid w:val="00570D21"/>
    <w:rsid w:val="00573302"/>
    <w:rsid w:val="00573856"/>
    <w:rsid w:val="00576113"/>
    <w:rsid w:val="00580BB6"/>
    <w:rsid w:val="00590652"/>
    <w:rsid w:val="0059235F"/>
    <w:rsid w:val="00596936"/>
    <w:rsid w:val="00597952"/>
    <w:rsid w:val="005A2F1E"/>
    <w:rsid w:val="005A4232"/>
    <w:rsid w:val="005C3616"/>
    <w:rsid w:val="005D36B2"/>
    <w:rsid w:val="005D52E7"/>
    <w:rsid w:val="005D78B5"/>
    <w:rsid w:val="005D78FF"/>
    <w:rsid w:val="005E2AD3"/>
    <w:rsid w:val="005E3572"/>
    <w:rsid w:val="005E45E4"/>
    <w:rsid w:val="005F0A81"/>
    <w:rsid w:val="005F0FCF"/>
    <w:rsid w:val="005F1CF6"/>
    <w:rsid w:val="0060042F"/>
    <w:rsid w:val="006008BC"/>
    <w:rsid w:val="00602CFD"/>
    <w:rsid w:val="00606B55"/>
    <w:rsid w:val="00612A7B"/>
    <w:rsid w:val="00616E5E"/>
    <w:rsid w:val="00616FD7"/>
    <w:rsid w:val="006173A4"/>
    <w:rsid w:val="00617E50"/>
    <w:rsid w:val="00620384"/>
    <w:rsid w:val="006205AD"/>
    <w:rsid w:val="00625C3A"/>
    <w:rsid w:val="00635DDB"/>
    <w:rsid w:val="00636903"/>
    <w:rsid w:val="0064149A"/>
    <w:rsid w:val="00646DFE"/>
    <w:rsid w:val="00650530"/>
    <w:rsid w:val="00650C96"/>
    <w:rsid w:val="00653788"/>
    <w:rsid w:val="0065477F"/>
    <w:rsid w:val="00656896"/>
    <w:rsid w:val="00661656"/>
    <w:rsid w:val="0066374F"/>
    <w:rsid w:val="00677C65"/>
    <w:rsid w:val="00693152"/>
    <w:rsid w:val="00694FAE"/>
    <w:rsid w:val="006959A6"/>
    <w:rsid w:val="00696E3A"/>
    <w:rsid w:val="006A0834"/>
    <w:rsid w:val="006A4BBD"/>
    <w:rsid w:val="006A52F1"/>
    <w:rsid w:val="006B561D"/>
    <w:rsid w:val="006B6D5D"/>
    <w:rsid w:val="006D2330"/>
    <w:rsid w:val="006E0F8B"/>
    <w:rsid w:val="006E12F7"/>
    <w:rsid w:val="006E29D7"/>
    <w:rsid w:val="0070301F"/>
    <w:rsid w:val="007068A4"/>
    <w:rsid w:val="00706D67"/>
    <w:rsid w:val="00713052"/>
    <w:rsid w:val="00721367"/>
    <w:rsid w:val="007231FA"/>
    <w:rsid w:val="00732C67"/>
    <w:rsid w:val="00734418"/>
    <w:rsid w:val="00757826"/>
    <w:rsid w:val="00761290"/>
    <w:rsid w:val="007632B7"/>
    <w:rsid w:val="0076382F"/>
    <w:rsid w:val="00765768"/>
    <w:rsid w:val="00765D10"/>
    <w:rsid w:val="00766AC8"/>
    <w:rsid w:val="00767486"/>
    <w:rsid w:val="0077070E"/>
    <w:rsid w:val="007727A6"/>
    <w:rsid w:val="0077296A"/>
    <w:rsid w:val="00777CA4"/>
    <w:rsid w:val="00792DF0"/>
    <w:rsid w:val="00793825"/>
    <w:rsid w:val="0079438F"/>
    <w:rsid w:val="007A3034"/>
    <w:rsid w:val="007A527E"/>
    <w:rsid w:val="007A53E7"/>
    <w:rsid w:val="007A78F7"/>
    <w:rsid w:val="007B3333"/>
    <w:rsid w:val="007B379F"/>
    <w:rsid w:val="007B37D6"/>
    <w:rsid w:val="007B5D30"/>
    <w:rsid w:val="007C6AC4"/>
    <w:rsid w:val="007D2920"/>
    <w:rsid w:val="007D42DD"/>
    <w:rsid w:val="007E4FC7"/>
    <w:rsid w:val="007E6A37"/>
    <w:rsid w:val="007F1774"/>
    <w:rsid w:val="007F663E"/>
    <w:rsid w:val="007F6915"/>
    <w:rsid w:val="00811A70"/>
    <w:rsid w:val="0081406E"/>
    <w:rsid w:val="00821085"/>
    <w:rsid w:val="00832211"/>
    <w:rsid w:val="008325F4"/>
    <w:rsid w:val="00832AC8"/>
    <w:rsid w:val="00844981"/>
    <w:rsid w:val="00846FA4"/>
    <w:rsid w:val="008524BA"/>
    <w:rsid w:val="00852B74"/>
    <w:rsid w:val="00856928"/>
    <w:rsid w:val="00865538"/>
    <w:rsid w:val="008705E8"/>
    <w:rsid w:val="00870875"/>
    <w:rsid w:val="0088225C"/>
    <w:rsid w:val="00884026"/>
    <w:rsid w:val="00884C78"/>
    <w:rsid w:val="008859E1"/>
    <w:rsid w:val="00896264"/>
    <w:rsid w:val="008A4DB8"/>
    <w:rsid w:val="008A5D88"/>
    <w:rsid w:val="008B1FC6"/>
    <w:rsid w:val="008B2851"/>
    <w:rsid w:val="008C000E"/>
    <w:rsid w:val="008D0F2F"/>
    <w:rsid w:val="008D237F"/>
    <w:rsid w:val="008D6B05"/>
    <w:rsid w:val="008E7D2D"/>
    <w:rsid w:val="008F44C0"/>
    <w:rsid w:val="008F51E5"/>
    <w:rsid w:val="008F5999"/>
    <w:rsid w:val="00902BED"/>
    <w:rsid w:val="00903AD6"/>
    <w:rsid w:val="00904D7A"/>
    <w:rsid w:val="00905887"/>
    <w:rsid w:val="00915332"/>
    <w:rsid w:val="009204BB"/>
    <w:rsid w:val="00935918"/>
    <w:rsid w:val="00935EC3"/>
    <w:rsid w:val="00951097"/>
    <w:rsid w:val="00951B28"/>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163C"/>
    <w:rsid w:val="009C3CC7"/>
    <w:rsid w:val="009D2057"/>
    <w:rsid w:val="009D3D6C"/>
    <w:rsid w:val="009D5551"/>
    <w:rsid w:val="009D587E"/>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0F42"/>
    <w:rsid w:val="00A744C3"/>
    <w:rsid w:val="00AA70AB"/>
    <w:rsid w:val="00AB0B9F"/>
    <w:rsid w:val="00AB1713"/>
    <w:rsid w:val="00AB3250"/>
    <w:rsid w:val="00AB5617"/>
    <w:rsid w:val="00AB63BE"/>
    <w:rsid w:val="00AC1EBC"/>
    <w:rsid w:val="00AC2599"/>
    <w:rsid w:val="00AC2DE9"/>
    <w:rsid w:val="00AD0F62"/>
    <w:rsid w:val="00AD2C5F"/>
    <w:rsid w:val="00AE1481"/>
    <w:rsid w:val="00AE27F9"/>
    <w:rsid w:val="00AE77DB"/>
    <w:rsid w:val="00AF7453"/>
    <w:rsid w:val="00B00FFF"/>
    <w:rsid w:val="00B06084"/>
    <w:rsid w:val="00B149BC"/>
    <w:rsid w:val="00B16735"/>
    <w:rsid w:val="00B17EDE"/>
    <w:rsid w:val="00B22585"/>
    <w:rsid w:val="00B33693"/>
    <w:rsid w:val="00B34C53"/>
    <w:rsid w:val="00B36446"/>
    <w:rsid w:val="00B507A5"/>
    <w:rsid w:val="00B51D9F"/>
    <w:rsid w:val="00B52475"/>
    <w:rsid w:val="00B52635"/>
    <w:rsid w:val="00B535DA"/>
    <w:rsid w:val="00B56DCC"/>
    <w:rsid w:val="00B56F54"/>
    <w:rsid w:val="00B638C2"/>
    <w:rsid w:val="00B669CE"/>
    <w:rsid w:val="00B758AB"/>
    <w:rsid w:val="00B76277"/>
    <w:rsid w:val="00B772AB"/>
    <w:rsid w:val="00B80395"/>
    <w:rsid w:val="00B80B56"/>
    <w:rsid w:val="00B85872"/>
    <w:rsid w:val="00B86372"/>
    <w:rsid w:val="00BA1C17"/>
    <w:rsid w:val="00BA1D65"/>
    <w:rsid w:val="00BA6FA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45B8"/>
    <w:rsid w:val="00C2586C"/>
    <w:rsid w:val="00C26001"/>
    <w:rsid w:val="00C34E72"/>
    <w:rsid w:val="00C40865"/>
    <w:rsid w:val="00C556CF"/>
    <w:rsid w:val="00C56B1F"/>
    <w:rsid w:val="00C61B52"/>
    <w:rsid w:val="00C62745"/>
    <w:rsid w:val="00C654CA"/>
    <w:rsid w:val="00C722C9"/>
    <w:rsid w:val="00C763BD"/>
    <w:rsid w:val="00C779A8"/>
    <w:rsid w:val="00C82E19"/>
    <w:rsid w:val="00C96873"/>
    <w:rsid w:val="00CA1735"/>
    <w:rsid w:val="00CA3C4B"/>
    <w:rsid w:val="00CA7252"/>
    <w:rsid w:val="00CB2C5A"/>
    <w:rsid w:val="00CC4474"/>
    <w:rsid w:val="00CD0B21"/>
    <w:rsid w:val="00CE0C1C"/>
    <w:rsid w:val="00CE34AF"/>
    <w:rsid w:val="00CF00A4"/>
    <w:rsid w:val="00CF25FB"/>
    <w:rsid w:val="00CF5DE6"/>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97665"/>
    <w:rsid w:val="00DA3A0F"/>
    <w:rsid w:val="00DA4E62"/>
    <w:rsid w:val="00DA6990"/>
    <w:rsid w:val="00DB27BA"/>
    <w:rsid w:val="00DB337A"/>
    <w:rsid w:val="00DC51CB"/>
    <w:rsid w:val="00DD4819"/>
    <w:rsid w:val="00DD4B8A"/>
    <w:rsid w:val="00DD5403"/>
    <w:rsid w:val="00DE1388"/>
    <w:rsid w:val="00DE2C91"/>
    <w:rsid w:val="00DE7501"/>
    <w:rsid w:val="00DF3146"/>
    <w:rsid w:val="00DF57C3"/>
    <w:rsid w:val="00E008D9"/>
    <w:rsid w:val="00E02FE0"/>
    <w:rsid w:val="00E07ABE"/>
    <w:rsid w:val="00E11A3F"/>
    <w:rsid w:val="00E1386E"/>
    <w:rsid w:val="00E17317"/>
    <w:rsid w:val="00E21D1C"/>
    <w:rsid w:val="00E2369B"/>
    <w:rsid w:val="00E23EC0"/>
    <w:rsid w:val="00E250FA"/>
    <w:rsid w:val="00E269B7"/>
    <w:rsid w:val="00E34158"/>
    <w:rsid w:val="00E354AA"/>
    <w:rsid w:val="00E374EC"/>
    <w:rsid w:val="00E43D54"/>
    <w:rsid w:val="00E442FB"/>
    <w:rsid w:val="00E529DB"/>
    <w:rsid w:val="00E53A5E"/>
    <w:rsid w:val="00E57CD5"/>
    <w:rsid w:val="00E611E9"/>
    <w:rsid w:val="00E6466A"/>
    <w:rsid w:val="00E66D55"/>
    <w:rsid w:val="00E72221"/>
    <w:rsid w:val="00E83428"/>
    <w:rsid w:val="00E84C58"/>
    <w:rsid w:val="00E873A5"/>
    <w:rsid w:val="00E90D11"/>
    <w:rsid w:val="00E915E5"/>
    <w:rsid w:val="00EB0367"/>
    <w:rsid w:val="00EB4FB9"/>
    <w:rsid w:val="00EB5BC8"/>
    <w:rsid w:val="00EB6226"/>
    <w:rsid w:val="00EC2738"/>
    <w:rsid w:val="00ED0538"/>
    <w:rsid w:val="00ED7B42"/>
    <w:rsid w:val="00EE3EA5"/>
    <w:rsid w:val="00EE613F"/>
    <w:rsid w:val="00EE6BD1"/>
    <w:rsid w:val="00EF0262"/>
    <w:rsid w:val="00EF0828"/>
    <w:rsid w:val="00EF6F8B"/>
    <w:rsid w:val="00F03898"/>
    <w:rsid w:val="00F1527A"/>
    <w:rsid w:val="00F2696B"/>
    <w:rsid w:val="00F27761"/>
    <w:rsid w:val="00F27821"/>
    <w:rsid w:val="00F4092A"/>
    <w:rsid w:val="00F41F69"/>
    <w:rsid w:val="00F43E41"/>
    <w:rsid w:val="00F4790C"/>
    <w:rsid w:val="00F50096"/>
    <w:rsid w:val="00F50C4B"/>
    <w:rsid w:val="00F54C08"/>
    <w:rsid w:val="00F553A2"/>
    <w:rsid w:val="00F6068C"/>
    <w:rsid w:val="00F62F33"/>
    <w:rsid w:val="00F63A52"/>
    <w:rsid w:val="00F730BA"/>
    <w:rsid w:val="00F903BE"/>
    <w:rsid w:val="00F95D04"/>
    <w:rsid w:val="00FA16EC"/>
    <w:rsid w:val="00FA2811"/>
    <w:rsid w:val="00FA2CFB"/>
    <w:rsid w:val="00FA4837"/>
    <w:rsid w:val="00FB1D33"/>
    <w:rsid w:val="00FB5E96"/>
    <w:rsid w:val="00FC05A0"/>
    <w:rsid w:val="00FC3A53"/>
    <w:rsid w:val="00FC4A1D"/>
    <w:rsid w:val="00FC6758"/>
    <w:rsid w:val="00FC748E"/>
    <w:rsid w:val="00FD3014"/>
    <w:rsid w:val="00FD34EA"/>
    <w:rsid w:val="00FE3F3E"/>
    <w:rsid w:val="00FE4D52"/>
    <w:rsid w:val="00FE5AEE"/>
    <w:rsid w:val="00FF106B"/>
    <w:rsid w:val="1B4CFDF2"/>
    <w:rsid w:val="22612D2F"/>
    <w:rsid w:val="5ECA9F62"/>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AB3250"/>
    <w:rPr>
      <w:sz w:val="16"/>
      <w:szCs w:val="16"/>
    </w:rPr>
  </w:style>
  <w:style w:type="paragraph" w:styleId="CommentSubject">
    <w:name w:val="annotation subject"/>
    <w:basedOn w:val="CommentText"/>
    <w:next w:val="CommentText"/>
    <w:link w:val="CommentSubjectChar"/>
    <w:uiPriority w:val="99"/>
    <w:semiHidden/>
    <w:unhideWhenUsed/>
    <w:rsid w:val="00AB3250"/>
    <w:rPr>
      <w:b/>
      <w:bCs/>
    </w:rPr>
  </w:style>
  <w:style w:type="character" w:customStyle="1" w:styleId="CommentTextChar">
    <w:name w:val="Comment Text Char"/>
    <w:basedOn w:val="DefaultParagraphFont"/>
    <w:link w:val="CommentText"/>
    <w:semiHidden/>
    <w:rsid w:val="00AB3250"/>
    <w:rPr>
      <w:rFonts w:ascii="Arial" w:hAnsi="Arial"/>
    </w:rPr>
  </w:style>
  <w:style w:type="character" w:customStyle="1" w:styleId="CommentSubjectChar">
    <w:name w:val="Comment Subject Char"/>
    <w:basedOn w:val="CommentTextChar"/>
    <w:link w:val="CommentSubject"/>
    <w:uiPriority w:val="99"/>
    <w:semiHidden/>
    <w:rsid w:val="00AB3250"/>
    <w:rPr>
      <w:rFonts w:ascii="Arial" w:hAnsi="Arial"/>
      <w:b/>
      <w:bCs/>
    </w:rPr>
  </w:style>
  <w:style w:type="paragraph" w:styleId="Revision">
    <w:name w:val="Revision"/>
    <w:hidden/>
    <w:uiPriority w:val="99"/>
    <w:semiHidden/>
    <w:rsid w:val="006959A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A42CBAC-F170-480C-BD2C-3993217A3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1509</TotalTime>
  <Pages>3</Pages>
  <Words>780</Words>
  <Characters>4558</Characters>
  <Application>Microsoft Office Word</Application>
  <DocSecurity>10</DocSecurity>
  <Lines>37</Lines>
  <Paragraphs>10</Paragraphs>
  <ScaleCrop>false</ScaleCrop>
  <HeadingPairs>
    <vt:vector size="2" baseType="variant">
      <vt:variant>
        <vt:lpstr>Title</vt:lpstr>
      </vt:variant>
      <vt:variant>
        <vt:i4>1</vt:i4>
      </vt:variant>
    </vt:vector>
  </HeadingPairs>
  <TitlesOfParts>
    <vt:vector size="1" baseType="lpstr">
      <vt:lpstr>GH-Releasing-Factors-Select-Agents</vt:lpstr>
    </vt:vector>
  </TitlesOfParts>
  <Company>DSS</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GH-Releasing-Factors-Select-Agents</dc:title>
  <dc:creator>DMS</dc:creator>
  <cp:lastModifiedBy>Heriford, Katherine</cp:lastModifiedBy>
  <cp:revision>85</cp:revision>
  <cp:lastPrinted>2018-10-31T20:17:00Z</cp:lastPrinted>
  <dcterms:created xsi:type="dcterms:W3CDTF">2025-09-19T16:48:00Z</dcterms:created>
  <dcterms:modified xsi:type="dcterms:W3CDTF">2026-07-06T22:17:00Z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