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0762C3CE" w:rsidR="004C5767" w:rsidRPr="008859E1" w:rsidRDefault="004C5767" w:rsidP="00D27533">
      <w:pPr>
        <w:pStyle w:val="tbody"/>
        <w:rPr>
          <w:b w:val="0"/>
          <w:bCs/>
        </w:rPr>
      </w:pPr>
      <w:r w:rsidRPr="00C02553">
        <w:t>Drug/Drug Class:</w:t>
      </w:r>
      <w:r w:rsidR="003B4820">
        <w:t xml:space="preserve"> </w:t>
      </w:r>
      <w:r w:rsidR="00D72327" w:rsidRPr="00D72327">
        <w:rPr>
          <w:b w:val="0"/>
          <w:bCs/>
        </w:rPr>
        <w:t>Crysvita Clinical Edit</w:t>
      </w:r>
    </w:p>
    <w:p w14:paraId="7AD7FFCE" w14:textId="6415CADC" w:rsidR="004C5767" w:rsidRPr="00C02553" w:rsidRDefault="004C5767" w:rsidP="00D27533">
      <w:pPr>
        <w:pStyle w:val="tbody"/>
      </w:pPr>
      <w:r w:rsidRPr="00C02553">
        <w:t xml:space="preserve">First Implementation Date: </w:t>
      </w:r>
      <w:r w:rsidR="00B350D4" w:rsidRPr="00B350D4">
        <w:rPr>
          <w:b w:val="0"/>
          <w:bCs/>
        </w:rPr>
        <w:t>April 11, 2019</w:t>
      </w:r>
    </w:p>
    <w:p w14:paraId="4B7D760D" w14:textId="5B801116" w:rsidR="004C5767" w:rsidRPr="00D232D9" w:rsidRDefault="00D95E68" w:rsidP="15EB50BA">
      <w:pPr>
        <w:pStyle w:val="tbody"/>
        <w:rPr>
          <w:b w:val="0"/>
        </w:rPr>
      </w:pPr>
      <w:r>
        <w:t>Proposed</w:t>
      </w:r>
      <w:r w:rsidR="004C5767">
        <w:t xml:space="preserve"> Date:</w:t>
      </w:r>
      <w:r w:rsidR="00065C22">
        <w:t xml:space="preserve"> </w:t>
      </w:r>
      <w:r w:rsidR="00B350D4">
        <w:rPr>
          <w:b w:val="0"/>
        </w:rPr>
        <w:t>July 14,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043C837F" w:rsidR="004C5767" w:rsidRPr="00D27533" w:rsidRDefault="004C5767" w:rsidP="00D27533">
      <w:pPr>
        <w:pStyle w:val="tbody"/>
        <w:rPr>
          <w:b w:val="0"/>
          <w:bCs/>
          <w:spacing w:val="-3"/>
        </w:rPr>
      </w:pPr>
      <w:r w:rsidRPr="00C02553">
        <w:t xml:space="preserve">Criteria Status: </w:t>
      </w:r>
      <w:r w:rsidR="00566BE4" w:rsidRPr="00CF6C6B">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61A85921" w14:textId="77777777" w:rsidR="00CE6BB1" w:rsidRDefault="00CE6BB1" w:rsidP="00696E3A">
      <w:r w:rsidRPr="00CE6BB1">
        <w:t>Ensure appropriate utilization and control of Crysvita</w:t>
      </w:r>
      <w:r w:rsidRPr="00CE6BB1">
        <w:rPr>
          <w:vertAlign w:val="superscript"/>
        </w:rPr>
        <w:t>®</w:t>
      </w:r>
      <w:r w:rsidRPr="00CE6BB1">
        <w:t xml:space="preserve"> (burosumab-twza)</w:t>
      </w:r>
    </w:p>
    <w:p w14:paraId="2320C114" w14:textId="4B06DF10"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01917599" w14:textId="77777777" w:rsidR="00483C53" w:rsidRDefault="00483C53" w:rsidP="00483C53">
      <w:r>
        <w:t>Crysvita</w:t>
      </w:r>
      <w:r w:rsidRPr="00204594">
        <w:rPr>
          <w:vertAlign w:val="superscript"/>
        </w:rPr>
        <w:t>®</w:t>
      </w:r>
      <w:r>
        <w:t xml:space="preserve">, FDA approved in April 2018, is a fibroblast growth factor 23 (FGF23) blocking antibody indicated for the treatment of X-linked hypophosphatemia (XLH) in patients 6 months of age and older. XLH is an inherited disorder characterized by low levels of phosphate in the blood, due to abnormal phosphate processing in the kidneys, leading to loss of phosphate in the urine and soft, weak bones (rickets).  XLH is present in fewer than 50,000 people in the US.  In children, XLH treatment is usually started at the time of diagnosis and continues until bones stop growing. The conventional treatment goal for adults with XLH is to help improve pain. XLH is caused by excess fibroblast growth factor 23 (FGF23) which suppresses renal tubular phosphate reabsorption and the renal production of 1,25 dihydroxy vitamin D.  Crysvita binds to and inhibits the biological activity of FGF23, restoring renal phosphate reabsorption and increasing the serum concentration of 1,25 dihydroxy vitamin D.  Prior to Crysvita, therapy for XLH involved supplementation with phosphate and calcitriol. The drug leads to sustained improvement in phosphate metabolism with concurrent repair of the skeleton, even following prior treatment with conventional therapies. </w:t>
      </w:r>
    </w:p>
    <w:p w14:paraId="44592A86" w14:textId="77777777" w:rsidR="00483C53" w:rsidRDefault="00483C53" w:rsidP="00483C53"/>
    <w:p w14:paraId="2BC13C83" w14:textId="77777777" w:rsidR="00483C53" w:rsidRDefault="00483C53" w:rsidP="00483C53">
      <w:r>
        <w:t>In June 2020, the FDA approved Crysvita for the treatment of FGF23-related hypophosphatemia in tumor-induced osteomalacia (TIO) associated with phosphaturic mesenchymal tumors that cannot be curatively resected or localized in adult and pediatric patients 2 years of age and older.</w:t>
      </w:r>
    </w:p>
    <w:p w14:paraId="2F3B26C3" w14:textId="77777777" w:rsidR="00483C53" w:rsidRDefault="00483C53" w:rsidP="00483C53"/>
    <w:p w14:paraId="7ACECC9F" w14:textId="0B4AD106" w:rsidR="00B56DCC" w:rsidRDefault="00483C53" w:rsidP="00483C53">
      <w:r>
        <w:t>Due to the possible adverse events and specific approved indications, MO HealthNet will impose clinical criteria to ensure appropriate utilization of Crysvita.</w:t>
      </w:r>
    </w:p>
    <w:p w14:paraId="0917601E" w14:textId="77777777" w:rsidR="00483C53" w:rsidRDefault="00483C53" w:rsidP="00483C53"/>
    <w:p w14:paraId="5B5260CF" w14:textId="06753FE8" w:rsidR="003D4704" w:rsidRPr="00AD17B7" w:rsidRDefault="003D4704" w:rsidP="003D4704">
      <w:r>
        <w:rPr>
          <w:b/>
          <w:bCs/>
        </w:rPr>
        <w:t xml:space="preserve">Program-Specific Information: </w:t>
      </w:r>
      <w:r>
        <w:t>Dat</w:t>
      </w:r>
      <w:r w:rsidR="00ED760F">
        <w:t>e</w:t>
      </w:r>
      <w:r>
        <w:t xml:space="preserve"> Ranges FFS </w:t>
      </w:r>
      <w:r w:rsidR="00F2589B">
        <w:t>4</w:t>
      </w:r>
      <w:r>
        <w:t>-1-202</w:t>
      </w:r>
      <w:r w:rsidR="00F2589B">
        <w:t>5</w:t>
      </w:r>
      <w:r>
        <w:t xml:space="preserve"> to </w:t>
      </w:r>
      <w:r w:rsidR="00F2589B">
        <w:t>3</w:t>
      </w:r>
      <w:r>
        <w:t>-3</w:t>
      </w:r>
      <w:r w:rsidR="00F2589B">
        <w:t>1</w:t>
      </w:r>
      <w:r>
        <w:t>-202</w:t>
      </w:r>
      <w:r w:rsidR="00F2589B">
        <w:t>6</w:t>
      </w:r>
    </w:p>
    <w:tbl>
      <w:tblPr>
        <w:tblW w:w="8226" w:type="dxa"/>
        <w:jc w:val="center"/>
        <w:tblLayout w:type="fixed"/>
        <w:tblLook w:val="04A0" w:firstRow="1" w:lastRow="0" w:firstColumn="1" w:lastColumn="0" w:noHBand="0" w:noVBand="1"/>
      </w:tblPr>
      <w:tblGrid>
        <w:gridCol w:w="3506"/>
        <w:gridCol w:w="1112"/>
        <w:gridCol w:w="1497"/>
        <w:gridCol w:w="2111"/>
      </w:tblGrid>
      <w:tr w:rsidR="003D4704" w:rsidRPr="00902CF9" w14:paraId="7E639B47" w14:textId="77777777" w:rsidTr="007C0CA0">
        <w:trPr>
          <w:trHeight w:val="232"/>
          <w:jc w:val="center"/>
        </w:trPr>
        <w:tc>
          <w:tcPr>
            <w:tcW w:w="350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258BA66" w14:textId="77777777" w:rsidR="003D4704" w:rsidRPr="00902CF9" w:rsidRDefault="003D4704" w:rsidP="001F3A35">
            <w:pPr>
              <w:jc w:val="center"/>
              <w:rPr>
                <w:rFonts w:cs="Arial"/>
                <w:b/>
                <w:bCs/>
                <w:spacing w:val="-3"/>
                <w:szCs w:val="20"/>
              </w:rPr>
            </w:pPr>
            <w:r w:rsidRPr="00902CF9">
              <w:rPr>
                <w:rFonts w:cs="Arial"/>
                <w:b/>
                <w:bCs/>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0F37C53" w14:textId="77777777" w:rsidR="003D4704" w:rsidRPr="00902CF9" w:rsidRDefault="003D4704" w:rsidP="001F3A35">
            <w:pPr>
              <w:jc w:val="center"/>
              <w:rPr>
                <w:rFonts w:cs="Arial"/>
                <w:b/>
                <w:bCs/>
                <w:spacing w:val="-3"/>
                <w:szCs w:val="20"/>
              </w:rPr>
            </w:pPr>
            <w:r w:rsidRPr="00902CF9">
              <w:rPr>
                <w:rFonts w:cs="Arial"/>
                <w:b/>
                <w:bCs/>
                <w:spacing w:val="-3"/>
                <w:szCs w:val="20"/>
              </w:rPr>
              <w:t>Claims</w:t>
            </w:r>
          </w:p>
        </w:tc>
        <w:tc>
          <w:tcPr>
            <w:tcW w:w="149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7F54882" w14:textId="77777777" w:rsidR="003D4704" w:rsidRPr="00902CF9" w:rsidRDefault="003D4704" w:rsidP="001F3A35">
            <w:pPr>
              <w:jc w:val="center"/>
              <w:rPr>
                <w:rFonts w:cs="Arial"/>
                <w:b/>
                <w:bCs/>
                <w:spacing w:val="-3"/>
                <w:szCs w:val="20"/>
              </w:rPr>
            </w:pPr>
            <w:r w:rsidRPr="00902CF9">
              <w:rPr>
                <w:rFonts w:cs="Arial"/>
                <w:b/>
                <w:bCs/>
                <w:spacing w:val="-3"/>
                <w:szCs w:val="20"/>
              </w:rPr>
              <w:t>Spend</w:t>
            </w:r>
          </w:p>
        </w:tc>
        <w:tc>
          <w:tcPr>
            <w:tcW w:w="211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7EB713A" w14:textId="77777777" w:rsidR="003D4704" w:rsidRPr="00902CF9" w:rsidRDefault="003D4704" w:rsidP="001F3A35">
            <w:pPr>
              <w:jc w:val="center"/>
              <w:rPr>
                <w:rFonts w:cs="Arial"/>
                <w:b/>
                <w:bCs/>
                <w:spacing w:val="-3"/>
                <w:szCs w:val="20"/>
              </w:rPr>
            </w:pPr>
            <w:r w:rsidRPr="00902CF9">
              <w:rPr>
                <w:rFonts w:cs="Arial"/>
                <w:b/>
                <w:spacing w:val="-3"/>
                <w:szCs w:val="20"/>
              </w:rPr>
              <w:t>Avg Spend per Claim</w:t>
            </w:r>
          </w:p>
        </w:tc>
      </w:tr>
      <w:tr w:rsidR="00F87CCE" w:rsidRPr="00902CF9" w14:paraId="29C2C6B5" w14:textId="77777777" w:rsidTr="007C0CA0">
        <w:trPr>
          <w:trHeight w:val="232"/>
          <w:jc w:val="center"/>
        </w:trPr>
        <w:tc>
          <w:tcPr>
            <w:tcW w:w="3506" w:type="dxa"/>
            <w:tcBorders>
              <w:top w:val="single" w:sz="4" w:space="0" w:color="auto"/>
              <w:left w:val="single" w:sz="4" w:space="0" w:color="auto"/>
              <w:bottom w:val="single" w:sz="4" w:space="0" w:color="auto"/>
              <w:right w:val="single" w:sz="4" w:space="0" w:color="auto"/>
            </w:tcBorders>
            <w:vAlign w:val="bottom"/>
          </w:tcPr>
          <w:p w14:paraId="4E48F17F" w14:textId="6BF951D5" w:rsidR="00F87CCE" w:rsidRPr="00902CF9" w:rsidRDefault="007164AD" w:rsidP="00F87CCE">
            <w:pPr>
              <w:rPr>
                <w:rFonts w:cs="Arial"/>
                <w:szCs w:val="20"/>
              </w:rPr>
            </w:pPr>
            <w:r w:rsidRPr="007164AD">
              <w:rPr>
                <w:rFonts w:cs="Arial"/>
                <w:szCs w:val="20"/>
              </w:rPr>
              <w:t>CRYSVITA 10 MG/ML VIAL</w:t>
            </w:r>
          </w:p>
        </w:tc>
        <w:tc>
          <w:tcPr>
            <w:tcW w:w="1112" w:type="dxa"/>
            <w:tcBorders>
              <w:top w:val="single" w:sz="4" w:space="0" w:color="auto"/>
              <w:left w:val="single" w:sz="4" w:space="0" w:color="auto"/>
              <w:bottom w:val="single" w:sz="4" w:space="0" w:color="auto"/>
              <w:right w:val="single" w:sz="4" w:space="0" w:color="auto"/>
            </w:tcBorders>
            <w:vAlign w:val="bottom"/>
          </w:tcPr>
          <w:p w14:paraId="5F6574F8" w14:textId="1831A7E4" w:rsidR="00F87CCE" w:rsidRPr="00902CF9" w:rsidRDefault="007164AD" w:rsidP="00F87CCE">
            <w:pPr>
              <w:jc w:val="center"/>
              <w:rPr>
                <w:rFonts w:cs="Arial"/>
                <w:szCs w:val="20"/>
              </w:rPr>
            </w:pPr>
            <w:r w:rsidRPr="007164AD">
              <w:rPr>
                <w:rFonts w:cs="Arial"/>
                <w:szCs w:val="20"/>
              </w:rPr>
              <w:t>54</w:t>
            </w:r>
          </w:p>
        </w:tc>
        <w:tc>
          <w:tcPr>
            <w:tcW w:w="1497" w:type="dxa"/>
            <w:tcBorders>
              <w:top w:val="single" w:sz="4" w:space="0" w:color="auto"/>
              <w:left w:val="single" w:sz="4" w:space="0" w:color="auto"/>
              <w:bottom w:val="single" w:sz="4" w:space="0" w:color="auto"/>
              <w:right w:val="single" w:sz="4" w:space="0" w:color="auto"/>
            </w:tcBorders>
            <w:vAlign w:val="bottom"/>
          </w:tcPr>
          <w:p w14:paraId="52453425" w14:textId="06F45917" w:rsidR="00F87CCE" w:rsidRPr="00902CF9" w:rsidRDefault="007164AD" w:rsidP="00F87CCE">
            <w:pPr>
              <w:jc w:val="right"/>
              <w:rPr>
                <w:rFonts w:cs="Arial"/>
                <w:szCs w:val="20"/>
              </w:rPr>
            </w:pPr>
            <w:r w:rsidRPr="007164AD">
              <w:rPr>
                <w:rFonts w:cs="Arial"/>
                <w:szCs w:val="20"/>
              </w:rPr>
              <w:t>$488,739.83</w:t>
            </w:r>
          </w:p>
        </w:tc>
        <w:tc>
          <w:tcPr>
            <w:tcW w:w="2111" w:type="dxa"/>
            <w:tcBorders>
              <w:top w:val="single" w:sz="4" w:space="0" w:color="auto"/>
              <w:left w:val="single" w:sz="4" w:space="0" w:color="auto"/>
              <w:bottom w:val="single" w:sz="4" w:space="0" w:color="auto"/>
              <w:right w:val="single" w:sz="4" w:space="0" w:color="auto"/>
            </w:tcBorders>
            <w:vAlign w:val="bottom"/>
          </w:tcPr>
          <w:p w14:paraId="43EE586B" w14:textId="59A722E1" w:rsidR="00F87CCE" w:rsidRPr="00902CF9" w:rsidRDefault="00AC312E" w:rsidP="00F87CCE">
            <w:pPr>
              <w:jc w:val="right"/>
              <w:rPr>
                <w:rFonts w:cs="Arial"/>
                <w:szCs w:val="20"/>
              </w:rPr>
            </w:pPr>
            <w:r w:rsidRPr="00AC312E">
              <w:rPr>
                <w:rFonts w:cs="Arial"/>
                <w:szCs w:val="20"/>
              </w:rPr>
              <w:t>$9,050.74</w:t>
            </w:r>
          </w:p>
        </w:tc>
      </w:tr>
      <w:tr w:rsidR="00F87CCE" w:rsidRPr="00902CF9" w14:paraId="0A1EF85E" w14:textId="77777777" w:rsidTr="007C0CA0">
        <w:trPr>
          <w:trHeight w:val="232"/>
          <w:jc w:val="center"/>
        </w:trPr>
        <w:tc>
          <w:tcPr>
            <w:tcW w:w="3506" w:type="dxa"/>
            <w:tcBorders>
              <w:top w:val="single" w:sz="4" w:space="0" w:color="auto"/>
              <w:left w:val="single" w:sz="4" w:space="0" w:color="auto"/>
              <w:bottom w:val="single" w:sz="4" w:space="0" w:color="auto"/>
              <w:right w:val="single" w:sz="4" w:space="0" w:color="auto"/>
            </w:tcBorders>
            <w:vAlign w:val="bottom"/>
          </w:tcPr>
          <w:p w14:paraId="77B43C05" w14:textId="4907B5E0" w:rsidR="00F87CCE" w:rsidRPr="00902CF9" w:rsidRDefault="00AC312E" w:rsidP="00F87CCE">
            <w:pPr>
              <w:rPr>
                <w:rFonts w:cs="Arial"/>
                <w:szCs w:val="20"/>
              </w:rPr>
            </w:pPr>
            <w:r w:rsidRPr="00AC312E">
              <w:rPr>
                <w:rFonts w:cs="Arial"/>
                <w:szCs w:val="20"/>
              </w:rPr>
              <w:t>CRYSVITA 20 MG/ML VIAL</w:t>
            </w:r>
          </w:p>
        </w:tc>
        <w:tc>
          <w:tcPr>
            <w:tcW w:w="1112" w:type="dxa"/>
            <w:tcBorders>
              <w:top w:val="single" w:sz="4" w:space="0" w:color="auto"/>
              <w:left w:val="single" w:sz="4" w:space="0" w:color="auto"/>
              <w:bottom w:val="single" w:sz="4" w:space="0" w:color="auto"/>
              <w:right w:val="single" w:sz="4" w:space="0" w:color="auto"/>
            </w:tcBorders>
            <w:vAlign w:val="bottom"/>
          </w:tcPr>
          <w:p w14:paraId="586F93BC" w14:textId="09D627AF" w:rsidR="00F87CCE" w:rsidRPr="00902CF9" w:rsidRDefault="00AC312E" w:rsidP="00F87CCE">
            <w:pPr>
              <w:jc w:val="center"/>
              <w:rPr>
                <w:rFonts w:cs="Arial"/>
                <w:szCs w:val="20"/>
              </w:rPr>
            </w:pPr>
            <w:r w:rsidRPr="00AC312E">
              <w:rPr>
                <w:rFonts w:cs="Arial"/>
                <w:szCs w:val="20"/>
              </w:rPr>
              <w:t>88</w:t>
            </w:r>
          </w:p>
        </w:tc>
        <w:tc>
          <w:tcPr>
            <w:tcW w:w="1497" w:type="dxa"/>
            <w:tcBorders>
              <w:top w:val="single" w:sz="4" w:space="0" w:color="auto"/>
              <w:left w:val="single" w:sz="4" w:space="0" w:color="auto"/>
              <w:bottom w:val="single" w:sz="4" w:space="0" w:color="auto"/>
              <w:right w:val="single" w:sz="4" w:space="0" w:color="auto"/>
            </w:tcBorders>
            <w:vAlign w:val="bottom"/>
          </w:tcPr>
          <w:p w14:paraId="4B838051" w14:textId="2F1AD4B6" w:rsidR="00F87CCE" w:rsidRPr="00902CF9" w:rsidRDefault="007C0CA0" w:rsidP="00F87CCE">
            <w:pPr>
              <w:jc w:val="right"/>
              <w:rPr>
                <w:rFonts w:cs="Arial"/>
                <w:szCs w:val="20"/>
              </w:rPr>
            </w:pPr>
            <w:r w:rsidRPr="007C0CA0">
              <w:rPr>
                <w:rFonts w:cs="Arial"/>
                <w:szCs w:val="20"/>
              </w:rPr>
              <w:t>$1,959,232.18</w:t>
            </w:r>
          </w:p>
        </w:tc>
        <w:tc>
          <w:tcPr>
            <w:tcW w:w="2111" w:type="dxa"/>
            <w:tcBorders>
              <w:top w:val="single" w:sz="4" w:space="0" w:color="auto"/>
              <w:left w:val="single" w:sz="4" w:space="0" w:color="auto"/>
              <w:bottom w:val="single" w:sz="4" w:space="0" w:color="auto"/>
              <w:right w:val="single" w:sz="4" w:space="0" w:color="auto"/>
            </w:tcBorders>
            <w:vAlign w:val="bottom"/>
          </w:tcPr>
          <w:p w14:paraId="0EDE8848" w14:textId="41DDD61D" w:rsidR="00F87CCE" w:rsidRPr="00902CF9" w:rsidRDefault="007C0CA0" w:rsidP="00F87CCE">
            <w:pPr>
              <w:jc w:val="right"/>
              <w:rPr>
                <w:rFonts w:cs="Arial"/>
                <w:szCs w:val="20"/>
              </w:rPr>
            </w:pPr>
            <w:r w:rsidRPr="007C0CA0">
              <w:rPr>
                <w:rFonts w:cs="Arial"/>
                <w:szCs w:val="20"/>
              </w:rPr>
              <w:t>$22,264.00</w:t>
            </w:r>
          </w:p>
        </w:tc>
      </w:tr>
      <w:tr w:rsidR="00F87CCE" w:rsidRPr="00902CF9" w14:paraId="5A77BEA3" w14:textId="77777777" w:rsidTr="007C0CA0">
        <w:trPr>
          <w:trHeight w:val="232"/>
          <w:jc w:val="center"/>
        </w:trPr>
        <w:tc>
          <w:tcPr>
            <w:tcW w:w="3506" w:type="dxa"/>
            <w:tcBorders>
              <w:top w:val="single" w:sz="4" w:space="0" w:color="auto"/>
              <w:left w:val="single" w:sz="4" w:space="0" w:color="auto"/>
              <w:bottom w:val="single" w:sz="4" w:space="0" w:color="auto"/>
              <w:right w:val="single" w:sz="4" w:space="0" w:color="auto"/>
            </w:tcBorders>
            <w:vAlign w:val="bottom"/>
          </w:tcPr>
          <w:p w14:paraId="5692DA97" w14:textId="75B87920" w:rsidR="00F87CCE" w:rsidRPr="00902CF9" w:rsidRDefault="00505DE8" w:rsidP="00F87CCE">
            <w:pPr>
              <w:rPr>
                <w:rFonts w:cs="Arial"/>
                <w:szCs w:val="20"/>
              </w:rPr>
            </w:pPr>
            <w:r w:rsidRPr="00505DE8">
              <w:rPr>
                <w:rFonts w:cs="Arial"/>
                <w:szCs w:val="20"/>
              </w:rPr>
              <w:t>CRYSVITA 30 MG/ML VIAL</w:t>
            </w:r>
          </w:p>
        </w:tc>
        <w:tc>
          <w:tcPr>
            <w:tcW w:w="1112" w:type="dxa"/>
            <w:tcBorders>
              <w:top w:val="single" w:sz="4" w:space="0" w:color="auto"/>
              <w:left w:val="single" w:sz="4" w:space="0" w:color="auto"/>
              <w:bottom w:val="single" w:sz="4" w:space="0" w:color="auto"/>
              <w:right w:val="single" w:sz="4" w:space="0" w:color="auto"/>
            </w:tcBorders>
            <w:vAlign w:val="bottom"/>
          </w:tcPr>
          <w:p w14:paraId="5AD8BBAE" w14:textId="651E3C53" w:rsidR="00F87CCE" w:rsidRPr="00902CF9" w:rsidRDefault="00505DE8" w:rsidP="00F87CCE">
            <w:pPr>
              <w:jc w:val="center"/>
              <w:rPr>
                <w:rFonts w:cs="Arial"/>
                <w:szCs w:val="20"/>
              </w:rPr>
            </w:pPr>
            <w:r w:rsidRPr="00505DE8">
              <w:rPr>
                <w:rFonts w:cs="Arial"/>
                <w:szCs w:val="20"/>
              </w:rPr>
              <w:t>121</w:t>
            </w:r>
          </w:p>
        </w:tc>
        <w:tc>
          <w:tcPr>
            <w:tcW w:w="1497" w:type="dxa"/>
            <w:tcBorders>
              <w:top w:val="single" w:sz="4" w:space="0" w:color="auto"/>
              <w:left w:val="single" w:sz="4" w:space="0" w:color="auto"/>
              <w:bottom w:val="single" w:sz="4" w:space="0" w:color="auto"/>
              <w:right w:val="single" w:sz="4" w:space="0" w:color="auto"/>
            </w:tcBorders>
            <w:vAlign w:val="bottom"/>
          </w:tcPr>
          <w:p w14:paraId="47A4EEDB" w14:textId="2576E5CA" w:rsidR="00F87CCE" w:rsidRPr="00902CF9" w:rsidRDefault="00505DE8" w:rsidP="00F87CCE">
            <w:pPr>
              <w:jc w:val="right"/>
              <w:rPr>
                <w:rFonts w:cs="Arial"/>
                <w:szCs w:val="20"/>
              </w:rPr>
            </w:pPr>
            <w:r w:rsidRPr="00505DE8">
              <w:rPr>
                <w:rFonts w:cs="Arial"/>
                <w:szCs w:val="20"/>
              </w:rPr>
              <w:t>$5,390,147.74</w:t>
            </w:r>
          </w:p>
        </w:tc>
        <w:tc>
          <w:tcPr>
            <w:tcW w:w="2111" w:type="dxa"/>
            <w:tcBorders>
              <w:top w:val="single" w:sz="4" w:space="0" w:color="auto"/>
              <w:left w:val="single" w:sz="4" w:space="0" w:color="auto"/>
              <w:bottom w:val="single" w:sz="4" w:space="0" w:color="auto"/>
              <w:right w:val="single" w:sz="4" w:space="0" w:color="auto"/>
            </w:tcBorders>
            <w:vAlign w:val="bottom"/>
          </w:tcPr>
          <w:p w14:paraId="1D6C2FF0" w14:textId="5B4CCF82" w:rsidR="00F87CCE" w:rsidRPr="00902CF9" w:rsidRDefault="000A6BCC" w:rsidP="00F87CCE">
            <w:pPr>
              <w:jc w:val="right"/>
              <w:rPr>
                <w:rFonts w:cs="Arial"/>
                <w:szCs w:val="20"/>
              </w:rPr>
            </w:pPr>
            <w:r w:rsidRPr="000A6BCC">
              <w:rPr>
                <w:rFonts w:cs="Arial"/>
                <w:szCs w:val="20"/>
              </w:rPr>
              <w:t>$44,546.68</w:t>
            </w:r>
          </w:p>
        </w:tc>
      </w:tr>
      <w:tr w:rsidR="000A6BCC" w:rsidRPr="00902CF9" w14:paraId="330246A2" w14:textId="77777777" w:rsidTr="007C0CA0">
        <w:trPr>
          <w:trHeight w:val="232"/>
          <w:jc w:val="center"/>
        </w:trPr>
        <w:tc>
          <w:tcPr>
            <w:tcW w:w="3506" w:type="dxa"/>
            <w:tcBorders>
              <w:top w:val="single" w:sz="4" w:space="0" w:color="auto"/>
              <w:left w:val="single" w:sz="4" w:space="0" w:color="auto"/>
              <w:bottom w:val="single" w:sz="4" w:space="0" w:color="auto"/>
              <w:right w:val="single" w:sz="4" w:space="0" w:color="auto"/>
            </w:tcBorders>
            <w:vAlign w:val="bottom"/>
          </w:tcPr>
          <w:p w14:paraId="0F0170EB" w14:textId="6EF84DCD" w:rsidR="000A6BCC" w:rsidRPr="00A965CA" w:rsidRDefault="000A6BCC" w:rsidP="00F87CCE">
            <w:pPr>
              <w:rPr>
                <w:rFonts w:cs="Arial"/>
                <w:b/>
                <w:bCs/>
                <w:szCs w:val="20"/>
              </w:rPr>
            </w:pPr>
            <w:r w:rsidRPr="00A965CA">
              <w:rPr>
                <w:rFonts w:cs="Arial"/>
                <w:b/>
                <w:bCs/>
                <w:szCs w:val="20"/>
              </w:rPr>
              <w:t>Total</w:t>
            </w:r>
          </w:p>
        </w:tc>
        <w:tc>
          <w:tcPr>
            <w:tcW w:w="1112" w:type="dxa"/>
            <w:tcBorders>
              <w:top w:val="single" w:sz="4" w:space="0" w:color="auto"/>
              <w:left w:val="single" w:sz="4" w:space="0" w:color="auto"/>
              <w:bottom w:val="single" w:sz="4" w:space="0" w:color="auto"/>
              <w:right w:val="single" w:sz="4" w:space="0" w:color="auto"/>
            </w:tcBorders>
            <w:vAlign w:val="bottom"/>
          </w:tcPr>
          <w:p w14:paraId="4555A57D" w14:textId="107E341A" w:rsidR="000A6BCC" w:rsidRPr="00A965CA" w:rsidRDefault="00A965CA" w:rsidP="00F87CCE">
            <w:pPr>
              <w:jc w:val="center"/>
              <w:rPr>
                <w:rFonts w:cs="Arial"/>
                <w:b/>
                <w:bCs/>
                <w:szCs w:val="20"/>
              </w:rPr>
            </w:pPr>
            <w:r w:rsidRPr="00A965CA">
              <w:rPr>
                <w:rFonts w:cs="Arial"/>
                <w:b/>
                <w:bCs/>
                <w:szCs w:val="20"/>
              </w:rPr>
              <w:t>263</w:t>
            </w:r>
          </w:p>
        </w:tc>
        <w:tc>
          <w:tcPr>
            <w:tcW w:w="1497" w:type="dxa"/>
            <w:tcBorders>
              <w:top w:val="single" w:sz="4" w:space="0" w:color="auto"/>
              <w:left w:val="single" w:sz="4" w:space="0" w:color="auto"/>
              <w:bottom w:val="single" w:sz="4" w:space="0" w:color="auto"/>
              <w:right w:val="single" w:sz="4" w:space="0" w:color="auto"/>
            </w:tcBorders>
            <w:vAlign w:val="bottom"/>
          </w:tcPr>
          <w:p w14:paraId="01BA7625" w14:textId="1540A038" w:rsidR="000A6BCC" w:rsidRPr="00A965CA" w:rsidRDefault="00A965CA" w:rsidP="00F87CCE">
            <w:pPr>
              <w:jc w:val="right"/>
              <w:rPr>
                <w:rFonts w:cs="Arial"/>
                <w:b/>
                <w:bCs/>
                <w:szCs w:val="20"/>
              </w:rPr>
            </w:pPr>
            <w:r w:rsidRPr="00A965CA">
              <w:rPr>
                <w:rFonts w:cs="Arial"/>
                <w:b/>
                <w:bCs/>
                <w:szCs w:val="20"/>
              </w:rPr>
              <w:t>$7,838,119.75</w:t>
            </w:r>
          </w:p>
        </w:tc>
        <w:tc>
          <w:tcPr>
            <w:tcW w:w="2111" w:type="dxa"/>
            <w:tcBorders>
              <w:top w:val="single" w:sz="4" w:space="0" w:color="auto"/>
              <w:left w:val="single" w:sz="4" w:space="0" w:color="auto"/>
              <w:bottom w:val="single" w:sz="4" w:space="0" w:color="auto"/>
              <w:right w:val="single" w:sz="4" w:space="0" w:color="auto"/>
            </w:tcBorders>
            <w:vAlign w:val="bottom"/>
          </w:tcPr>
          <w:p w14:paraId="695312BA" w14:textId="6C06CC08" w:rsidR="000A6BCC" w:rsidRPr="00A965CA" w:rsidRDefault="00A965CA" w:rsidP="00F87CCE">
            <w:pPr>
              <w:jc w:val="right"/>
              <w:rPr>
                <w:rFonts w:cs="Arial"/>
                <w:b/>
                <w:bCs/>
                <w:szCs w:val="20"/>
              </w:rPr>
            </w:pPr>
            <w:r w:rsidRPr="00A965CA">
              <w:rPr>
                <w:rFonts w:cs="Arial"/>
                <w:b/>
                <w:bCs/>
                <w:szCs w:val="20"/>
              </w:rPr>
              <w:t>$29,802.74</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C34E74E" w:rsidR="0097028A" w:rsidRPr="0079438F" w:rsidRDefault="0097028A" w:rsidP="00696E3A">
      <w:pPr>
        <w:rPr>
          <w:b/>
        </w:rPr>
      </w:pPr>
      <w:r w:rsidRPr="00696E3A">
        <w:rPr>
          <w:b/>
          <w:bCs/>
        </w:rPr>
        <w:t>Drug class for review:</w:t>
      </w:r>
      <w:r w:rsidRPr="00C02553">
        <w:t xml:space="preserve"> </w:t>
      </w:r>
      <w:r w:rsidR="00360314" w:rsidRPr="00360314">
        <w:t>Crysvita</w:t>
      </w:r>
      <w:r w:rsidR="00360314" w:rsidRPr="00360314">
        <w:rPr>
          <w:vertAlign w:val="superscript"/>
        </w:rPr>
        <w:t>®</w:t>
      </w:r>
      <w:r w:rsidR="00360314" w:rsidRPr="00360314">
        <w:t xml:space="preserve"> (burosumab-twza)</w:t>
      </w:r>
    </w:p>
    <w:p w14:paraId="31A0E89A" w14:textId="32FCF127" w:rsidR="00724898" w:rsidRPr="00A965CA" w:rsidRDefault="0097028A">
      <w:pPr>
        <w:rPr>
          <w:rFonts w:cs="Arial"/>
          <w:b/>
        </w:rPr>
      </w:pPr>
      <w:r w:rsidRPr="00696E3A">
        <w:rPr>
          <w:b/>
          <w:bCs/>
        </w:rPr>
        <w:t>Age range:</w:t>
      </w:r>
      <w:r w:rsidRPr="00C02553">
        <w:t xml:space="preserve"> </w:t>
      </w:r>
      <w:r w:rsidR="009926A7" w:rsidRPr="009926A7">
        <w:rPr>
          <w:rFonts w:cs="Arial"/>
        </w:rPr>
        <w:t>All appropriate MO HealthNet participants aged 6 months or older.</w:t>
      </w:r>
    </w:p>
    <w:p w14:paraId="6413C035" w14:textId="218976D7" w:rsidR="00AE77DB" w:rsidRPr="00C02553" w:rsidRDefault="00AE77DB" w:rsidP="0097028A">
      <w:pPr>
        <w:pStyle w:val="Heading1"/>
        <w:rPr>
          <w:lang w:val="en-US"/>
        </w:rPr>
      </w:pPr>
      <w:r w:rsidRPr="00C02553">
        <w:rPr>
          <w:lang w:val="en-US"/>
        </w:rPr>
        <w:lastRenderedPageBreak/>
        <w:t>Approval Criteria</w:t>
      </w:r>
    </w:p>
    <w:p w14:paraId="0D3D4594" w14:textId="77777777" w:rsidR="0064232B" w:rsidRPr="0064232B" w:rsidRDefault="0064232B" w:rsidP="0064232B">
      <w:pPr>
        <w:rPr>
          <w:rFonts w:cs="Arial"/>
          <w:bCs/>
          <w:szCs w:val="20"/>
          <w:u w:val="single"/>
        </w:rPr>
      </w:pPr>
      <w:r w:rsidRPr="0064232B">
        <w:rPr>
          <w:rFonts w:cs="Arial"/>
          <w:bCs/>
          <w:szCs w:val="20"/>
          <w:u w:val="single"/>
        </w:rPr>
        <w:t>Initial Therapy:</w:t>
      </w:r>
    </w:p>
    <w:p w14:paraId="02A2EE80" w14:textId="77777777" w:rsidR="0064232B" w:rsidRPr="0064232B" w:rsidRDefault="0064232B" w:rsidP="0064232B">
      <w:pPr>
        <w:numPr>
          <w:ilvl w:val="0"/>
          <w:numId w:val="17"/>
        </w:numPr>
        <w:contextualSpacing/>
        <w:rPr>
          <w:rFonts w:cs="Arial"/>
          <w:bCs/>
          <w:szCs w:val="20"/>
        </w:rPr>
      </w:pPr>
      <w:r w:rsidRPr="0064232B">
        <w:rPr>
          <w:rFonts w:cs="Arial"/>
          <w:bCs/>
          <w:szCs w:val="20"/>
        </w:rPr>
        <w:t xml:space="preserve">Must meet </w:t>
      </w:r>
      <w:proofErr w:type="gramStart"/>
      <w:r w:rsidRPr="0064232B">
        <w:rPr>
          <w:rFonts w:cs="Arial"/>
          <w:bCs/>
          <w:szCs w:val="20"/>
        </w:rPr>
        <w:t>all of</w:t>
      </w:r>
      <w:proofErr w:type="gramEnd"/>
      <w:r w:rsidRPr="0064232B">
        <w:rPr>
          <w:rFonts w:cs="Arial"/>
          <w:bCs/>
          <w:szCs w:val="20"/>
        </w:rPr>
        <w:t xml:space="preserve"> the following:</w:t>
      </w:r>
    </w:p>
    <w:p w14:paraId="3FA44CA9" w14:textId="77777777" w:rsidR="0064232B" w:rsidRPr="0064232B" w:rsidRDefault="0064232B" w:rsidP="0064232B">
      <w:pPr>
        <w:numPr>
          <w:ilvl w:val="1"/>
          <w:numId w:val="17"/>
        </w:numPr>
        <w:ind w:left="720"/>
        <w:contextualSpacing/>
        <w:rPr>
          <w:rFonts w:cs="Arial"/>
          <w:bCs/>
          <w:szCs w:val="20"/>
        </w:rPr>
      </w:pPr>
      <w:r w:rsidRPr="0064232B">
        <w:rPr>
          <w:rFonts w:cs="Arial"/>
          <w:bCs/>
        </w:rPr>
        <w:t>Prescribed by or in consultation with a nephrologist, endocrinologist, or other specialist in the treated disease state;</w:t>
      </w:r>
    </w:p>
    <w:p w14:paraId="1D1DD706" w14:textId="77777777" w:rsidR="0064232B" w:rsidRPr="0064232B" w:rsidRDefault="0064232B" w:rsidP="0064232B">
      <w:pPr>
        <w:numPr>
          <w:ilvl w:val="1"/>
          <w:numId w:val="17"/>
        </w:numPr>
        <w:ind w:left="720"/>
        <w:contextualSpacing/>
        <w:rPr>
          <w:rFonts w:cs="Arial"/>
          <w:bCs/>
          <w:szCs w:val="20"/>
        </w:rPr>
      </w:pPr>
      <w:r w:rsidRPr="0064232B">
        <w:rPr>
          <w:rFonts w:cs="Arial"/>
        </w:rPr>
        <w:t>Documented diagnosis of one of the following:</w:t>
      </w:r>
    </w:p>
    <w:p w14:paraId="1CCED3AE" w14:textId="77777777" w:rsidR="0064232B" w:rsidRPr="0064232B" w:rsidRDefault="0064232B" w:rsidP="0064232B">
      <w:pPr>
        <w:numPr>
          <w:ilvl w:val="2"/>
          <w:numId w:val="17"/>
        </w:numPr>
        <w:ind w:left="1080"/>
        <w:contextualSpacing/>
        <w:rPr>
          <w:rFonts w:cs="Arial"/>
          <w:bCs/>
          <w:szCs w:val="20"/>
        </w:rPr>
      </w:pPr>
      <w:r w:rsidRPr="0064232B">
        <w:rPr>
          <w:rFonts w:cs="Arial"/>
        </w:rPr>
        <w:t xml:space="preserve">XLH; </w:t>
      </w:r>
      <w:r w:rsidRPr="0064232B">
        <w:rPr>
          <w:rFonts w:cs="Arial"/>
          <w:b/>
          <w:bCs/>
        </w:rPr>
        <w:t>OR</w:t>
      </w:r>
    </w:p>
    <w:p w14:paraId="459B6D2A" w14:textId="77777777" w:rsidR="0064232B" w:rsidRPr="0064232B" w:rsidRDefault="0064232B" w:rsidP="0064232B">
      <w:pPr>
        <w:numPr>
          <w:ilvl w:val="2"/>
          <w:numId w:val="17"/>
        </w:numPr>
        <w:ind w:left="1080"/>
        <w:contextualSpacing/>
        <w:rPr>
          <w:rFonts w:cs="Arial"/>
          <w:bCs/>
          <w:szCs w:val="20"/>
        </w:rPr>
      </w:pPr>
      <w:r w:rsidRPr="0064232B">
        <w:rPr>
          <w:rFonts w:cs="Arial"/>
        </w:rPr>
        <w:t>FGF23-</w:t>
      </w:r>
      <w:r w:rsidRPr="0064232B">
        <w:rPr>
          <w:rFonts w:cs="Arial"/>
          <w:bCs/>
          <w:szCs w:val="20"/>
        </w:rPr>
        <w:t xml:space="preserve">related hypophosphatemia in tumor induced osteomalacia (TIO); </w:t>
      </w:r>
      <w:r w:rsidRPr="0064232B">
        <w:rPr>
          <w:rFonts w:cs="Arial"/>
          <w:b/>
          <w:szCs w:val="20"/>
        </w:rPr>
        <w:t>AND</w:t>
      </w:r>
    </w:p>
    <w:p w14:paraId="76B7AB83" w14:textId="77777777" w:rsidR="0064232B" w:rsidRPr="0064232B" w:rsidRDefault="0064232B" w:rsidP="0064232B">
      <w:pPr>
        <w:numPr>
          <w:ilvl w:val="1"/>
          <w:numId w:val="17"/>
        </w:numPr>
        <w:ind w:left="720"/>
        <w:contextualSpacing/>
        <w:rPr>
          <w:rFonts w:cs="Arial"/>
          <w:bCs/>
          <w:szCs w:val="20"/>
        </w:rPr>
      </w:pPr>
      <w:r w:rsidRPr="0064232B">
        <w:rPr>
          <w:rFonts w:cs="Arial"/>
        </w:rPr>
        <w:t>Must meet one of the following</w:t>
      </w:r>
      <w:r w:rsidRPr="0064232B">
        <w:rPr>
          <w:rFonts w:cs="Arial"/>
          <w:bCs/>
          <w:szCs w:val="20"/>
        </w:rPr>
        <w:t>:</w:t>
      </w:r>
    </w:p>
    <w:p w14:paraId="7F3BB6D3" w14:textId="77777777" w:rsidR="0064232B" w:rsidRPr="0064232B" w:rsidRDefault="0064232B" w:rsidP="0064232B">
      <w:pPr>
        <w:numPr>
          <w:ilvl w:val="2"/>
          <w:numId w:val="17"/>
        </w:numPr>
        <w:ind w:left="1080"/>
        <w:contextualSpacing/>
        <w:rPr>
          <w:rFonts w:cs="Arial"/>
          <w:bCs/>
          <w:szCs w:val="20"/>
        </w:rPr>
      </w:pPr>
      <w:r w:rsidRPr="0064232B">
        <w:rPr>
          <w:rFonts w:cs="Arial"/>
        </w:rPr>
        <w:t xml:space="preserve">Documented baseline fasting serum phosphorus levels below the normal range for age; </w:t>
      </w:r>
      <w:r w:rsidRPr="0064232B">
        <w:rPr>
          <w:rFonts w:cs="Arial"/>
          <w:b/>
          <w:bCs/>
        </w:rPr>
        <w:t>OR</w:t>
      </w:r>
    </w:p>
    <w:p w14:paraId="30E1AEC5" w14:textId="77777777" w:rsidR="0064232B" w:rsidRPr="0064232B" w:rsidRDefault="0064232B" w:rsidP="0064232B">
      <w:pPr>
        <w:numPr>
          <w:ilvl w:val="2"/>
          <w:numId w:val="17"/>
        </w:numPr>
        <w:ind w:left="1080"/>
        <w:contextualSpacing/>
        <w:rPr>
          <w:rFonts w:cs="Arial"/>
          <w:bCs/>
          <w:szCs w:val="20"/>
        </w:rPr>
      </w:pPr>
      <w:r w:rsidRPr="0064232B">
        <w:rPr>
          <w:rFonts w:cs="Arial"/>
        </w:rPr>
        <w:t>Requests for participants with baseline fasting serum phosphorus levels in the normal range will be referred to clinical review</w:t>
      </w:r>
      <w:r w:rsidRPr="0064232B">
        <w:rPr>
          <w:rFonts w:cs="Arial"/>
          <w:bCs/>
          <w:szCs w:val="20"/>
        </w:rPr>
        <w:t>.</w:t>
      </w:r>
    </w:p>
    <w:p w14:paraId="5CFA879E" w14:textId="77777777" w:rsidR="0064232B" w:rsidRPr="0064232B" w:rsidRDefault="0064232B" w:rsidP="0064232B">
      <w:pPr>
        <w:numPr>
          <w:ilvl w:val="0"/>
          <w:numId w:val="17"/>
        </w:numPr>
        <w:contextualSpacing/>
        <w:rPr>
          <w:rFonts w:cs="Arial"/>
          <w:bCs/>
          <w:szCs w:val="20"/>
        </w:rPr>
      </w:pPr>
      <w:r w:rsidRPr="0064232B">
        <w:rPr>
          <w:rFonts w:cs="Arial"/>
          <w:bCs/>
          <w:szCs w:val="20"/>
        </w:rPr>
        <w:t>Additional approval criteria for documented diagnosis of FGF23-related hypophosphatemia in TIO:</w:t>
      </w:r>
    </w:p>
    <w:p w14:paraId="1231A041" w14:textId="77777777" w:rsidR="0064232B" w:rsidRPr="0064232B" w:rsidRDefault="0064232B" w:rsidP="0064232B">
      <w:pPr>
        <w:numPr>
          <w:ilvl w:val="1"/>
          <w:numId w:val="17"/>
        </w:numPr>
        <w:contextualSpacing/>
        <w:rPr>
          <w:rFonts w:cs="Arial"/>
          <w:bCs/>
          <w:szCs w:val="20"/>
        </w:rPr>
      </w:pPr>
      <w:r w:rsidRPr="0064232B">
        <w:rPr>
          <w:rFonts w:cs="Arial"/>
        </w:rPr>
        <w:t xml:space="preserve">Participant is aged </w:t>
      </w:r>
      <w:r w:rsidRPr="0064232B">
        <w:rPr>
          <w:rFonts w:cs="Arial"/>
          <w:bCs/>
        </w:rPr>
        <w:t xml:space="preserve">2 years or older; </w:t>
      </w:r>
      <w:r w:rsidRPr="0064232B">
        <w:rPr>
          <w:rFonts w:cs="Arial"/>
          <w:b/>
        </w:rPr>
        <w:t>AND</w:t>
      </w:r>
    </w:p>
    <w:p w14:paraId="14DD87A7" w14:textId="77777777" w:rsidR="0064232B" w:rsidRPr="0064232B" w:rsidRDefault="0064232B" w:rsidP="0064232B">
      <w:pPr>
        <w:numPr>
          <w:ilvl w:val="1"/>
          <w:numId w:val="17"/>
        </w:numPr>
        <w:contextualSpacing/>
        <w:rPr>
          <w:rFonts w:cs="Arial"/>
        </w:rPr>
      </w:pPr>
      <w:r w:rsidRPr="0064232B">
        <w:rPr>
          <w:rFonts w:cs="Arial"/>
        </w:rPr>
        <w:t xml:space="preserve">Documentation that participant has a phosphaturic mesenchymal tumor that cannot be </w:t>
      </w:r>
      <w:proofErr w:type="gramStart"/>
      <w:r w:rsidRPr="0064232B">
        <w:rPr>
          <w:rFonts w:cs="Arial"/>
        </w:rPr>
        <w:t>resected</w:t>
      </w:r>
      <w:proofErr w:type="gramEnd"/>
      <w:r w:rsidRPr="0064232B">
        <w:rPr>
          <w:rFonts w:cs="Arial"/>
        </w:rPr>
        <w:t xml:space="preserve"> or localized.</w:t>
      </w:r>
    </w:p>
    <w:p w14:paraId="11A9C153" w14:textId="77777777" w:rsidR="0064232B" w:rsidRPr="0064232B" w:rsidRDefault="0064232B" w:rsidP="0064232B">
      <w:pPr>
        <w:numPr>
          <w:ilvl w:val="0"/>
          <w:numId w:val="17"/>
        </w:numPr>
        <w:contextualSpacing/>
        <w:rPr>
          <w:rFonts w:cs="Arial"/>
        </w:rPr>
      </w:pPr>
      <w:r w:rsidRPr="0064232B">
        <w:rPr>
          <w:rFonts w:cs="Arial"/>
        </w:rPr>
        <w:t>Initial approval period: 4 months</w:t>
      </w:r>
    </w:p>
    <w:p w14:paraId="386A54B6" w14:textId="77777777" w:rsidR="0064232B" w:rsidRPr="0064232B" w:rsidRDefault="0064232B" w:rsidP="0064232B">
      <w:pPr>
        <w:ind w:left="1080"/>
        <w:contextualSpacing/>
        <w:jc w:val="both"/>
        <w:rPr>
          <w:rFonts w:cs="Arial"/>
          <w:bCs/>
          <w:szCs w:val="20"/>
        </w:rPr>
      </w:pPr>
    </w:p>
    <w:p w14:paraId="62408F80" w14:textId="77777777" w:rsidR="0064232B" w:rsidRPr="0064232B" w:rsidRDefault="0064232B" w:rsidP="0064232B">
      <w:pPr>
        <w:rPr>
          <w:rFonts w:cs="Arial"/>
          <w:u w:val="single"/>
        </w:rPr>
      </w:pPr>
      <w:r w:rsidRPr="0064232B">
        <w:rPr>
          <w:rFonts w:cs="Arial"/>
          <w:u w:val="single"/>
        </w:rPr>
        <w:t>Continuation of Therapy:</w:t>
      </w:r>
    </w:p>
    <w:p w14:paraId="61CE02FB" w14:textId="77777777" w:rsidR="0064232B" w:rsidRPr="0064232B" w:rsidRDefault="0064232B" w:rsidP="0064232B">
      <w:pPr>
        <w:numPr>
          <w:ilvl w:val="0"/>
          <w:numId w:val="18"/>
        </w:numPr>
        <w:contextualSpacing/>
        <w:rPr>
          <w:rFonts w:cs="Arial"/>
          <w:bCs/>
          <w:szCs w:val="20"/>
        </w:rPr>
      </w:pPr>
      <w:r w:rsidRPr="0064232B">
        <w:rPr>
          <w:rFonts w:cs="Arial"/>
          <w:bCs/>
          <w:szCs w:val="20"/>
        </w:rPr>
        <w:t xml:space="preserve">Must meet </w:t>
      </w:r>
      <w:proofErr w:type="gramStart"/>
      <w:r w:rsidRPr="0064232B">
        <w:rPr>
          <w:rFonts w:cs="Arial"/>
          <w:bCs/>
          <w:szCs w:val="20"/>
        </w:rPr>
        <w:t>all of</w:t>
      </w:r>
      <w:proofErr w:type="gramEnd"/>
      <w:r w:rsidRPr="0064232B">
        <w:rPr>
          <w:rFonts w:cs="Arial"/>
          <w:bCs/>
          <w:szCs w:val="20"/>
        </w:rPr>
        <w:t xml:space="preserve"> the following:</w:t>
      </w:r>
    </w:p>
    <w:p w14:paraId="37553D16" w14:textId="77777777" w:rsidR="0064232B" w:rsidRPr="0064232B" w:rsidRDefault="0064232B" w:rsidP="0064232B">
      <w:pPr>
        <w:numPr>
          <w:ilvl w:val="1"/>
          <w:numId w:val="18"/>
        </w:numPr>
        <w:ind w:left="720"/>
        <w:contextualSpacing/>
        <w:rPr>
          <w:rFonts w:cs="Arial"/>
          <w:bCs/>
          <w:szCs w:val="20"/>
        </w:rPr>
      </w:pPr>
      <w:r w:rsidRPr="0064232B">
        <w:rPr>
          <w:rFonts w:cs="Arial"/>
          <w:bCs/>
          <w:szCs w:val="20"/>
        </w:rPr>
        <w:t>Documented normalization of serum phosphorus levels;</w:t>
      </w:r>
    </w:p>
    <w:p w14:paraId="5C155007" w14:textId="77777777" w:rsidR="0064232B" w:rsidRPr="0064232B" w:rsidRDefault="0064232B" w:rsidP="0064232B">
      <w:pPr>
        <w:numPr>
          <w:ilvl w:val="1"/>
          <w:numId w:val="18"/>
        </w:numPr>
        <w:ind w:left="720"/>
        <w:contextualSpacing/>
        <w:rPr>
          <w:rFonts w:cs="Arial"/>
          <w:bCs/>
          <w:szCs w:val="20"/>
        </w:rPr>
      </w:pPr>
      <w:r w:rsidRPr="0064232B">
        <w:rPr>
          <w:rFonts w:cs="Arial"/>
        </w:rPr>
        <w:t xml:space="preserve">Recent normal 25-hydroxy vitamin D levels; </w:t>
      </w:r>
      <w:r w:rsidRPr="0064232B">
        <w:rPr>
          <w:rFonts w:cs="Arial"/>
          <w:b/>
          <w:bCs/>
        </w:rPr>
        <w:t>AND</w:t>
      </w:r>
    </w:p>
    <w:p w14:paraId="38AC10FB" w14:textId="77777777" w:rsidR="0064232B" w:rsidRPr="0064232B" w:rsidRDefault="0064232B" w:rsidP="0064232B">
      <w:pPr>
        <w:numPr>
          <w:ilvl w:val="1"/>
          <w:numId w:val="18"/>
        </w:numPr>
        <w:ind w:left="720"/>
        <w:contextualSpacing/>
        <w:rPr>
          <w:rFonts w:cs="Arial"/>
          <w:bCs/>
          <w:szCs w:val="20"/>
        </w:rPr>
      </w:pPr>
      <w:r w:rsidRPr="0064232B">
        <w:rPr>
          <w:rFonts w:cs="Arial"/>
        </w:rPr>
        <w:t>Lack of oral phosphate or calcitriol therapy in the past 3 months.</w:t>
      </w:r>
    </w:p>
    <w:p w14:paraId="3C14515D" w14:textId="77777777" w:rsidR="0064232B" w:rsidRPr="0064232B" w:rsidRDefault="0064232B" w:rsidP="0064232B">
      <w:pPr>
        <w:numPr>
          <w:ilvl w:val="0"/>
          <w:numId w:val="18"/>
        </w:numPr>
        <w:contextualSpacing/>
        <w:rPr>
          <w:rFonts w:cs="Arial"/>
          <w:bCs/>
          <w:szCs w:val="20"/>
        </w:rPr>
      </w:pPr>
      <w:r w:rsidRPr="0064232B">
        <w:rPr>
          <w:rFonts w:cs="Arial"/>
        </w:rPr>
        <w:t>Additional approval criteria for participants aged 18 years or older with normal baseline phosphorus levels:</w:t>
      </w:r>
    </w:p>
    <w:p w14:paraId="72823100" w14:textId="77777777" w:rsidR="0064232B" w:rsidRPr="0064232B" w:rsidRDefault="0064232B" w:rsidP="0064232B">
      <w:pPr>
        <w:numPr>
          <w:ilvl w:val="1"/>
          <w:numId w:val="18"/>
        </w:numPr>
        <w:ind w:left="720"/>
        <w:contextualSpacing/>
        <w:rPr>
          <w:rFonts w:cs="Arial"/>
          <w:bCs/>
          <w:szCs w:val="20"/>
        </w:rPr>
      </w:pPr>
      <w:r w:rsidRPr="0064232B">
        <w:rPr>
          <w:rFonts w:cs="Arial"/>
          <w:bCs/>
          <w:szCs w:val="20"/>
        </w:rPr>
        <w:t xml:space="preserve">Documentation of </w:t>
      </w:r>
      <w:proofErr w:type="gramStart"/>
      <w:r w:rsidRPr="0064232B">
        <w:rPr>
          <w:rFonts w:cs="Arial"/>
          <w:bCs/>
          <w:szCs w:val="20"/>
        </w:rPr>
        <w:t>benefit</w:t>
      </w:r>
      <w:proofErr w:type="gramEnd"/>
      <w:r w:rsidRPr="0064232B">
        <w:rPr>
          <w:rFonts w:cs="Arial"/>
          <w:bCs/>
          <w:szCs w:val="20"/>
        </w:rPr>
        <w:t xml:space="preserve"> of therapy (examples include but are not limited to maintenance of reduced pain complaints, improved mobility, stamina, or improving rickets on radiographic evaluation when compared to baseline)</w:t>
      </w:r>
    </w:p>
    <w:p w14:paraId="079ED380" w14:textId="77777777" w:rsidR="0064232B" w:rsidRPr="0064232B" w:rsidRDefault="0064232B" w:rsidP="0064232B">
      <w:pPr>
        <w:numPr>
          <w:ilvl w:val="0"/>
          <w:numId w:val="18"/>
        </w:numPr>
        <w:contextualSpacing/>
        <w:rPr>
          <w:rFonts w:cs="Arial"/>
          <w:bCs/>
          <w:szCs w:val="20"/>
        </w:rPr>
      </w:pPr>
      <w:r w:rsidRPr="0064232B">
        <w:rPr>
          <w:rFonts w:cs="Arial"/>
          <w:bCs/>
          <w:szCs w:val="20"/>
        </w:rPr>
        <w:t>Continuation approval period: 12 months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127182CC" w14:textId="77777777" w:rsidR="00447241" w:rsidRPr="00447241" w:rsidRDefault="00447241" w:rsidP="00447241">
      <w:pPr>
        <w:numPr>
          <w:ilvl w:val="0"/>
          <w:numId w:val="19"/>
        </w:numPr>
        <w:contextualSpacing/>
        <w:rPr>
          <w:rFonts w:cs="Arial"/>
          <w:noProof/>
          <w:szCs w:val="20"/>
        </w:rPr>
      </w:pPr>
      <w:r w:rsidRPr="00447241">
        <w:rPr>
          <w:rFonts w:cs="Arial"/>
          <w:noProof/>
          <w:szCs w:val="20"/>
        </w:rPr>
        <w:t>Therapy will deny with presence of one of the following:</w:t>
      </w:r>
    </w:p>
    <w:p w14:paraId="27B38056" w14:textId="77777777" w:rsidR="00447241" w:rsidRPr="00447241" w:rsidRDefault="00447241" w:rsidP="00447241">
      <w:pPr>
        <w:numPr>
          <w:ilvl w:val="1"/>
          <w:numId w:val="19"/>
        </w:numPr>
        <w:tabs>
          <w:tab w:val="left" w:pos="990"/>
        </w:tabs>
        <w:contextualSpacing/>
        <w:rPr>
          <w:rFonts w:cs="Arial"/>
          <w:noProof/>
          <w:szCs w:val="20"/>
        </w:rPr>
      </w:pPr>
      <w:r w:rsidRPr="00447241">
        <w:rPr>
          <w:rFonts w:cs="Arial"/>
          <w:noProof/>
          <w:szCs w:val="20"/>
        </w:rPr>
        <w:t xml:space="preserve">Any approval criteria are not met, </w:t>
      </w:r>
      <w:r w:rsidRPr="00447241">
        <w:rPr>
          <w:rFonts w:cs="Arial"/>
          <w:b/>
          <w:bCs/>
          <w:noProof/>
          <w:szCs w:val="20"/>
        </w:rPr>
        <w:t>OR</w:t>
      </w:r>
    </w:p>
    <w:p w14:paraId="2C4F2DDF" w14:textId="77777777" w:rsidR="00447241" w:rsidRPr="00447241" w:rsidRDefault="00447241" w:rsidP="00447241">
      <w:pPr>
        <w:numPr>
          <w:ilvl w:val="1"/>
          <w:numId w:val="19"/>
        </w:numPr>
        <w:tabs>
          <w:tab w:val="left" w:pos="990"/>
        </w:tabs>
        <w:contextualSpacing/>
        <w:rPr>
          <w:rFonts w:cs="Arial"/>
          <w:noProof/>
          <w:szCs w:val="20"/>
        </w:rPr>
      </w:pPr>
      <w:r w:rsidRPr="00447241">
        <w:rPr>
          <w:rFonts w:cs="Arial"/>
          <w:noProof/>
          <w:szCs w:val="20"/>
        </w:rPr>
        <w:t>Documented diagnosis of severe renal imparment or end stage renal disease.</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67EA364" w:rsidR="00343D6B" w:rsidRPr="00C02553" w:rsidRDefault="00343D6B" w:rsidP="00696E3A">
      <w:r w:rsidRPr="00696E3A">
        <w:rPr>
          <w:b/>
          <w:bCs/>
        </w:rPr>
        <w:t>Default Approval Period:</w:t>
      </w:r>
      <w:r w:rsidR="00973BD6">
        <w:t xml:space="preserve"> </w:t>
      </w:r>
      <w:r w:rsidR="00087DE0" w:rsidRPr="00087DE0">
        <w:t>4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9FE4882" w14:textId="25206B19" w:rsidR="00842596" w:rsidRDefault="00842596" w:rsidP="00842596">
      <w:pPr>
        <w:pStyle w:val="ListParagraph"/>
      </w:pPr>
      <w:r>
        <w:t xml:space="preserve">CRYSVITA® (burosumab-twza) injection, [package insert]. Bedminster, NJ: Kyowa Kirin, Inc.; </w:t>
      </w:r>
      <w:r w:rsidR="005140BB">
        <w:t>April</w:t>
      </w:r>
      <w:r>
        <w:t xml:space="preserve"> 202</w:t>
      </w:r>
      <w:r w:rsidR="005140BB">
        <w:t>6</w:t>
      </w:r>
      <w:r>
        <w:t>.</w:t>
      </w:r>
    </w:p>
    <w:p w14:paraId="2B309FD5" w14:textId="77777777" w:rsidR="00842596" w:rsidRDefault="00842596" w:rsidP="00842596">
      <w:pPr>
        <w:pStyle w:val="ListParagraph"/>
      </w:pPr>
      <w:r>
        <w:t>IPD Analytics.  New Drug Approval: Crysvita (burosumab).  May 2018.</w:t>
      </w:r>
    </w:p>
    <w:p w14:paraId="03708AEB" w14:textId="77777777" w:rsidR="00842596" w:rsidRDefault="00842596" w:rsidP="00842596">
      <w:pPr>
        <w:pStyle w:val="ListParagraph"/>
      </w:pPr>
      <w:r>
        <w:t xml:space="preserve">IPD Analytics.  Endocrine and Metabolic Agents: Rickets/Osteomalacia.  </w:t>
      </w:r>
    </w:p>
    <w:p w14:paraId="0F8E195D" w14:textId="40619D14" w:rsidR="00842596" w:rsidRDefault="00842596" w:rsidP="00842596">
      <w:pPr>
        <w:pStyle w:val="ListParagraph"/>
      </w:pPr>
      <w:r>
        <w:t>Genetic and Rare Diseases (GARD) Information Center. X-linked hypophosphatemia.  https://rarediseases.info.nih.gov/diseases/12943/x-linked-hypophosphatemia.  June 2024.  Accessed June 1, 202</w:t>
      </w:r>
      <w:r w:rsidR="00EC68B3">
        <w:t>6</w:t>
      </w:r>
      <w:r>
        <w:t>.</w:t>
      </w:r>
    </w:p>
    <w:p w14:paraId="596FBCE8" w14:textId="77777777" w:rsidR="00842596" w:rsidRDefault="00842596" w:rsidP="00842596">
      <w:pPr>
        <w:pStyle w:val="ListParagraph"/>
      </w:pPr>
      <w:r>
        <w:lastRenderedPageBreak/>
        <w:t>Haffner D, Emma F, Eastwood DM, et al. Clinical practice recommendations for the diagnosis and management of X-linked hypophosphataemia. Nat Rev Nephrol. 2019;15(7):435</w:t>
      </w:r>
      <w:r>
        <w:rPr>
          <w:rFonts w:ascii="Cambria Math" w:hAnsi="Cambria Math" w:cs="Cambria Math"/>
        </w:rPr>
        <w:t>‐</w:t>
      </w:r>
      <w:r>
        <w:t>455. doi:10.1038/s41581-019-0152-5.</w:t>
      </w:r>
    </w:p>
    <w:p w14:paraId="3FA1E7DB" w14:textId="33C3CF8E" w:rsidR="00777CA4" w:rsidRDefault="00777CA4" w:rsidP="00842596">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B318A" w14:textId="77777777" w:rsidR="00B606C6" w:rsidRPr="00C02553" w:rsidRDefault="00B606C6" w:rsidP="00AE77DB">
      <w:r w:rsidRPr="00C02553">
        <w:separator/>
      </w:r>
    </w:p>
  </w:endnote>
  <w:endnote w:type="continuationSeparator" w:id="0">
    <w:p w14:paraId="35DD6F3D" w14:textId="77777777" w:rsidR="00B606C6" w:rsidRPr="00C02553" w:rsidRDefault="00B606C6" w:rsidP="00AE77DB">
      <w:r w:rsidRPr="00C02553">
        <w:continuationSeparator/>
      </w:r>
    </w:p>
  </w:endnote>
  <w:endnote w:type="continuationNotice" w:id="1">
    <w:p w14:paraId="4C67E05A" w14:textId="77777777" w:rsidR="00B606C6" w:rsidRPr="00C02553" w:rsidRDefault="00B606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A63F7" w14:textId="77777777" w:rsidR="00B606C6" w:rsidRPr="00C02553" w:rsidRDefault="00B606C6" w:rsidP="00AE77DB">
      <w:r w:rsidRPr="00C02553">
        <w:separator/>
      </w:r>
    </w:p>
  </w:footnote>
  <w:footnote w:type="continuationSeparator" w:id="0">
    <w:p w14:paraId="5983CA8E" w14:textId="77777777" w:rsidR="00B606C6" w:rsidRPr="00C02553" w:rsidRDefault="00B606C6" w:rsidP="00AE77DB">
      <w:r w:rsidRPr="00C02553">
        <w:continuationSeparator/>
      </w:r>
    </w:p>
  </w:footnote>
  <w:footnote w:type="continuationNotice" w:id="1">
    <w:p w14:paraId="548001B0" w14:textId="77777777" w:rsidR="00B606C6" w:rsidRPr="00C02553" w:rsidRDefault="00B606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C774EF">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C774EF">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C774EF">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EDB6316"/>
    <w:multiLevelType w:val="hybridMultilevel"/>
    <w:tmpl w:val="259E70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218667C"/>
    <w:multiLevelType w:val="hybridMultilevel"/>
    <w:tmpl w:val="D9ECF1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9"/>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1"/>
  </w:num>
  <w:num w:numId="10" w16cid:durableId="917518096">
    <w:abstractNumId w:val="10"/>
  </w:num>
  <w:num w:numId="11" w16cid:durableId="1894998475">
    <w:abstractNumId w:val="1"/>
  </w:num>
  <w:num w:numId="12" w16cid:durableId="1418215296">
    <w:abstractNumId w:val="16"/>
  </w:num>
  <w:num w:numId="13" w16cid:durableId="604729665">
    <w:abstractNumId w:val="5"/>
  </w:num>
  <w:num w:numId="14" w16cid:durableId="1805081292">
    <w:abstractNumId w:val="13"/>
  </w:num>
  <w:num w:numId="15" w16cid:durableId="1911186802">
    <w:abstractNumId w:val="6"/>
  </w:num>
  <w:num w:numId="16" w16cid:durableId="1984847590">
    <w:abstractNumId w:val="15"/>
  </w:num>
  <w:num w:numId="17" w16cid:durableId="522940017">
    <w:abstractNumId w:val="12"/>
  </w:num>
  <w:num w:numId="18" w16cid:durableId="1367288121">
    <w:abstractNumId w:val="8"/>
  </w:num>
  <w:num w:numId="19" w16cid:durableId="813451344">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8j6ydZB3kci4GY0Ejeu9QfooGBGul3pZu4HYGq0lStBbdXCSJvvKGuoipOUys3/+BSgNgJrT3Iubn+hs7Ay+JA==" w:salt="dAs4jzJT9VT2m782k4wUuA=="/>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3807"/>
    <w:rsid w:val="000572E5"/>
    <w:rsid w:val="00061541"/>
    <w:rsid w:val="00064162"/>
    <w:rsid w:val="00065C22"/>
    <w:rsid w:val="00074464"/>
    <w:rsid w:val="00076030"/>
    <w:rsid w:val="00082590"/>
    <w:rsid w:val="00087DE0"/>
    <w:rsid w:val="000913C3"/>
    <w:rsid w:val="000953B9"/>
    <w:rsid w:val="000A2D17"/>
    <w:rsid w:val="000A413B"/>
    <w:rsid w:val="000A6279"/>
    <w:rsid w:val="000A6BCC"/>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576B6"/>
    <w:rsid w:val="00172053"/>
    <w:rsid w:val="00177A80"/>
    <w:rsid w:val="001808B8"/>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4594"/>
    <w:rsid w:val="00206E7D"/>
    <w:rsid w:val="00217E14"/>
    <w:rsid w:val="00217EFD"/>
    <w:rsid w:val="00222134"/>
    <w:rsid w:val="0022233F"/>
    <w:rsid w:val="00226275"/>
    <w:rsid w:val="00231E3E"/>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E7157"/>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57FEB"/>
    <w:rsid w:val="00360314"/>
    <w:rsid w:val="003608B5"/>
    <w:rsid w:val="003613AF"/>
    <w:rsid w:val="003878C1"/>
    <w:rsid w:val="00396C0B"/>
    <w:rsid w:val="003A630F"/>
    <w:rsid w:val="003B3958"/>
    <w:rsid w:val="003B4820"/>
    <w:rsid w:val="003B5F4B"/>
    <w:rsid w:val="003B682F"/>
    <w:rsid w:val="003C53FC"/>
    <w:rsid w:val="003C7013"/>
    <w:rsid w:val="003D4704"/>
    <w:rsid w:val="003D641B"/>
    <w:rsid w:val="003F227C"/>
    <w:rsid w:val="004013B8"/>
    <w:rsid w:val="004023CC"/>
    <w:rsid w:val="00407564"/>
    <w:rsid w:val="00411152"/>
    <w:rsid w:val="004156AA"/>
    <w:rsid w:val="004253A1"/>
    <w:rsid w:val="004313B6"/>
    <w:rsid w:val="00433339"/>
    <w:rsid w:val="00446BBC"/>
    <w:rsid w:val="004471BA"/>
    <w:rsid w:val="00447241"/>
    <w:rsid w:val="004472C0"/>
    <w:rsid w:val="00450705"/>
    <w:rsid w:val="00451928"/>
    <w:rsid w:val="00460B5D"/>
    <w:rsid w:val="00464BB4"/>
    <w:rsid w:val="0046618B"/>
    <w:rsid w:val="00483C53"/>
    <w:rsid w:val="0048608C"/>
    <w:rsid w:val="00496E57"/>
    <w:rsid w:val="004B3E10"/>
    <w:rsid w:val="004C0F5D"/>
    <w:rsid w:val="004C375A"/>
    <w:rsid w:val="004C4954"/>
    <w:rsid w:val="004C5767"/>
    <w:rsid w:val="004D0080"/>
    <w:rsid w:val="004D5322"/>
    <w:rsid w:val="004D78B0"/>
    <w:rsid w:val="004E611F"/>
    <w:rsid w:val="004F2A79"/>
    <w:rsid w:val="004F4D37"/>
    <w:rsid w:val="00501A14"/>
    <w:rsid w:val="00501DE3"/>
    <w:rsid w:val="005058CB"/>
    <w:rsid w:val="00505DE8"/>
    <w:rsid w:val="0051044D"/>
    <w:rsid w:val="005139E4"/>
    <w:rsid w:val="005140BB"/>
    <w:rsid w:val="00515075"/>
    <w:rsid w:val="00516D12"/>
    <w:rsid w:val="00520FE9"/>
    <w:rsid w:val="005233E7"/>
    <w:rsid w:val="00526C8D"/>
    <w:rsid w:val="005328B2"/>
    <w:rsid w:val="00535BD5"/>
    <w:rsid w:val="00540977"/>
    <w:rsid w:val="00551668"/>
    <w:rsid w:val="0055358F"/>
    <w:rsid w:val="005572D5"/>
    <w:rsid w:val="00566BE4"/>
    <w:rsid w:val="00570D21"/>
    <w:rsid w:val="00576113"/>
    <w:rsid w:val="00590652"/>
    <w:rsid w:val="005916DF"/>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07C66"/>
    <w:rsid w:val="00612A7B"/>
    <w:rsid w:val="00616E5E"/>
    <w:rsid w:val="006173A4"/>
    <w:rsid w:val="006205AD"/>
    <w:rsid w:val="00625C3A"/>
    <w:rsid w:val="00635DDB"/>
    <w:rsid w:val="0064149A"/>
    <w:rsid w:val="0064232B"/>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164AD"/>
    <w:rsid w:val="00721367"/>
    <w:rsid w:val="007231FA"/>
    <w:rsid w:val="00724898"/>
    <w:rsid w:val="00732C67"/>
    <w:rsid w:val="00734418"/>
    <w:rsid w:val="00757826"/>
    <w:rsid w:val="00762617"/>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C0CA0"/>
    <w:rsid w:val="007D2920"/>
    <w:rsid w:val="007D42DD"/>
    <w:rsid w:val="007E6A37"/>
    <w:rsid w:val="007F1774"/>
    <w:rsid w:val="007F593C"/>
    <w:rsid w:val="00811A70"/>
    <w:rsid w:val="0081406E"/>
    <w:rsid w:val="00832211"/>
    <w:rsid w:val="008325F4"/>
    <w:rsid w:val="00832AC8"/>
    <w:rsid w:val="00842596"/>
    <w:rsid w:val="00846FA4"/>
    <w:rsid w:val="008524BA"/>
    <w:rsid w:val="00852B74"/>
    <w:rsid w:val="00856928"/>
    <w:rsid w:val="00865538"/>
    <w:rsid w:val="00870875"/>
    <w:rsid w:val="0088225C"/>
    <w:rsid w:val="008834E1"/>
    <w:rsid w:val="00884026"/>
    <w:rsid w:val="00884C78"/>
    <w:rsid w:val="008859E1"/>
    <w:rsid w:val="00896264"/>
    <w:rsid w:val="008A2549"/>
    <w:rsid w:val="008A5D88"/>
    <w:rsid w:val="008B2851"/>
    <w:rsid w:val="008C000E"/>
    <w:rsid w:val="008D0F2F"/>
    <w:rsid w:val="008D237F"/>
    <w:rsid w:val="008D3FD8"/>
    <w:rsid w:val="008D6B05"/>
    <w:rsid w:val="008E7D2D"/>
    <w:rsid w:val="008F1284"/>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1917"/>
    <w:rsid w:val="00984549"/>
    <w:rsid w:val="00985D28"/>
    <w:rsid w:val="00991BF0"/>
    <w:rsid w:val="009926A7"/>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80896"/>
    <w:rsid w:val="00A965CA"/>
    <w:rsid w:val="00AA70AB"/>
    <w:rsid w:val="00AB0B9F"/>
    <w:rsid w:val="00AB1713"/>
    <w:rsid w:val="00AB63BE"/>
    <w:rsid w:val="00AC1EBC"/>
    <w:rsid w:val="00AC2599"/>
    <w:rsid w:val="00AC2DE9"/>
    <w:rsid w:val="00AC312E"/>
    <w:rsid w:val="00AC3CD9"/>
    <w:rsid w:val="00AD2C5F"/>
    <w:rsid w:val="00AE1481"/>
    <w:rsid w:val="00AE27F9"/>
    <w:rsid w:val="00AE77DB"/>
    <w:rsid w:val="00AF7453"/>
    <w:rsid w:val="00B00FFF"/>
    <w:rsid w:val="00B06084"/>
    <w:rsid w:val="00B16735"/>
    <w:rsid w:val="00B17EDE"/>
    <w:rsid w:val="00B22585"/>
    <w:rsid w:val="00B33693"/>
    <w:rsid w:val="00B34C53"/>
    <w:rsid w:val="00B350D4"/>
    <w:rsid w:val="00B366DD"/>
    <w:rsid w:val="00B507A5"/>
    <w:rsid w:val="00B52475"/>
    <w:rsid w:val="00B535DA"/>
    <w:rsid w:val="00B56DCC"/>
    <w:rsid w:val="00B56F54"/>
    <w:rsid w:val="00B606C6"/>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167E6"/>
    <w:rsid w:val="00C16A95"/>
    <w:rsid w:val="00C2586C"/>
    <w:rsid w:val="00C26001"/>
    <w:rsid w:val="00C34E72"/>
    <w:rsid w:val="00C56B1F"/>
    <w:rsid w:val="00C61B52"/>
    <w:rsid w:val="00C62745"/>
    <w:rsid w:val="00C654CA"/>
    <w:rsid w:val="00C763BD"/>
    <w:rsid w:val="00C774EF"/>
    <w:rsid w:val="00C779A8"/>
    <w:rsid w:val="00C82E19"/>
    <w:rsid w:val="00C96873"/>
    <w:rsid w:val="00CA1735"/>
    <w:rsid w:val="00CA207E"/>
    <w:rsid w:val="00CA3C4B"/>
    <w:rsid w:val="00CA7252"/>
    <w:rsid w:val="00CB2C5A"/>
    <w:rsid w:val="00CE0C1C"/>
    <w:rsid w:val="00CE34AF"/>
    <w:rsid w:val="00CE4A1B"/>
    <w:rsid w:val="00CE6BB1"/>
    <w:rsid w:val="00CE7BAD"/>
    <w:rsid w:val="00CF00A4"/>
    <w:rsid w:val="00CF25FB"/>
    <w:rsid w:val="00CF614C"/>
    <w:rsid w:val="00CF6C6B"/>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72327"/>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C68B3"/>
    <w:rsid w:val="00ED760F"/>
    <w:rsid w:val="00ED7B42"/>
    <w:rsid w:val="00EE3EA5"/>
    <w:rsid w:val="00EE613F"/>
    <w:rsid w:val="00EE6BD1"/>
    <w:rsid w:val="00EF0262"/>
    <w:rsid w:val="00EF070C"/>
    <w:rsid w:val="00EF0828"/>
    <w:rsid w:val="00EF6F8B"/>
    <w:rsid w:val="00F03898"/>
    <w:rsid w:val="00F1527A"/>
    <w:rsid w:val="00F2589B"/>
    <w:rsid w:val="00F2696B"/>
    <w:rsid w:val="00F27821"/>
    <w:rsid w:val="00F37B50"/>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607C66"/>
    <w:rPr>
      <w:sz w:val="16"/>
      <w:szCs w:val="16"/>
    </w:rPr>
  </w:style>
  <w:style w:type="paragraph" w:styleId="CommentSubject">
    <w:name w:val="annotation subject"/>
    <w:basedOn w:val="CommentText"/>
    <w:next w:val="CommentText"/>
    <w:link w:val="CommentSubjectChar"/>
    <w:uiPriority w:val="99"/>
    <w:semiHidden/>
    <w:unhideWhenUsed/>
    <w:rsid w:val="00607C66"/>
    <w:rPr>
      <w:b/>
      <w:bCs/>
    </w:rPr>
  </w:style>
  <w:style w:type="character" w:customStyle="1" w:styleId="CommentTextChar">
    <w:name w:val="Comment Text Char"/>
    <w:basedOn w:val="DefaultParagraphFont"/>
    <w:link w:val="CommentText"/>
    <w:semiHidden/>
    <w:rsid w:val="00607C66"/>
    <w:rPr>
      <w:rFonts w:ascii="Arial" w:hAnsi="Arial"/>
    </w:rPr>
  </w:style>
  <w:style w:type="character" w:customStyle="1" w:styleId="CommentSubjectChar">
    <w:name w:val="Comment Subject Char"/>
    <w:basedOn w:val="CommentTextChar"/>
    <w:link w:val="CommentSubject"/>
    <w:uiPriority w:val="99"/>
    <w:semiHidden/>
    <w:rsid w:val="00607C6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purl.org/dc/dcmitype/"/>
    <ds:schemaRef ds:uri="http://schemas.microsoft.com/office/2006/documentManagement/types"/>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http://schemas.openxmlformats.org/package/2006/metadata/core-properties"/>
    <ds:schemaRef ds:uri="f5eefb00-5952-4f7e-8cf8-96f81cfadd01"/>
    <ds:schemaRef ds:uri="aba01ddc-ae9a-4c9e-819c-7140b4239cde"/>
    <ds:schemaRef ds:uri="http://www.w3.org/XML/1998/namespace"/>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9514D854-1278-4D3A-B7FF-AFB925248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64</TotalTime>
  <Pages>3</Pages>
  <Words>696</Words>
  <Characters>4205</Characters>
  <Application>Microsoft Office Word</Application>
  <DocSecurity>10</DocSecurity>
  <Lines>35</Lines>
  <Paragraphs>9</Paragraphs>
  <ScaleCrop>false</ScaleCrop>
  <HeadingPairs>
    <vt:vector size="2" baseType="variant">
      <vt:variant>
        <vt:lpstr>Title</vt:lpstr>
      </vt:variant>
      <vt:variant>
        <vt:i4>1</vt:i4>
      </vt:variant>
    </vt:vector>
  </HeadingPairs>
  <TitlesOfParts>
    <vt:vector size="1" baseType="lpstr">
      <vt:lpstr>Crysvita_July 2026_Proposal</vt:lpstr>
    </vt:vector>
  </TitlesOfParts>
  <Company>DSS</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Crysvita_July 2026_Proposal</dc:title>
  <dc:subject/>
  <dc:creator>DMS</dc:creator>
  <cp:keywords/>
  <cp:lastModifiedBy>Heriford, Katherine</cp:lastModifiedBy>
  <cp:revision>43</cp:revision>
  <cp:lastPrinted>2018-10-31T18:17:00Z</cp:lastPrinted>
  <dcterms:created xsi:type="dcterms:W3CDTF">2025-11-19T15:39:00Z</dcterms:created>
  <dcterms:modified xsi:type="dcterms:W3CDTF">2026-07-06T17:17:00Z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