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75DE6C4E"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5F1FF3">
        <w:rPr>
          <w:rFonts w:ascii="Tahoma" w:hAnsi="Tahoma" w:cs="Tahoma"/>
          <w:b/>
          <w:bCs/>
          <w:sz w:val="23"/>
          <w:szCs w:val="23"/>
        </w:rPr>
        <w:t>49</w:t>
      </w:r>
      <w:r w:rsidRPr="00C15D2B">
        <w:rPr>
          <w:rFonts w:ascii="Tahoma" w:hAnsi="Tahoma" w:cs="Tahoma"/>
          <w:b/>
          <w:bCs/>
          <w:sz w:val="23"/>
          <w:szCs w:val="23"/>
        </w:rPr>
        <w:t xml:space="preserve"> Number </w:t>
      </w:r>
      <w:r w:rsidR="005F1FF3">
        <w:rPr>
          <w:rFonts w:ascii="Tahoma" w:hAnsi="Tahoma" w:cs="Tahoma"/>
          <w:b/>
          <w:bCs/>
          <w:sz w:val="23"/>
          <w:szCs w:val="23"/>
        </w:rPr>
        <w:t>02</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5368935C" w:rsidR="00C15D2B" w:rsidRDefault="00822309" w:rsidP="00C15D2B">
      <w:pPr>
        <w:spacing w:before="0" w:line="240" w:lineRule="auto"/>
        <w:jc w:val="center"/>
        <w:rPr>
          <w:rFonts w:ascii="Tahoma" w:hAnsi="Tahoma" w:cs="Tahoma"/>
          <w:b/>
          <w:bCs/>
          <w:sz w:val="32"/>
          <w:szCs w:val="32"/>
        </w:rPr>
      </w:pPr>
      <w:r>
        <w:rPr>
          <w:rFonts w:ascii="Tahoma" w:hAnsi="Tahoma" w:cs="Tahoma"/>
          <w:b/>
          <w:bCs/>
          <w:sz w:val="32"/>
          <w:szCs w:val="32"/>
        </w:rPr>
        <w:t xml:space="preserve">Participant Liability and Billing </w:t>
      </w:r>
    </w:p>
    <w:p w14:paraId="245D3058" w14:textId="7FC32242" w:rsidR="00C84852" w:rsidRPr="00C15D2B" w:rsidRDefault="005F1FF3"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Application for: MO</w:t>
      </w:r>
      <w:r w:rsidR="00822309">
        <w:rPr>
          <w:rFonts w:ascii="Tahoma" w:hAnsi="Tahoma" w:cs="Tahoma"/>
          <w:bCs/>
          <w:sz w:val="24"/>
          <w:szCs w:val="24"/>
        </w:rPr>
        <w:t xml:space="preserve"> HealthNet Providers</w:t>
      </w:r>
    </w:p>
    <w:p w14:paraId="5CBDDB91" w14:textId="168F1C42" w:rsidR="00C15D2B" w:rsidRPr="00C15D2B" w:rsidRDefault="00C15D2B" w:rsidP="00C15D2B">
      <w:pPr>
        <w:spacing w:before="0" w:line="240" w:lineRule="auto"/>
        <w:rPr>
          <w:rFonts w:ascii="Tahoma" w:hAnsi="Tahoma" w:cs="Tahoma"/>
        </w:rPr>
      </w:pPr>
      <w:r w:rsidRPr="00C15D2B">
        <w:rPr>
          <w:rFonts w:ascii="Tahoma" w:hAnsi="Tahoma" w:cs="Tahoma"/>
          <w:b/>
          <w:bCs/>
        </w:rPr>
        <w:t>Posted date:</w:t>
      </w:r>
      <w:r w:rsidR="005F1FF3">
        <w:rPr>
          <w:rFonts w:ascii="Tahoma" w:hAnsi="Tahoma" w:cs="Tahoma"/>
          <w:b/>
          <w:bCs/>
        </w:rPr>
        <w:t xml:space="preserve"> </w:t>
      </w:r>
      <w:r w:rsidR="00542072">
        <w:rPr>
          <w:rFonts w:ascii="Tahoma" w:hAnsi="Tahoma" w:cs="Tahoma"/>
          <w:b/>
          <w:bCs/>
        </w:rPr>
        <w:t>July 9</w:t>
      </w:r>
      <w:r w:rsidR="00822309">
        <w:rPr>
          <w:rFonts w:ascii="Tahoma" w:hAnsi="Tahoma" w:cs="Tahoma"/>
          <w:b/>
          <w:bCs/>
        </w:rPr>
        <w:t>, 2026</w:t>
      </w:r>
    </w:p>
    <w:p w14:paraId="36D30714" w14:textId="0B3BBEF6"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822309">
        <w:rPr>
          <w:rFonts w:ascii="Tahoma" w:hAnsi="Tahoma" w:cs="Tahoma"/>
          <w:bCs/>
          <w:sz w:val="24"/>
          <w:szCs w:val="24"/>
        </w:rPr>
        <w:t>Ongoing</w:t>
      </w:r>
    </w:p>
    <w:p w14:paraId="21930610" w14:textId="3E6ED2A2" w:rsidR="00C15D2B" w:rsidRPr="00822309" w:rsidRDefault="00822309" w:rsidP="00C15D2B">
      <w:pPr>
        <w:pStyle w:val="ListParagraph"/>
        <w:numPr>
          <w:ilvl w:val="0"/>
          <w:numId w:val="25"/>
        </w:numPr>
        <w:rPr>
          <w:rFonts w:ascii="Tahoma" w:hAnsi="Tahoma" w:cs="Tahoma"/>
          <w:sz w:val="23"/>
          <w:szCs w:val="23"/>
        </w:rPr>
      </w:pPr>
      <w:r w:rsidRPr="00822309">
        <w:rPr>
          <w:rFonts w:ascii="Tahoma" w:hAnsi="Tahoma" w:cs="Tahoma"/>
          <w:sz w:val="23"/>
          <w:szCs w:val="23"/>
        </w:rPr>
        <w:t>When Participants May Be Required to Pay</w:t>
      </w:r>
    </w:p>
    <w:p w14:paraId="7F26687A" w14:textId="23533BF4" w:rsidR="00C15D2B" w:rsidRPr="00822309" w:rsidRDefault="00822309" w:rsidP="00310D58">
      <w:pPr>
        <w:pStyle w:val="ListParagraph"/>
        <w:numPr>
          <w:ilvl w:val="0"/>
          <w:numId w:val="25"/>
        </w:numPr>
        <w:rPr>
          <w:rFonts w:ascii="Tahoma" w:hAnsi="Tahoma" w:cs="Tahoma"/>
          <w:sz w:val="23"/>
          <w:szCs w:val="23"/>
        </w:rPr>
      </w:pPr>
      <w:r w:rsidRPr="00822309">
        <w:rPr>
          <w:rFonts w:ascii="Tahoma" w:hAnsi="Tahoma" w:cs="Tahoma"/>
          <w:sz w:val="23"/>
          <w:szCs w:val="23"/>
        </w:rPr>
        <w:t>Other Insurance</w:t>
      </w:r>
    </w:p>
    <w:p w14:paraId="76514397" w14:textId="7D345D82" w:rsidR="00822309" w:rsidRPr="00822309" w:rsidRDefault="00822309" w:rsidP="00310D58">
      <w:pPr>
        <w:pStyle w:val="ListParagraph"/>
        <w:numPr>
          <w:ilvl w:val="0"/>
          <w:numId w:val="25"/>
        </w:numPr>
        <w:rPr>
          <w:rFonts w:ascii="Tahoma" w:hAnsi="Tahoma" w:cs="Tahoma"/>
          <w:sz w:val="23"/>
          <w:szCs w:val="23"/>
        </w:rPr>
      </w:pPr>
      <w:r w:rsidRPr="00822309">
        <w:rPr>
          <w:rFonts w:ascii="Tahoma" w:hAnsi="Tahoma" w:cs="Tahoma"/>
          <w:sz w:val="23"/>
          <w:szCs w:val="23"/>
        </w:rPr>
        <w:t>Covered Services</w:t>
      </w:r>
    </w:p>
    <w:p w14:paraId="22597D0E" w14:textId="366D7661" w:rsidR="00822309" w:rsidRPr="00822309" w:rsidRDefault="00822309" w:rsidP="00310D58">
      <w:pPr>
        <w:pStyle w:val="ListParagraph"/>
        <w:numPr>
          <w:ilvl w:val="0"/>
          <w:numId w:val="25"/>
        </w:numPr>
        <w:rPr>
          <w:rFonts w:ascii="Tahoma" w:hAnsi="Tahoma" w:cs="Tahoma"/>
          <w:sz w:val="23"/>
          <w:szCs w:val="23"/>
        </w:rPr>
      </w:pPr>
      <w:r w:rsidRPr="00822309">
        <w:rPr>
          <w:rFonts w:ascii="Tahoma" w:hAnsi="Tahoma" w:cs="Tahoma"/>
          <w:sz w:val="23"/>
          <w:szCs w:val="23"/>
        </w:rPr>
        <w:t>Non-Covered Services</w:t>
      </w:r>
    </w:p>
    <w:p w14:paraId="6C78BAA8" w14:textId="77777777" w:rsidR="00822309" w:rsidRP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t>MO HealthNet participants may sometimes be responsible for payment of services. Providers should review the following guidance to ensure proper billing and participant notification.</w:t>
      </w:r>
    </w:p>
    <w:p w14:paraId="6E9DB69D" w14:textId="77777777" w:rsidR="00822309" w:rsidRPr="00822309" w:rsidRDefault="00822309" w:rsidP="00822309">
      <w:pPr>
        <w:pStyle w:val="NormalWeb"/>
        <w:spacing w:before="0" w:beforeAutospacing="0" w:after="0" w:afterAutospacing="0"/>
        <w:jc w:val="both"/>
        <w:rPr>
          <w:rStyle w:val="Strong"/>
          <w:rFonts w:ascii="Tahoma" w:hAnsi="Tahoma" w:cs="Tahoma"/>
          <w:sz w:val="23"/>
          <w:szCs w:val="23"/>
        </w:rPr>
      </w:pPr>
    </w:p>
    <w:p w14:paraId="3373A158" w14:textId="77777777" w:rsidR="00822309" w:rsidRPr="00822309" w:rsidRDefault="00822309" w:rsidP="00822309">
      <w:pPr>
        <w:pStyle w:val="NormalWeb"/>
        <w:spacing w:before="0" w:beforeAutospacing="0" w:after="0" w:afterAutospacing="0"/>
        <w:jc w:val="both"/>
        <w:rPr>
          <w:rFonts w:ascii="Tahoma" w:hAnsi="Tahoma" w:cs="Tahoma"/>
          <w:sz w:val="23"/>
          <w:szCs w:val="23"/>
          <w:u w:val="single"/>
        </w:rPr>
      </w:pPr>
      <w:r w:rsidRPr="00822309">
        <w:rPr>
          <w:rStyle w:val="Strong"/>
          <w:rFonts w:ascii="Tahoma" w:hAnsi="Tahoma" w:cs="Tahoma"/>
          <w:sz w:val="23"/>
          <w:szCs w:val="23"/>
          <w:u w:val="single"/>
        </w:rPr>
        <w:t>When Participants May Be Required to Pay</w:t>
      </w:r>
      <w:r w:rsidRPr="00822309">
        <w:rPr>
          <w:rFonts w:ascii="Tahoma" w:hAnsi="Tahoma" w:cs="Tahoma"/>
          <w:sz w:val="23"/>
          <w:szCs w:val="23"/>
          <w:u w:val="single"/>
        </w:rPr>
        <w:t xml:space="preserve"> </w:t>
      </w:r>
    </w:p>
    <w:p w14:paraId="76016DA1" w14:textId="77777777" w:rsid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t xml:space="preserve">Participants may be financially responsible if: </w:t>
      </w:r>
    </w:p>
    <w:p w14:paraId="29EA7B25" w14:textId="77777777" w:rsidR="00822309" w:rsidRPr="00822309" w:rsidRDefault="00822309" w:rsidP="00822309">
      <w:pPr>
        <w:pStyle w:val="NormalWeb"/>
        <w:spacing w:before="0" w:beforeAutospacing="0" w:after="0" w:afterAutospacing="0"/>
        <w:jc w:val="both"/>
        <w:rPr>
          <w:rFonts w:ascii="Tahoma" w:hAnsi="Tahoma" w:cs="Tahoma"/>
          <w:sz w:val="23"/>
          <w:szCs w:val="23"/>
        </w:rPr>
      </w:pPr>
    </w:p>
    <w:p w14:paraId="2FD7B053" w14:textId="77777777" w:rsidR="00822309" w:rsidRPr="00822309" w:rsidRDefault="00822309" w:rsidP="00822309">
      <w:pPr>
        <w:pStyle w:val="NormalWeb"/>
        <w:numPr>
          <w:ilvl w:val="0"/>
          <w:numId w:val="26"/>
        </w:numPr>
        <w:spacing w:before="0" w:beforeAutospacing="0" w:after="120" w:afterAutospacing="0"/>
        <w:jc w:val="both"/>
        <w:rPr>
          <w:rFonts w:ascii="Tahoma" w:hAnsi="Tahoma" w:cs="Tahoma"/>
          <w:sz w:val="23"/>
          <w:szCs w:val="23"/>
        </w:rPr>
      </w:pPr>
      <w:r w:rsidRPr="00822309">
        <w:rPr>
          <w:rFonts w:ascii="Tahoma" w:hAnsi="Tahoma" w:cs="Tahoma"/>
          <w:sz w:val="23"/>
          <w:szCs w:val="23"/>
        </w:rPr>
        <w:t xml:space="preserve">They choose services </w:t>
      </w:r>
      <w:r w:rsidRPr="00822309">
        <w:rPr>
          <w:rStyle w:val="Strong"/>
          <w:rFonts w:ascii="Tahoma" w:hAnsi="Tahoma" w:cs="Tahoma"/>
          <w:sz w:val="23"/>
          <w:szCs w:val="23"/>
        </w:rPr>
        <w:t>not covered</w:t>
      </w:r>
      <w:r w:rsidRPr="00822309">
        <w:rPr>
          <w:rFonts w:ascii="Tahoma" w:hAnsi="Tahoma" w:cs="Tahoma"/>
          <w:sz w:val="23"/>
          <w:szCs w:val="23"/>
        </w:rPr>
        <w:t xml:space="preserve"> by MO HealthNet</w:t>
      </w:r>
    </w:p>
    <w:p w14:paraId="52001141" w14:textId="3F3B9BD5" w:rsidR="00822309" w:rsidRPr="00542072" w:rsidRDefault="00822309" w:rsidP="00542072">
      <w:pPr>
        <w:pStyle w:val="NormalWeb"/>
        <w:numPr>
          <w:ilvl w:val="0"/>
          <w:numId w:val="26"/>
        </w:numPr>
        <w:spacing w:before="0" w:beforeAutospacing="0" w:after="120" w:afterAutospacing="0"/>
        <w:jc w:val="both"/>
        <w:rPr>
          <w:rFonts w:ascii="Tahoma" w:hAnsi="Tahoma" w:cs="Tahoma"/>
          <w:sz w:val="23"/>
          <w:szCs w:val="23"/>
        </w:rPr>
      </w:pPr>
      <w:r w:rsidRPr="00822309">
        <w:rPr>
          <w:rFonts w:ascii="Tahoma" w:hAnsi="Tahoma" w:cs="Tahoma"/>
          <w:sz w:val="23"/>
          <w:szCs w:val="23"/>
        </w:rPr>
        <w:t xml:space="preserve">They receive care from a </w:t>
      </w:r>
      <w:r w:rsidRPr="00822309">
        <w:rPr>
          <w:rStyle w:val="Strong"/>
          <w:rFonts w:ascii="Tahoma" w:hAnsi="Tahoma" w:cs="Tahoma"/>
          <w:b w:val="0"/>
          <w:bCs w:val="0"/>
          <w:sz w:val="23"/>
          <w:szCs w:val="23"/>
        </w:rPr>
        <w:t>non-MO HealthNet provider</w:t>
      </w:r>
      <w:r w:rsidRPr="00822309">
        <w:rPr>
          <w:rFonts w:ascii="Tahoma" w:hAnsi="Tahoma" w:cs="Tahoma"/>
          <w:sz w:val="23"/>
          <w:szCs w:val="23"/>
        </w:rPr>
        <w:t xml:space="preserve"> without required prior approval</w:t>
      </w:r>
    </w:p>
    <w:p w14:paraId="67A2CE7E" w14:textId="591A8ED0" w:rsidR="00822309" w:rsidRPr="00822309" w:rsidRDefault="00822309" w:rsidP="00822309">
      <w:pPr>
        <w:pStyle w:val="NormalWeb"/>
        <w:numPr>
          <w:ilvl w:val="0"/>
          <w:numId w:val="26"/>
        </w:numPr>
        <w:spacing w:before="0" w:beforeAutospacing="0" w:after="120" w:afterAutospacing="0"/>
        <w:jc w:val="both"/>
        <w:rPr>
          <w:rFonts w:ascii="Tahoma" w:hAnsi="Tahoma" w:cs="Tahoma"/>
          <w:sz w:val="23"/>
          <w:szCs w:val="23"/>
        </w:rPr>
      </w:pPr>
      <w:r w:rsidRPr="00822309">
        <w:rPr>
          <w:rFonts w:ascii="Tahoma" w:hAnsi="Tahoma" w:cs="Tahoma"/>
          <w:sz w:val="23"/>
          <w:szCs w:val="23"/>
        </w:rPr>
        <w:t xml:space="preserve">They have </w:t>
      </w:r>
      <w:r w:rsidR="00A73F5B">
        <w:rPr>
          <w:rFonts w:ascii="Tahoma" w:hAnsi="Tahoma" w:cs="Tahoma"/>
          <w:sz w:val="23"/>
          <w:szCs w:val="23"/>
        </w:rPr>
        <w:t>an</w:t>
      </w:r>
      <w:r w:rsidRPr="00822309">
        <w:rPr>
          <w:rFonts w:ascii="Tahoma" w:hAnsi="Tahoma" w:cs="Tahoma"/>
          <w:sz w:val="23"/>
          <w:szCs w:val="23"/>
        </w:rPr>
        <w:t>other health insurance policy and receive services from a provider that is not in the other policy’s provider network</w:t>
      </w:r>
    </w:p>
    <w:p w14:paraId="70C9A983" w14:textId="77777777" w:rsidR="00822309" w:rsidRPr="00822309" w:rsidRDefault="00822309" w:rsidP="00822309">
      <w:pPr>
        <w:pStyle w:val="NormalWeb"/>
        <w:spacing w:before="0" w:beforeAutospacing="0" w:after="0" w:afterAutospacing="0"/>
        <w:jc w:val="both"/>
        <w:rPr>
          <w:rStyle w:val="Strong"/>
          <w:rFonts w:ascii="Tahoma" w:hAnsi="Tahoma" w:cs="Tahoma"/>
          <w:sz w:val="23"/>
          <w:szCs w:val="23"/>
          <w:u w:val="single"/>
        </w:rPr>
      </w:pPr>
      <w:r w:rsidRPr="00822309">
        <w:rPr>
          <w:rStyle w:val="Strong"/>
          <w:rFonts w:ascii="Tahoma" w:hAnsi="Tahoma" w:cs="Tahoma"/>
          <w:sz w:val="23"/>
          <w:szCs w:val="23"/>
          <w:u w:val="single"/>
        </w:rPr>
        <w:t>Other Insurance</w:t>
      </w:r>
    </w:p>
    <w:p w14:paraId="0378F650" w14:textId="0B866AE9" w:rsidR="00822309" w:rsidRP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t xml:space="preserve">If a participant has </w:t>
      </w:r>
      <w:r w:rsidR="00A73F5B">
        <w:rPr>
          <w:rFonts w:ascii="Tahoma" w:hAnsi="Tahoma" w:cs="Tahoma"/>
          <w:sz w:val="23"/>
          <w:szCs w:val="23"/>
        </w:rPr>
        <w:t>an</w:t>
      </w:r>
      <w:r w:rsidRPr="00822309">
        <w:rPr>
          <w:rFonts w:ascii="Tahoma" w:hAnsi="Tahoma" w:cs="Tahoma"/>
          <w:sz w:val="23"/>
          <w:szCs w:val="23"/>
        </w:rPr>
        <w:t>other health insurance</w:t>
      </w:r>
      <w:r w:rsidR="00A73F5B">
        <w:rPr>
          <w:rFonts w:ascii="Tahoma" w:hAnsi="Tahoma" w:cs="Tahoma"/>
          <w:sz w:val="23"/>
          <w:szCs w:val="23"/>
        </w:rPr>
        <w:t xml:space="preserve"> policy</w:t>
      </w:r>
      <w:r w:rsidRPr="00822309">
        <w:rPr>
          <w:rFonts w:ascii="Tahoma" w:hAnsi="Tahoma" w:cs="Tahoma"/>
          <w:sz w:val="23"/>
          <w:szCs w:val="23"/>
        </w:rPr>
        <w:t xml:space="preserve">, that insurance must be billed </w:t>
      </w:r>
      <w:r w:rsidRPr="00822309">
        <w:rPr>
          <w:rStyle w:val="Strong"/>
          <w:rFonts w:ascii="Tahoma" w:hAnsi="Tahoma" w:cs="Tahoma"/>
          <w:sz w:val="23"/>
          <w:szCs w:val="23"/>
        </w:rPr>
        <w:t>first</w:t>
      </w:r>
      <w:r w:rsidRPr="00822309">
        <w:rPr>
          <w:rFonts w:ascii="Tahoma" w:hAnsi="Tahoma" w:cs="Tahoma"/>
          <w:sz w:val="23"/>
          <w:szCs w:val="23"/>
        </w:rPr>
        <w:t>. If the other insurance covers a service MO HealthNet does not, the participant may owe the remaining balance. Also, if the other health insurance company denies the claim because the provider is not in the other health insurance policy’s network, the participant may owe the unpaid balance.</w:t>
      </w:r>
    </w:p>
    <w:p w14:paraId="528E07F2" w14:textId="77777777" w:rsidR="00822309" w:rsidRP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br/>
        <w:t xml:space="preserve">Participants should present </w:t>
      </w:r>
      <w:r w:rsidRPr="00822309">
        <w:rPr>
          <w:rStyle w:val="Strong"/>
          <w:rFonts w:ascii="Tahoma" w:hAnsi="Tahoma" w:cs="Tahoma"/>
          <w:b w:val="0"/>
          <w:bCs w:val="0"/>
          <w:sz w:val="23"/>
          <w:szCs w:val="23"/>
        </w:rPr>
        <w:t>all insurance cards</w:t>
      </w:r>
      <w:r w:rsidRPr="00822309">
        <w:rPr>
          <w:rFonts w:ascii="Tahoma" w:hAnsi="Tahoma" w:cs="Tahoma"/>
          <w:b/>
          <w:bCs/>
          <w:sz w:val="23"/>
          <w:szCs w:val="23"/>
        </w:rPr>
        <w:t xml:space="preserve"> a</w:t>
      </w:r>
      <w:r w:rsidRPr="00822309">
        <w:rPr>
          <w:rFonts w:ascii="Tahoma" w:hAnsi="Tahoma" w:cs="Tahoma"/>
          <w:sz w:val="23"/>
          <w:szCs w:val="23"/>
        </w:rPr>
        <w:t xml:space="preserve">t each visit and must follow the rules of each policy (including network and prior authorization requirements). Refer to Section 5.4 (Commercial Health Care Plans) of the </w:t>
      </w:r>
      <w:hyperlink r:id="rId12" w:history="1">
        <w:r w:rsidRPr="00822309">
          <w:rPr>
            <w:rStyle w:val="Hyperlink"/>
            <w:rFonts w:ascii="Tahoma" w:hAnsi="Tahoma" w:cs="Tahoma"/>
            <w:sz w:val="23"/>
            <w:szCs w:val="23"/>
          </w:rPr>
          <w:t>MO HealthNet General Sections Manual</w:t>
        </w:r>
      </w:hyperlink>
      <w:r w:rsidRPr="00822309">
        <w:rPr>
          <w:rFonts w:ascii="Tahoma" w:hAnsi="Tahoma" w:cs="Tahoma"/>
          <w:sz w:val="23"/>
          <w:szCs w:val="23"/>
        </w:rPr>
        <w:t xml:space="preserve"> (GSM) for more information.</w:t>
      </w:r>
    </w:p>
    <w:p w14:paraId="2DD3A130" w14:textId="77777777" w:rsidR="00822309" w:rsidRPr="00822309" w:rsidRDefault="00822309" w:rsidP="00822309">
      <w:pPr>
        <w:pStyle w:val="NormalWeb"/>
        <w:spacing w:before="0" w:beforeAutospacing="0" w:after="0" w:afterAutospacing="0"/>
        <w:jc w:val="both"/>
        <w:rPr>
          <w:rFonts w:ascii="Tahoma" w:hAnsi="Tahoma" w:cs="Tahoma"/>
          <w:sz w:val="23"/>
          <w:szCs w:val="23"/>
        </w:rPr>
      </w:pPr>
    </w:p>
    <w:p w14:paraId="2ADB72D9" w14:textId="77777777" w:rsidR="00822309" w:rsidRPr="00822309" w:rsidRDefault="00822309" w:rsidP="00822309">
      <w:pPr>
        <w:pStyle w:val="NormalWeb"/>
        <w:spacing w:before="0" w:beforeAutospacing="0" w:after="0" w:afterAutospacing="0"/>
        <w:jc w:val="both"/>
        <w:rPr>
          <w:rFonts w:ascii="Tahoma" w:hAnsi="Tahoma" w:cs="Tahoma"/>
          <w:sz w:val="23"/>
          <w:szCs w:val="23"/>
          <w:u w:val="single"/>
        </w:rPr>
      </w:pPr>
      <w:r w:rsidRPr="00822309">
        <w:rPr>
          <w:rStyle w:val="Strong"/>
          <w:rFonts w:ascii="Tahoma" w:hAnsi="Tahoma" w:cs="Tahoma"/>
          <w:sz w:val="23"/>
          <w:szCs w:val="23"/>
          <w:u w:val="single"/>
        </w:rPr>
        <w:t>Covered Services</w:t>
      </w:r>
    </w:p>
    <w:p w14:paraId="3FD1C274" w14:textId="77777777" w:rsidR="00822309" w:rsidRP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t xml:space="preserve">Participants should </w:t>
      </w:r>
      <w:r w:rsidRPr="00822309">
        <w:rPr>
          <w:rStyle w:val="Strong"/>
          <w:rFonts w:ascii="Tahoma" w:hAnsi="Tahoma" w:cs="Tahoma"/>
          <w:sz w:val="23"/>
          <w:szCs w:val="23"/>
        </w:rPr>
        <w:t>not</w:t>
      </w:r>
      <w:r w:rsidRPr="00822309">
        <w:rPr>
          <w:rFonts w:ascii="Tahoma" w:hAnsi="Tahoma" w:cs="Tahoma"/>
          <w:b/>
          <w:bCs/>
          <w:sz w:val="23"/>
          <w:szCs w:val="23"/>
        </w:rPr>
        <w:t xml:space="preserve"> </w:t>
      </w:r>
      <w:r w:rsidRPr="00822309">
        <w:rPr>
          <w:rFonts w:ascii="Tahoma" w:hAnsi="Tahoma" w:cs="Tahoma"/>
          <w:sz w:val="23"/>
          <w:szCs w:val="23"/>
        </w:rPr>
        <w:t xml:space="preserve">be billed for covered MO HealthNet services, even if MO HealthNet does not pay the provider or the provider’s charge is higher than the MO HealthNet payment. Refer to Section 5 (Third Party Liability, Participants Liability When There is a Third Party Resource), of the </w:t>
      </w:r>
      <w:bookmarkStart w:id="0" w:name="_Hlk232493309"/>
      <w:r w:rsidRPr="00822309">
        <w:rPr>
          <w:rFonts w:ascii="Tahoma" w:hAnsi="Tahoma" w:cs="Tahoma"/>
          <w:sz w:val="23"/>
          <w:szCs w:val="23"/>
        </w:rPr>
        <w:fldChar w:fldCharType="begin"/>
      </w:r>
      <w:r w:rsidRPr="00822309">
        <w:rPr>
          <w:rFonts w:ascii="Tahoma" w:hAnsi="Tahoma" w:cs="Tahoma"/>
          <w:sz w:val="23"/>
          <w:szCs w:val="23"/>
        </w:rPr>
        <w:instrText>HYPERLINK "https://mydss.mo.gov/media/file/general-sections-provider-manual"</w:instrText>
      </w:r>
      <w:r w:rsidRPr="00822309">
        <w:rPr>
          <w:rFonts w:ascii="Tahoma" w:hAnsi="Tahoma" w:cs="Tahoma"/>
          <w:sz w:val="23"/>
          <w:szCs w:val="23"/>
        </w:rPr>
      </w:r>
      <w:r w:rsidRPr="00822309">
        <w:rPr>
          <w:rFonts w:ascii="Tahoma" w:hAnsi="Tahoma" w:cs="Tahoma"/>
          <w:sz w:val="23"/>
          <w:szCs w:val="23"/>
        </w:rPr>
        <w:fldChar w:fldCharType="separate"/>
      </w:r>
      <w:r w:rsidRPr="00822309">
        <w:rPr>
          <w:rStyle w:val="Hyperlink"/>
          <w:rFonts w:ascii="Tahoma" w:hAnsi="Tahoma" w:cs="Tahoma"/>
          <w:sz w:val="23"/>
          <w:szCs w:val="23"/>
        </w:rPr>
        <w:t>GSM</w:t>
      </w:r>
      <w:r w:rsidRPr="00822309">
        <w:rPr>
          <w:rFonts w:ascii="Tahoma" w:hAnsi="Tahoma" w:cs="Tahoma"/>
          <w:sz w:val="23"/>
          <w:szCs w:val="23"/>
        </w:rPr>
        <w:fldChar w:fldCharType="end"/>
      </w:r>
      <w:bookmarkEnd w:id="0"/>
      <w:r w:rsidRPr="00822309">
        <w:rPr>
          <w:rFonts w:ascii="Tahoma" w:hAnsi="Tahoma" w:cs="Tahoma"/>
          <w:sz w:val="23"/>
          <w:szCs w:val="23"/>
        </w:rPr>
        <w:t xml:space="preserve"> for additional information. </w:t>
      </w:r>
    </w:p>
    <w:p w14:paraId="6D1DAAE3" w14:textId="77777777" w:rsidR="00822309" w:rsidRPr="00822309" w:rsidRDefault="00822309" w:rsidP="00822309">
      <w:pPr>
        <w:pStyle w:val="NormalWeb"/>
        <w:spacing w:before="0" w:beforeAutospacing="0" w:after="0" w:afterAutospacing="0"/>
        <w:jc w:val="both"/>
        <w:rPr>
          <w:rFonts w:ascii="Tahoma" w:hAnsi="Tahoma" w:cs="Tahoma"/>
          <w:sz w:val="23"/>
          <w:szCs w:val="23"/>
        </w:rPr>
      </w:pPr>
    </w:p>
    <w:p w14:paraId="2631C2FF" w14:textId="77777777" w:rsidR="00822309" w:rsidRDefault="00822309" w:rsidP="00822309">
      <w:pPr>
        <w:spacing w:before="0" w:after="0" w:line="240" w:lineRule="auto"/>
        <w:jc w:val="both"/>
        <w:rPr>
          <w:rFonts w:ascii="Tahoma" w:hAnsi="Tahoma" w:cs="Tahoma"/>
          <w:sz w:val="23"/>
          <w:szCs w:val="23"/>
        </w:rPr>
      </w:pPr>
      <w:r w:rsidRPr="00822309">
        <w:rPr>
          <w:rFonts w:ascii="Tahoma" w:hAnsi="Tahoma" w:cs="Tahoma"/>
          <w:sz w:val="23"/>
          <w:szCs w:val="23"/>
        </w:rPr>
        <w:t xml:space="preserve">Participants should not be billed for any services if they have Medicare and Medicaid coverage with Qualified Medicare Beneficiary (QMB). Refer to Section 1.6 (Qualified Medicare Beneficiaries) of the </w:t>
      </w:r>
      <w:hyperlink r:id="rId13" w:history="1">
        <w:r w:rsidRPr="00822309">
          <w:rPr>
            <w:rStyle w:val="Hyperlink"/>
            <w:rFonts w:ascii="Tahoma" w:hAnsi="Tahoma" w:cs="Tahoma"/>
            <w:sz w:val="23"/>
            <w:szCs w:val="23"/>
          </w:rPr>
          <w:t>GSM</w:t>
        </w:r>
      </w:hyperlink>
      <w:r w:rsidRPr="00822309">
        <w:rPr>
          <w:rFonts w:ascii="Tahoma" w:hAnsi="Tahoma" w:cs="Tahoma"/>
          <w:sz w:val="23"/>
          <w:szCs w:val="23"/>
        </w:rPr>
        <w:t xml:space="preserve"> for additional information.</w:t>
      </w:r>
    </w:p>
    <w:p w14:paraId="4CB25B47" w14:textId="77777777" w:rsidR="00822309" w:rsidRPr="00822309" w:rsidRDefault="00822309" w:rsidP="00822309">
      <w:pPr>
        <w:spacing w:before="0" w:after="0" w:line="240" w:lineRule="auto"/>
        <w:jc w:val="both"/>
        <w:rPr>
          <w:rStyle w:val="Strong"/>
          <w:rFonts w:ascii="Tahoma" w:hAnsi="Tahoma" w:cs="Tahoma"/>
          <w:b w:val="0"/>
          <w:bCs w:val="0"/>
          <w:sz w:val="23"/>
          <w:szCs w:val="23"/>
        </w:rPr>
      </w:pPr>
    </w:p>
    <w:p w14:paraId="5E128647" w14:textId="77777777" w:rsidR="00822309" w:rsidRPr="00822309" w:rsidRDefault="00822309" w:rsidP="00822309">
      <w:pPr>
        <w:pStyle w:val="NormalWeb"/>
        <w:spacing w:before="0" w:beforeAutospacing="0" w:after="0" w:afterAutospacing="0"/>
        <w:rPr>
          <w:rFonts w:ascii="Tahoma" w:hAnsi="Tahoma" w:cs="Tahoma"/>
          <w:sz w:val="23"/>
          <w:szCs w:val="23"/>
          <w:u w:val="single"/>
        </w:rPr>
      </w:pPr>
      <w:r w:rsidRPr="00822309">
        <w:rPr>
          <w:rStyle w:val="Strong"/>
          <w:rFonts w:ascii="Tahoma" w:hAnsi="Tahoma" w:cs="Tahoma"/>
          <w:sz w:val="23"/>
          <w:szCs w:val="23"/>
          <w:u w:val="single"/>
        </w:rPr>
        <w:t>Non-Covered Services</w:t>
      </w:r>
      <w:r w:rsidRPr="00822309">
        <w:rPr>
          <w:rFonts w:ascii="Tahoma" w:hAnsi="Tahoma" w:cs="Tahoma"/>
          <w:sz w:val="23"/>
          <w:szCs w:val="23"/>
          <w:u w:val="single"/>
        </w:rPr>
        <w:t xml:space="preserve"> </w:t>
      </w:r>
    </w:p>
    <w:p w14:paraId="07B6433D" w14:textId="77777777" w:rsidR="00822309" w:rsidRPr="00822309" w:rsidRDefault="00822309" w:rsidP="00822309">
      <w:pPr>
        <w:pStyle w:val="NormalWeb"/>
        <w:spacing w:before="0" w:beforeAutospacing="0" w:after="0" w:afterAutospacing="0"/>
        <w:rPr>
          <w:rFonts w:ascii="Tahoma" w:hAnsi="Tahoma" w:cs="Tahoma"/>
          <w:sz w:val="23"/>
          <w:szCs w:val="23"/>
        </w:rPr>
      </w:pPr>
      <w:r w:rsidRPr="00822309">
        <w:rPr>
          <w:rFonts w:ascii="Tahoma" w:hAnsi="Tahoma" w:cs="Tahoma"/>
          <w:sz w:val="23"/>
          <w:szCs w:val="23"/>
        </w:rPr>
        <w:t>Providers may bill participants for non-covered services. Examples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2784"/>
        <w:gridCol w:w="3925"/>
      </w:tblGrid>
      <w:tr w:rsidR="00822309" w:rsidRPr="00822309" w14:paraId="74F10107" w14:textId="77777777" w:rsidTr="00822309">
        <w:tc>
          <w:tcPr>
            <w:tcW w:w="3500" w:type="dxa"/>
            <w:hideMark/>
          </w:tcPr>
          <w:p w14:paraId="75B45D95" w14:textId="12C173AF" w:rsidR="00017E2D" w:rsidRDefault="00017E2D" w:rsidP="00822309">
            <w:pPr>
              <w:pStyle w:val="NormalWeb"/>
              <w:numPr>
                <w:ilvl w:val="0"/>
                <w:numId w:val="27"/>
              </w:numPr>
              <w:spacing w:before="0" w:beforeAutospacing="0" w:after="120" w:afterAutospacing="0"/>
              <w:ind w:left="245" w:hanging="187"/>
              <w:rPr>
                <w:rFonts w:ascii="Tahoma" w:hAnsi="Tahoma" w:cs="Tahoma"/>
                <w:sz w:val="23"/>
                <w:szCs w:val="23"/>
              </w:rPr>
            </w:pPr>
            <w:r>
              <w:rPr>
                <w:rFonts w:ascii="Tahoma" w:hAnsi="Tahoma" w:cs="Tahoma"/>
                <w:sz w:val="23"/>
                <w:szCs w:val="23"/>
              </w:rPr>
              <w:t xml:space="preserve">Chiropractic </w:t>
            </w:r>
          </w:p>
          <w:p w14:paraId="763E2EC8" w14:textId="523927B0"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Cosmetic procedures</w:t>
            </w:r>
          </w:p>
          <w:p w14:paraId="4A95B4A1"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Experimental services</w:t>
            </w:r>
          </w:p>
          <w:p w14:paraId="6C3F55A2"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Gender reassignment surgery</w:t>
            </w:r>
          </w:p>
        </w:tc>
        <w:tc>
          <w:tcPr>
            <w:tcW w:w="2885" w:type="dxa"/>
            <w:hideMark/>
          </w:tcPr>
          <w:p w14:paraId="54C51D30"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Hair transplants</w:t>
            </w:r>
          </w:p>
          <w:p w14:paraId="28FDA5A9"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Infertility treatment</w:t>
            </w:r>
          </w:p>
          <w:p w14:paraId="25C91B77"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Personal comfort items</w:t>
            </w:r>
          </w:p>
        </w:tc>
        <w:tc>
          <w:tcPr>
            <w:tcW w:w="4117" w:type="dxa"/>
            <w:hideMark/>
          </w:tcPr>
          <w:p w14:paraId="2F2F5A41"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Routine contact lenses</w:t>
            </w:r>
          </w:p>
          <w:p w14:paraId="46A64807"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Sterilization reversal</w:t>
            </w:r>
          </w:p>
          <w:p w14:paraId="74261B44" w14:textId="77777777" w:rsidR="00822309" w:rsidRPr="00822309" w:rsidRDefault="00822309" w:rsidP="00822309">
            <w:pPr>
              <w:pStyle w:val="NormalWeb"/>
              <w:numPr>
                <w:ilvl w:val="0"/>
                <w:numId w:val="27"/>
              </w:numPr>
              <w:spacing w:before="0" w:beforeAutospacing="0" w:after="120" w:afterAutospacing="0"/>
              <w:ind w:left="245" w:hanging="187"/>
              <w:rPr>
                <w:rFonts w:ascii="Tahoma" w:hAnsi="Tahoma" w:cs="Tahoma"/>
                <w:sz w:val="23"/>
                <w:szCs w:val="23"/>
              </w:rPr>
            </w:pPr>
            <w:r w:rsidRPr="00822309">
              <w:rPr>
                <w:rFonts w:ascii="Tahoma" w:hAnsi="Tahoma" w:cs="Tahoma"/>
                <w:sz w:val="23"/>
                <w:szCs w:val="23"/>
              </w:rPr>
              <w:t>Services needed for moral or religious reasons</w:t>
            </w:r>
          </w:p>
        </w:tc>
      </w:tr>
    </w:tbl>
    <w:p w14:paraId="0039B636" w14:textId="77777777" w:rsidR="00822309" w:rsidRDefault="00822309" w:rsidP="00822309">
      <w:pPr>
        <w:pStyle w:val="NormalWeb"/>
        <w:spacing w:before="0" w:beforeAutospacing="0" w:after="0" w:afterAutospacing="0"/>
        <w:jc w:val="both"/>
        <w:rPr>
          <w:rFonts w:ascii="Tahoma" w:hAnsi="Tahoma" w:cs="Tahoma"/>
          <w:sz w:val="23"/>
          <w:szCs w:val="23"/>
        </w:rPr>
      </w:pPr>
      <w:r w:rsidRPr="00822309">
        <w:rPr>
          <w:rFonts w:ascii="Tahoma" w:hAnsi="Tahoma" w:cs="Tahoma"/>
          <w:sz w:val="23"/>
          <w:szCs w:val="23"/>
        </w:rPr>
        <w:t xml:space="preserve">If a participant elects to receive a non-covered service, they must sign a </w:t>
      </w:r>
      <w:r w:rsidRPr="00822309">
        <w:rPr>
          <w:rStyle w:val="Strong"/>
          <w:rFonts w:ascii="Tahoma" w:hAnsi="Tahoma" w:cs="Tahoma"/>
          <w:b w:val="0"/>
          <w:bCs w:val="0"/>
          <w:sz w:val="23"/>
          <w:szCs w:val="23"/>
        </w:rPr>
        <w:t>written agreement</w:t>
      </w:r>
      <w:r w:rsidRPr="00822309">
        <w:rPr>
          <w:rFonts w:ascii="Tahoma" w:hAnsi="Tahoma" w:cs="Tahoma"/>
          <w:sz w:val="23"/>
          <w:szCs w:val="23"/>
        </w:rPr>
        <w:t xml:space="preserve"> before receiving the service. The agreement must: </w:t>
      </w:r>
    </w:p>
    <w:p w14:paraId="12DD6D37" w14:textId="77777777" w:rsidR="00822309" w:rsidRPr="00822309" w:rsidRDefault="00822309" w:rsidP="00822309">
      <w:pPr>
        <w:pStyle w:val="NormalWeb"/>
        <w:spacing w:before="0" w:beforeAutospacing="0" w:after="0" w:afterAutospacing="0"/>
        <w:jc w:val="both"/>
        <w:rPr>
          <w:rFonts w:ascii="Tahoma" w:hAnsi="Tahoma" w:cs="Tahoma"/>
          <w:sz w:val="23"/>
          <w:szCs w:val="23"/>
        </w:rPr>
      </w:pPr>
    </w:p>
    <w:p w14:paraId="410FE1D3" w14:textId="77777777" w:rsidR="00822309" w:rsidRPr="00822309" w:rsidRDefault="00822309" w:rsidP="00822309">
      <w:pPr>
        <w:pStyle w:val="NormalWeb"/>
        <w:numPr>
          <w:ilvl w:val="0"/>
          <w:numId w:val="28"/>
        </w:numPr>
        <w:spacing w:before="0" w:beforeAutospacing="0" w:after="120" w:afterAutospacing="0"/>
        <w:jc w:val="both"/>
        <w:rPr>
          <w:rFonts w:ascii="Tahoma" w:hAnsi="Tahoma" w:cs="Tahoma"/>
          <w:sz w:val="23"/>
          <w:szCs w:val="23"/>
        </w:rPr>
      </w:pPr>
      <w:r w:rsidRPr="00822309">
        <w:rPr>
          <w:rFonts w:ascii="Tahoma" w:hAnsi="Tahoma" w:cs="Tahoma"/>
          <w:sz w:val="23"/>
          <w:szCs w:val="23"/>
        </w:rPr>
        <w:t>Identify the date and service</w:t>
      </w:r>
    </w:p>
    <w:p w14:paraId="19573BF0" w14:textId="77777777" w:rsidR="00822309" w:rsidRPr="00822309" w:rsidRDefault="00822309" w:rsidP="00822309">
      <w:pPr>
        <w:pStyle w:val="NormalWeb"/>
        <w:numPr>
          <w:ilvl w:val="0"/>
          <w:numId w:val="28"/>
        </w:numPr>
        <w:spacing w:before="0" w:beforeAutospacing="0" w:after="120" w:afterAutospacing="0"/>
        <w:jc w:val="both"/>
        <w:rPr>
          <w:rFonts w:ascii="Tahoma" w:hAnsi="Tahoma" w:cs="Tahoma"/>
          <w:sz w:val="23"/>
          <w:szCs w:val="23"/>
        </w:rPr>
      </w:pPr>
      <w:r w:rsidRPr="00822309">
        <w:rPr>
          <w:rFonts w:ascii="Tahoma" w:hAnsi="Tahoma" w:cs="Tahoma"/>
          <w:sz w:val="23"/>
          <w:szCs w:val="23"/>
        </w:rPr>
        <w:t>Be signed and dated by both the participant and provider</w:t>
      </w:r>
    </w:p>
    <w:p w14:paraId="42A337B6" w14:textId="77777777" w:rsidR="00822309" w:rsidRPr="00822309" w:rsidRDefault="00822309" w:rsidP="00822309">
      <w:pPr>
        <w:pStyle w:val="NormalWeb"/>
        <w:numPr>
          <w:ilvl w:val="0"/>
          <w:numId w:val="28"/>
        </w:numPr>
        <w:spacing w:before="0" w:beforeAutospacing="0" w:after="120" w:afterAutospacing="0"/>
        <w:jc w:val="both"/>
        <w:rPr>
          <w:rFonts w:ascii="Tahoma" w:hAnsi="Tahoma" w:cs="Tahoma"/>
          <w:sz w:val="23"/>
          <w:szCs w:val="23"/>
        </w:rPr>
      </w:pPr>
      <w:r w:rsidRPr="00822309">
        <w:rPr>
          <w:rFonts w:ascii="Tahoma" w:hAnsi="Tahoma" w:cs="Tahoma"/>
          <w:sz w:val="23"/>
          <w:szCs w:val="23"/>
        </w:rPr>
        <w:t>Be completed prior to service delivery</w:t>
      </w:r>
    </w:p>
    <w:p w14:paraId="0A9D0C93" w14:textId="77777777" w:rsidR="00822309" w:rsidRPr="00822309" w:rsidRDefault="00822309" w:rsidP="00822309">
      <w:pPr>
        <w:pStyle w:val="NormalWeb"/>
        <w:numPr>
          <w:ilvl w:val="0"/>
          <w:numId w:val="28"/>
        </w:numPr>
        <w:spacing w:before="0" w:beforeAutospacing="0" w:after="120" w:afterAutospacing="0"/>
        <w:jc w:val="both"/>
        <w:rPr>
          <w:rFonts w:ascii="Tahoma" w:hAnsi="Tahoma" w:cs="Tahoma"/>
          <w:sz w:val="23"/>
          <w:szCs w:val="23"/>
        </w:rPr>
      </w:pPr>
      <w:r w:rsidRPr="00822309">
        <w:rPr>
          <w:rFonts w:ascii="Tahoma" w:hAnsi="Tahoma" w:cs="Tahoma"/>
          <w:sz w:val="23"/>
          <w:szCs w:val="23"/>
        </w:rPr>
        <w:t>Be kept in the participant’s medical record</w:t>
      </w:r>
    </w:p>
    <w:p w14:paraId="59112D3B" w14:textId="77777777" w:rsidR="00822309" w:rsidRPr="00822309" w:rsidRDefault="00822309" w:rsidP="00822309">
      <w:pPr>
        <w:pStyle w:val="NormalWeb"/>
        <w:shd w:val="clear" w:color="auto" w:fill="FFFFFF"/>
        <w:spacing w:before="0" w:beforeAutospacing="0" w:after="150" w:afterAutospacing="0"/>
        <w:jc w:val="both"/>
        <w:rPr>
          <w:rFonts w:ascii="Tahoma" w:hAnsi="Tahoma" w:cs="Tahoma"/>
          <w:color w:val="000000"/>
          <w:sz w:val="23"/>
          <w:szCs w:val="23"/>
        </w:rPr>
      </w:pPr>
      <w:r w:rsidRPr="00822309">
        <w:rPr>
          <w:rFonts w:ascii="Tahoma" w:hAnsi="Tahoma" w:cs="Tahoma"/>
          <w:color w:val="000000"/>
          <w:sz w:val="23"/>
          <w:szCs w:val="23"/>
        </w:rPr>
        <w:t xml:space="preserve">These agreements are between the provider and the participant. If a dispute occurs, it is the provider’s responsibility to present written evidence of the agreement to the MO HealthNet Division. Additional information can be found in </w:t>
      </w:r>
      <w:hyperlink r:id="rId14" w:history="1">
        <w:r w:rsidRPr="00822309">
          <w:rPr>
            <w:rStyle w:val="Hyperlink"/>
            <w:rFonts w:ascii="Tahoma" w:hAnsi="Tahoma" w:cs="Tahoma"/>
            <w:sz w:val="23"/>
            <w:szCs w:val="23"/>
          </w:rPr>
          <w:t>13 CSR 70-4.030</w:t>
        </w:r>
      </w:hyperlink>
      <w:r w:rsidRPr="00822309">
        <w:rPr>
          <w:rFonts w:ascii="Tahoma" w:hAnsi="Tahoma" w:cs="Tahoma"/>
          <w:color w:val="000000"/>
          <w:sz w:val="23"/>
          <w:szCs w:val="23"/>
        </w:rPr>
        <w:t>.</w:t>
      </w:r>
    </w:p>
    <w:p w14:paraId="03010375" w14:textId="77777777" w:rsidR="00822309" w:rsidRPr="00822309" w:rsidRDefault="00822309" w:rsidP="00822309">
      <w:pPr>
        <w:pStyle w:val="NormalWeb"/>
        <w:shd w:val="clear" w:color="auto" w:fill="FFFFFF"/>
        <w:spacing w:before="0" w:beforeAutospacing="0" w:after="0" w:afterAutospacing="0"/>
        <w:jc w:val="both"/>
        <w:rPr>
          <w:rFonts w:ascii="Tahoma" w:hAnsi="Tahoma" w:cs="Tahoma"/>
          <w:sz w:val="23"/>
          <w:szCs w:val="23"/>
        </w:rPr>
      </w:pPr>
      <w:r w:rsidRPr="00822309">
        <w:rPr>
          <w:rFonts w:ascii="Tahoma" w:hAnsi="Tahoma" w:cs="Tahoma"/>
          <w:sz w:val="23"/>
          <w:szCs w:val="23"/>
        </w:rPr>
        <w:t xml:space="preserve">For questions related to eligibility, claims, and policy, contact Provider Communications via </w:t>
      </w:r>
      <w:hyperlink r:id="rId15" w:history="1">
        <w:proofErr w:type="spellStart"/>
        <w:r w:rsidRPr="00822309">
          <w:rPr>
            <w:rStyle w:val="Hyperlink"/>
            <w:rFonts w:ascii="Tahoma" w:hAnsi="Tahoma" w:cs="Tahoma"/>
            <w:sz w:val="23"/>
            <w:szCs w:val="23"/>
          </w:rPr>
          <w:t>eMOMED</w:t>
        </w:r>
        <w:proofErr w:type="spellEnd"/>
      </w:hyperlink>
      <w:r w:rsidRPr="00822309">
        <w:rPr>
          <w:rFonts w:ascii="Tahoma" w:hAnsi="Tahoma" w:cs="Tahoma"/>
          <w:sz w:val="23"/>
          <w:szCs w:val="23"/>
        </w:rPr>
        <w:t xml:space="preserve"> or by calling (833) 222-7916. </w:t>
      </w:r>
    </w:p>
    <w:p w14:paraId="58EE5CDE" w14:textId="77777777" w:rsidR="00822309" w:rsidRPr="00822309" w:rsidRDefault="00822309" w:rsidP="00822309">
      <w:pPr>
        <w:pStyle w:val="NormalWeb"/>
        <w:shd w:val="clear" w:color="auto" w:fill="FFFFFF"/>
        <w:spacing w:before="0" w:beforeAutospacing="0" w:after="0" w:afterAutospacing="0"/>
        <w:rPr>
          <w:rFonts w:ascii="Tahoma" w:hAnsi="Tahoma" w:cs="Tahoma"/>
          <w:color w:val="000000"/>
          <w:sz w:val="23"/>
          <w:szCs w:val="23"/>
        </w:rPr>
      </w:pPr>
    </w:p>
    <w:p w14:paraId="33D179A9" w14:textId="77777777" w:rsidR="00B54FF2" w:rsidRPr="00087573" w:rsidRDefault="00B54FF2" w:rsidP="006A6EA0">
      <w:pPr>
        <w:spacing w:before="0" w:after="0" w:line="240" w:lineRule="auto"/>
        <w:rPr>
          <w:rFonts w:ascii="Tahoma" w:hAnsi="Tahoma" w:cs="Tahoma"/>
          <w:noProof/>
          <w:color w:val="FF0000"/>
          <w:sz w:val="20"/>
          <w:szCs w:val="20"/>
        </w:rPr>
      </w:pP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6"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7"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8" w:history="1">
        <w:proofErr w:type="spellStart"/>
        <w:r w:rsidRPr="00087573">
          <w:rPr>
            <w:rStyle w:val="Hyperlink"/>
            <w:rFonts w:ascii="Tahoma" w:hAnsi="Tahoma" w:cs="Tahoma"/>
            <w:sz w:val="18"/>
          </w:rPr>
          <w:t>eMOMED</w:t>
        </w:r>
        <w:proofErr w:type="spellEnd"/>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19"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0"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1"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2"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C15D2B">
      <w:headerReference w:type="default" r:id="rId23"/>
      <w:footerReference w:type="first" r:id="rId24"/>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9A06" w14:textId="77777777" w:rsidR="00850B6B" w:rsidRDefault="00850B6B">
      <w:r>
        <w:separator/>
      </w:r>
    </w:p>
  </w:endnote>
  <w:endnote w:type="continuationSeparator" w:id="0">
    <w:p w14:paraId="2D33E784" w14:textId="77777777" w:rsidR="00850B6B" w:rsidRDefault="008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467A" w14:textId="77777777" w:rsidR="00850B6B" w:rsidRDefault="00850B6B">
      <w:r>
        <w:separator/>
      </w:r>
    </w:p>
  </w:footnote>
  <w:footnote w:type="continuationSeparator" w:id="0">
    <w:p w14:paraId="10F18199" w14:textId="77777777" w:rsidR="00850B6B" w:rsidRDefault="00850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05AEF772" w:rsidR="00930D08" w:rsidRDefault="00930D08" w:rsidP="00F0134D">
    <w:pPr>
      <w:tabs>
        <w:tab w:val="center" w:pos="5040"/>
        <w:tab w:val="right" w:pos="9840"/>
      </w:tabs>
      <w:rPr>
        <w:sz w:val="20"/>
      </w:rPr>
    </w:pPr>
    <w:r>
      <w:rPr>
        <w:sz w:val="20"/>
      </w:rPr>
      <w:t xml:space="preserve">Volume </w:t>
    </w:r>
    <w:r w:rsidR="005F1FF3">
      <w:rPr>
        <w:sz w:val="20"/>
      </w:rPr>
      <w:t>49</w:t>
    </w:r>
    <w:r>
      <w:rPr>
        <w:sz w:val="20"/>
      </w:rPr>
      <w:t xml:space="preserve"> Number </w:t>
    </w:r>
    <w:r w:rsidR="005F1FF3">
      <w:rPr>
        <w:sz w:val="20"/>
      </w:rPr>
      <w:t>02</w:t>
    </w:r>
    <w:r w:rsidR="00F0134D">
      <w:rPr>
        <w:sz w:val="20"/>
      </w:rPr>
      <w:tab/>
    </w:r>
    <w:r w:rsidR="005F1FF3" w:rsidRPr="005F1FF3">
      <w:rPr>
        <w:sz w:val="20"/>
      </w:rPr>
      <w:t>Participant Non-Liability and Billing</w:t>
    </w:r>
    <w:r w:rsidR="00F0134D">
      <w:rPr>
        <w:sz w:val="20"/>
      </w:rPr>
      <w:tab/>
    </w:r>
    <w:r w:rsidR="005F1FF3">
      <w:rPr>
        <w:sz w:val="20"/>
      </w:rPr>
      <w:t>July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866A6"/>
    <w:multiLevelType w:val="hybridMultilevel"/>
    <w:tmpl w:val="63ECC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590106"/>
    <w:multiLevelType w:val="hybridMultilevel"/>
    <w:tmpl w:val="034EF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7"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D1386"/>
    <w:multiLevelType w:val="hybridMultilevel"/>
    <w:tmpl w:val="4E68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2"/>
  </w:num>
  <w:num w:numId="2" w16cid:durableId="1901862822">
    <w:abstractNumId w:val="7"/>
  </w:num>
  <w:num w:numId="3" w16cid:durableId="128475939">
    <w:abstractNumId w:val="11"/>
  </w:num>
  <w:num w:numId="4" w16cid:durableId="911740830">
    <w:abstractNumId w:val="19"/>
  </w:num>
  <w:num w:numId="5" w16cid:durableId="356393516">
    <w:abstractNumId w:val="16"/>
  </w:num>
  <w:num w:numId="6" w16cid:durableId="1980569187">
    <w:abstractNumId w:val="26"/>
  </w:num>
  <w:num w:numId="7" w16cid:durableId="785394772">
    <w:abstractNumId w:val="9"/>
  </w:num>
  <w:num w:numId="8" w16cid:durableId="398134155">
    <w:abstractNumId w:val="5"/>
  </w:num>
  <w:num w:numId="9" w16cid:durableId="313873537">
    <w:abstractNumId w:val="15"/>
  </w:num>
  <w:num w:numId="10" w16cid:durableId="1871409018">
    <w:abstractNumId w:val="8"/>
  </w:num>
  <w:num w:numId="11" w16cid:durableId="699933206">
    <w:abstractNumId w:val="13"/>
  </w:num>
  <w:num w:numId="12" w16cid:durableId="1182285575">
    <w:abstractNumId w:val="18"/>
  </w:num>
  <w:num w:numId="13" w16cid:durableId="1891528166">
    <w:abstractNumId w:val="6"/>
  </w:num>
  <w:num w:numId="14" w16cid:durableId="629018626">
    <w:abstractNumId w:val="21"/>
  </w:num>
  <w:num w:numId="15" w16cid:durableId="440609485">
    <w:abstractNumId w:val="2"/>
  </w:num>
  <w:num w:numId="16" w16cid:durableId="713118432">
    <w:abstractNumId w:val="14"/>
  </w:num>
  <w:num w:numId="17" w16cid:durableId="1670451329">
    <w:abstractNumId w:val="24"/>
  </w:num>
  <w:num w:numId="18" w16cid:durableId="1655916653">
    <w:abstractNumId w:val="0"/>
  </w:num>
  <w:num w:numId="19" w16cid:durableId="1478645377">
    <w:abstractNumId w:val="10"/>
  </w:num>
  <w:num w:numId="20" w16cid:durableId="545529438">
    <w:abstractNumId w:val="17"/>
  </w:num>
  <w:num w:numId="21" w16cid:durableId="583346626">
    <w:abstractNumId w:val="23"/>
  </w:num>
  <w:num w:numId="22" w16cid:durableId="898832747">
    <w:abstractNumId w:val="12"/>
  </w:num>
  <w:num w:numId="23" w16cid:durableId="1607080103">
    <w:abstractNumId w:val="27"/>
  </w:num>
  <w:num w:numId="24" w16cid:durableId="1958608955">
    <w:abstractNumId w:val="25"/>
  </w:num>
  <w:num w:numId="25" w16cid:durableId="2084716771">
    <w:abstractNumId w:val="1"/>
  </w:num>
  <w:num w:numId="26" w16cid:durableId="1936285017">
    <w:abstractNumId w:val="4"/>
  </w:num>
  <w:num w:numId="27" w16cid:durableId="172040572">
    <w:abstractNumId w:val="3"/>
  </w:num>
  <w:num w:numId="28" w16cid:durableId="1529492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m5NTLqTGd/4HogjkC+eHm8/CCMqns7uPL8P2zdQg0B+7zwVQlLP4JYXlNArQAeQGdLD4f4PcEtD8aF4tUYs9A==" w:salt="4mmUZT+pN/qvcgFboJXFs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2D"/>
    <w:rsid w:val="00017E48"/>
    <w:rsid w:val="00031D39"/>
    <w:rsid w:val="00032E26"/>
    <w:rsid w:val="00045705"/>
    <w:rsid w:val="000473D3"/>
    <w:rsid w:val="00052CB4"/>
    <w:rsid w:val="0005567F"/>
    <w:rsid w:val="00060D6E"/>
    <w:rsid w:val="00070842"/>
    <w:rsid w:val="0007375E"/>
    <w:rsid w:val="00077FC5"/>
    <w:rsid w:val="00087573"/>
    <w:rsid w:val="00091F6B"/>
    <w:rsid w:val="000B1F02"/>
    <w:rsid w:val="000B7ADF"/>
    <w:rsid w:val="000E0FA0"/>
    <w:rsid w:val="000E4F22"/>
    <w:rsid w:val="000F5A8E"/>
    <w:rsid w:val="00107D6F"/>
    <w:rsid w:val="00116E05"/>
    <w:rsid w:val="00124D7D"/>
    <w:rsid w:val="00131E33"/>
    <w:rsid w:val="00133BBE"/>
    <w:rsid w:val="0013417B"/>
    <w:rsid w:val="00137A70"/>
    <w:rsid w:val="00144640"/>
    <w:rsid w:val="00160F2B"/>
    <w:rsid w:val="001615A3"/>
    <w:rsid w:val="00163F7C"/>
    <w:rsid w:val="00164F26"/>
    <w:rsid w:val="00190124"/>
    <w:rsid w:val="001A37AD"/>
    <w:rsid w:val="001A38D1"/>
    <w:rsid w:val="001B75A9"/>
    <w:rsid w:val="001C0128"/>
    <w:rsid w:val="001C0EE3"/>
    <w:rsid w:val="001C70DE"/>
    <w:rsid w:val="001E4707"/>
    <w:rsid w:val="001F011F"/>
    <w:rsid w:val="00291B5E"/>
    <w:rsid w:val="002A141F"/>
    <w:rsid w:val="002B2570"/>
    <w:rsid w:val="002C4EEE"/>
    <w:rsid w:val="002D14F3"/>
    <w:rsid w:val="002D7348"/>
    <w:rsid w:val="002F68DA"/>
    <w:rsid w:val="003112B4"/>
    <w:rsid w:val="0031353F"/>
    <w:rsid w:val="00315485"/>
    <w:rsid w:val="00322ABF"/>
    <w:rsid w:val="003234C4"/>
    <w:rsid w:val="003235A9"/>
    <w:rsid w:val="003274A6"/>
    <w:rsid w:val="003420CC"/>
    <w:rsid w:val="0034322B"/>
    <w:rsid w:val="0034770B"/>
    <w:rsid w:val="00356170"/>
    <w:rsid w:val="00385719"/>
    <w:rsid w:val="003872EE"/>
    <w:rsid w:val="003B0122"/>
    <w:rsid w:val="003B6F79"/>
    <w:rsid w:val="003C563D"/>
    <w:rsid w:val="003C7CEA"/>
    <w:rsid w:val="003E79B2"/>
    <w:rsid w:val="00400F18"/>
    <w:rsid w:val="004171ED"/>
    <w:rsid w:val="0041769A"/>
    <w:rsid w:val="0042131E"/>
    <w:rsid w:val="004251B0"/>
    <w:rsid w:val="004412F9"/>
    <w:rsid w:val="00445270"/>
    <w:rsid w:val="004626D2"/>
    <w:rsid w:val="00471A11"/>
    <w:rsid w:val="00477517"/>
    <w:rsid w:val="004816FA"/>
    <w:rsid w:val="00491B48"/>
    <w:rsid w:val="004A62A9"/>
    <w:rsid w:val="004C5B1B"/>
    <w:rsid w:val="004C7CC4"/>
    <w:rsid w:val="004C7DCA"/>
    <w:rsid w:val="004D7229"/>
    <w:rsid w:val="004E3E8C"/>
    <w:rsid w:val="004E414D"/>
    <w:rsid w:val="004E574A"/>
    <w:rsid w:val="004E760F"/>
    <w:rsid w:val="004F06CD"/>
    <w:rsid w:val="004F5DA6"/>
    <w:rsid w:val="004F7CE4"/>
    <w:rsid w:val="00500A60"/>
    <w:rsid w:val="00512590"/>
    <w:rsid w:val="005153B2"/>
    <w:rsid w:val="00542072"/>
    <w:rsid w:val="0054426D"/>
    <w:rsid w:val="00551C3F"/>
    <w:rsid w:val="00560B2E"/>
    <w:rsid w:val="005644C7"/>
    <w:rsid w:val="00565825"/>
    <w:rsid w:val="00575F9B"/>
    <w:rsid w:val="00586954"/>
    <w:rsid w:val="005B2AC2"/>
    <w:rsid w:val="005B55AB"/>
    <w:rsid w:val="005E259F"/>
    <w:rsid w:val="005F0242"/>
    <w:rsid w:val="005F1FF3"/>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17AF"/>
    <w:rsid w:val="006C70ED"/>
    <w:rsid w:val="006E2B8D"/>
    <w:rsid w:val="00701A7F"/>
    <w:rsid w:val="0070258A"/>
    <w:rsid w:val="0070286C"/>
    <w:rsid w:val="007046E2"/>
    <w:rsid w:val="00731481"/>
    <w:rsid w:val="007577F1"/>
    <w:rsid w:val="007936A1"/>
    <w:rsid w:val="007955B6"/>
    <w:rsid w:val="00796B1D"/>
    <w:rsid w:val="007C3B11"/>
    <w:rsid w:val="007C531C"/>
    <w:rsid w:val="007D02A2"/>
    <w:rsid w:val="007E14E0"/>
    <w:rsid w:val="007E1A3C"/>
    <w:rsid w:val="007F5CF3"/>
    <w:rsid w:val="008049BF"/>
    <w:rsid w:val="008138BF"/>
    <w:rsid w:val="00822309"/>
    <w:rsid w:val="00826E06"/>
    <w:rsid w:val="00831081"/>
    <w:rsid w:val="008321FA"/>
    <w:rsid w:val="008322FB"/>
    <w:rsid w:val="00835A93"/>
    <w:rsid w:val="00836BF5"/>
    <w:rsid w:val="00850B6B"/>
    <w:rsid w:val="008A385A"/>
    <w:rsid w:val="008A6AC8"/>
    <w:rsid w:val="008B5E88"/>
    <w:rsid w:val="008D0780"/>
    <w:rsid w:val="008D2FF9"/>
    <w:rsid w:val="008D4932"/>
    <w:rsid w:val="008D5277"/>
    <w:rsid w:val="008D548F"/>
    <w:rsid w:val="008F71A3"/>
    <w:rsid w:val="00912A49"/>
    <w:rsid w:val="00930D08"/>
    <w:rsid w:val="00935B33"/>
    <w:rsid w:val="00941B58"/>
    <w:rsid w:val="00947218"/>
    <w:rsid w:val="00947B74"/>
    <w:rsid w:val="00954E82"/>
    <w:rsid w:val="00957605"/>
    <w:rsid w:val="00960FA2"/>
    <w:rsid w:val="009660AC"/>
    <w:rsid w:val="009674AD"/>
    <w:rsid w:val="00967616"/>
    <w:rsid w:val="00975518"/>
    <w:rsid w:val="009779B6"/>
    <w:rsid w:val="009A40C2"/>
    <w:rsid w:val="009C1004"/>
    <w:rsid w:val="009C1BEE"/>
    <w:rsid w:val="009E25B5"/>
    <w:rsid w:val="009E7435"/>
    <w:rsid w:val="009F4A49"/>
    <w:rsid w:val="00A00366"/>
    <w:rsid w:val="00A02423"/>
    <w:rsid w:val="00A06495"/>
    <w:rsid w:val="00A125F4"/>
    <w:rsid w:val="00A330BA"/>
    <w:rsid w:val="00A534DD"/>
    <w:rsid w:val="00A5520E"/>
    <w:rsid w:val="00A710B7"/>
    <w:rsid w:val="00A73F5B"/>
    <w:rsid w:val="00A7734C"/>
    <w:rsid w:val="00A95170"/>
    <w:rsid w:val="00AA1C36"/>
    <w:rsid w:val="00AB125D"/>
    <w:rsid w:val="00AB42FA"/>
    <w:rsid w:val="00AC3202"/>
    <w:rsid w:val="00AD614C"/>
    <w:rsid w:val="00AD7DE5"/>
    <w:rsid w:val="00AF1EA0"/>
    <w:rsid w:val="00B1210E"/>
    <w:rsid w:val="00B178E0"/>
    <w:rsid w:val="00B4768B"/>
    <w:rsid w:val="00B522C4"/>
    <w:rsid w:val="00B54FF2"/>
    <w:rsid w:val="00B621A6"/>
    <w:rsid w:val="00B83AF3"/>
    <w:rsid w:val="00B96376"/>
    <w:rsid w:val="00B97322"/>
    <w:rsid w:val="00BA1F90"/>
    <w:rsid w:val="00BA3E4E"/>
    <w:rsid w:val="00BB0029"/>
    <w:rsid w:val="00BB2404"/>
    <w:rsid w:val="00BC42AC"/>
    <w:rsid w:val="00BD6221"/>
    <w:rsid w:val="00C06C7C"/>
    <w:rsid w:val="00C07277"/>
    <w:rsid w:val="00C15D2B"/>
    <w:rsid w:val="00C20534"/>
    <w:rsid w:val="00C20E2F"/>
    <w:rsid w:val="00C2583F"/>
    <w:rsid w:val="00C25B23"/>
    <w:rsid w:val="00C3526D"/>
    <w:rsid w:val="00C41FBB"/>
    <w:rsid w:val="00C437ED"/>
    <w:rsid w:val="00C51A38"/>
    <w:rsid w:val="00C62831"/>
    <w:rsid w:val="00C84852"/>
    <w:rsid w:val="00C92891"/>
    <w:rsid w:val="00C95C94"/>
    <w:rsid w:val="00CB7E3E"/>
    <w:rsid w:val="00CC7DDF"/>
    <w:rsid w:val="00CD4C25"/>
    <w:rsid w:val="00CE0F9E"/>
    <w:rsid w:val="00CE4464"/>
    <w:rsid w:val="00D03B60"/>
    <w:rsid w:val="00D1293E"/>
    <w:rsid w:val="00D2118B"/>
    <w:rsid w:val="00D53DCE"/>
    <w:rsid w:val="00D56472"/>
    <w:rsid w:val="00D67E71"/>
    <w:rsid w:val="00D70B6D"/>
    <w:rsid w:val="00D77A01"/>
    <w:rsid w:val="00D87896"/>
    <w:rsid w:val="00DA4CA4"/>
    <w:rsid w:val="00DB00F5"/>
    <w:rsid w:val="00DC7B8F"/>
    <w:rsid w:val="00DF675D"/>
    <w:rsid w:val="00E23CA3"/>
    <w:rsid w:val="00E40FE6"/>
    <w:rsid w:val="00E529DD"/>
    <w:rsid w:val="00E67688"/>
    <w:rsid w:val="00E67D51"/>
    <w:rsid w:val="00E73773"/>
    <w:rsid w:val="00E85142"/>
    <w:rsid w:val="00EA6323"/>
    <w:rsid w:val="00EC2499"/>
    <w:rsid w:val="00EC4BD1"/>
    <w:rsid w:val="00ED0B9A"/>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styleId="NormalWeb">
    <w:name w:val="Normal (Web)"/>
    <w:basedOn w:val="Normal"/>
    <w:uiPriority w:val="99"/>
    <w:semiHidden/>
    <w:unhideWhenUsed/>
    <w:rsid w:val="00822309"/>
    <w:pPr>
      <w:spacing w:before="100" w:beforeAutospacing="1" w:after="100" w:afterAutospacing="1" w:line="240" w:lineRule="auto"/>
    </w:pPr>
    <w:rPr>
      <w:rFonts w:ascii="Times New Roman" w:hAnsi="Times New Roman"/>
    </w:rPr>
  </w:style>
  <w:style w:type="character" w:styleId="Strong">
    <w:name w:val="Strong"/>
    <w:basedOn w:val="DefaultParagraphFont"/>
    <w:uiPriority w:val="22"/>
    <w:qFormat/>
    <w:rsid w:val="00822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42638">
      <w:bodyDiv w:val="1"/>
      <w:marLeft w:val="0"/>
      <w:marRight w:val="0"/>
      <w:marTop w:val="0"/>
      <w:marBottom w:val="0"/>
      <w:divBdr>
        <w:top w:val="none" w:sz="0" w:space="0" w:color="auto"/>
        <w:left w:val="none" w:sz="0" w:space="0" w:color="auto"/>
        <w:bottom w:val="none" w:sz="0" w:space="0" w:color="auto"/>
        <w:right w:val="none" w:sz="0" w:space="0" w:color="auto"/>
      </w:divBdr>
    </w:div>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edia/file/general-sections-provider-manual" TargetMode="External"/><Relationship Id="rId18" Type="http://schemas.openxmlformats.org/officeDocument/2006/relationships/hyperlink" Target="https://www.emome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ydss.mo.gov/mhd/education-and-training" TargetMode="External"/><Relationship Id="rId7" Type="http://schemas.openxmlformats.org/officeDocument/2006/relationships/settings" Target="settings.xml"/><Relationship Id="rId12" Type="http://schemas.openxmlformats.org/officeDocument/2006/relationships/hyperlink" Target="https://mydss.mo.gov/media/file/general-sections-provider-manual" TargetMode="External"/><Relationship Id="rId17" Type="http://schemas.openxmlformats.org/officeDocument/2006/relationships/hyperlink" Target="https://mydss.mo.gov/media/pdf/managed-care-provider-information-reques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dss.mo.gov/mhd/providers" TargetMode="External"/><Relationship Id="rId20" Type="http://schemas.openxmlformats.org/officeDocument/2006/relationships/hyperlink" Target="https://public.govdelivery.com/accounts/MODSS/subscriber/new?preferences=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omed.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ydss.mo.gov/mhd/n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s.mo.gov/cmsimages/adrules/csr/current/13csr/13c70-4.pdf" TargetMode="External"/><Relationship Id="rId22" Type="http://schemas.openxmlformats.org/officeDocument/2006/relationships/hyperlink" Target="https://moexperience.qualtrics.com/jfe/form/SV_8v5YgbpJmYXuP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2.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4.xml><?xml version="1.0" encoding="utf-8"?>
<ds:datastoreItem xmlns:ds="http://schemas.openxmlformats.org/officeDocument/2006/customXml" ds:itemID="{F6376A26-ABCF-4F33-9418-C2B4CFA3D9BE}">
  <ds:schemaRef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4301</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MO HealthNet Provider Bulletin Template</vt:lpstr>
    </vt:vector>
  </TitlesOfParts>
  <Manager>Missouri Department of Social Services</Manager>
  <Company>State of Missouri</Company>
  <LinksUpToDate>false</LinksUpToDate>
  <CharactersWithSpaces>4882</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Provider Bulletin Template</dc:title>
  <dc:creator>MO HealthNet</dc:creator>
  <cp:keywords>MO HealthNet Provider Bulletin Template</cp:keywords>
  <cp:lastModifiedBy>Craig, Madelyn</cp:lastModifiedBy>
  <cp:revision>3</cp:revision>
  <cp:lastPrinted>2018-12-28T19:46:00Z</cp:lastPrinted>
  <dcterms:created xsi:type="dcterms:W3CDTF">2026-07-09T16:57:00Z</dcterms:created>
  <dcterms:modified xsi:type="dcterms:W3CDTF">2026-07-09T16:57:00Z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