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5E78EF00" w:rsidR="004C5767" w:rsidRPr="008859E1" w:rsidRDefault="004C5767" w:rsidP="00D27533">
      <w:pPr>
        <w:pStyle w:val="tbody"/>
        <w:rPr>
          <w:b w:val="0"/>
          <w:bCs/>
        </w:rPr>
      </w:pPr>
      <w:r w:rsidRPr="00C02553">
        <w:t>Drug/Drug Class:</w:t>
      </w:r>
      <w:r w:rsidR="003B4820" w:rsidRPr="00573856">
        <w:rPr>
          <w:b w:val="0"/>
          <w:bCs/>
        </w:rPr>
        <w:t xml:space="preserve"> </w:t>
      </w:r>
      <w:r w:rsidR="008E3AB1" w:rsidRPr="008E3AB1">
        <w:rPr>
          <w:b w:val="0"/>
          <w:bCs/>
        </w:rPr>
        <w:t>Glaucoma Agents PDL Edit</w:t>
      </w:r>
    </w:p>
    <w:p w14:paraId="7AD7FFCE" w14:textId="3E4605BE" w:rsidR="004C5767" w:rsidRPr="00C02553" w:rsidRDefault="004C5767" w:rsidP="00D27533">
      <w:pPr>
        <w:pStyle w:val="tbody"/>
      </w:pPr>
      <w:r w:rsidRPr="00C02553">
        <w:t>First Implementation Date:</w:t>
      </w:r>
      <w:r w:rsidRPr="00573856">
        <w:rPr>
          <w:b w:val="0"/>
          <w:bCs/>
        </w:rPr>
        <w:t xml:space="preserve"> </w:t>
      </w:r>
      <w:r w:rsidR="004F6D53" w:rsidRPr="004F6D53">
        <w:rPr>
          <w:b w:val="0"/>
          <w:bCs/>
        </w:rPr>
        <w:t>January 5, 2012</w:t>
      </w:r>
    </w:p>
    <w:p w14:paraId="4B7D760D" w14:textId="4E51F42B" w:rsidR="004C5767" w:rsidRPr="00057F84" w:rsidRDefault="002524A5" w:rsidP="70E341D6">
      <w:pPr>
        <w:pStyle w:val="tbody"/>
        <w:rPr>
          <w:b w:val="0"/>
        </w:rPr>
      </w:pPr>
      <w:r>
        <w:t>Revi</w:t>
      </w:r>
      <w:r w:rsidR="004C5767">
        <w:t>sed Date:</w:t>
      </w:r>
      <w:r w:rsidR="00065C22">
        <w:t xml:space="preserve"> </w:t>
      </w:r>
      <w:r>
        <w:rPr>
          <w:b w:val="0"/>
        </w:rPr>
        <w:t>July 9</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F571328" w:rsidR="004C5767" w:rsidRPr="00D27533" w:rsidRDefault="004C5767" w:rsidP="00D27533">
      <w:pPr>
        <w:pStyle w:val="tbody"/>
        <w:rPr>
          <w:b w:val="0"/>
          <w:bCs/>
          <w:spacing w:val="-3"/>
        </w:rPr>
      </w:pPr>
      <w:r w:rsidRPr="00C02553">
        <w:t xml:space="preserve">Criteria Status: </w:t>
      </w:r>
      <w:r w:rsidR="00566BE4" w:rsidRPr="00B77D0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05F67E19" w:rsidR="00B56DCC" w:rsidRDefault="00213E6B" w:rsidP="00696E3A">
      <w:r w:rsidRPr="00213E6B">
        <w:t>Glaucoma is the second most common cause of permanent blindness in the United States. Increased intraocular pressure (IOP) is common in glaucoma and is believed to contribute to the damage to the optic nerve which can lead to loss of visual sensitivity and field. It was once thought that high IOP was the main cause of this optic nerve damage. Although IOP is clearly a risk factor, it is now known that other factors must also be involved because even people with “normal” levels of pressure can experience vision loss from glaucoma. Several types of medications are used to treat glaucoma, including beta-blockers, sympathomimetics, topical carbonic anhydrase inhibitors, direct/indirect cholinergic agonists, and prostaglandin analogs. Monotherapy or combination therapy may be used to treat and delay the need for surgery and to prevent functional vision loss. All medications used for the management of glaucoma attempt to limit further damage to the optic nerve.</w:t>
      </w:r>
    </w:p>
    <w:p w14:paraId="5C6BCAA0" w14:textId="77777777" w:rsidR="00213E6B" w:rsidRDefault="00213E6B"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47320590" w14:textId="279178DE" w:rsidR="00FD34EA" w:rsidRPr="00C31573" w:rsidRDefault="00C31573" w:rsidP="00C31573">
      <w:pPr>
        <w:pStyle w:val="ListParagraph"/>
        <w:numPr>
          <w:ilvl w:val="0"/>
          <w:numId w:val="15"/>
        </w:numPr>
        <w:rPr>
          <w:rFonts w:cs="Arial"/>
          <w:szCs w:val="20"/>
        </w:rPr>
      </w:pPr>
      <w:r w:rsidRPr="00C31573">
        <w:rPr>
          <w:rFonts w:cs="Arial"/>
          <w:spacing w:val="-3"/>
          <w:szCs w:val="20"/>
        </w:rPr>
        <w:t>Latanoprost</w:t>
      </w:r>
    </w:p>
    <w:p w14:paraId="07EDFAEF" w14:textId="77777777" w:rsidR="00C31573" w:rsidRPr="00C31573" w:rsidRDefault="00C31573" w:rsidP="00C31573">
      <w:pPr>
        <w:pStyle w:val="ListParagraph"/>
        <w:numPr>
          <w:ilvl w:val="0"/>
          <w:numId w:val="0"/>
        </w:numPr>
        <w:ind w:left="360"/>
        <w:rPr>
          <w:rFonts w:cs="Arial"/>
          <w:szCs w:val="20"/>
        </w:rPr>
      </w:pPr>
    </w:p>
    <w:p w14:paraId="56404718" w14:textId="252714AD" w:rsidR="00846FA4" w:rsidRDefault="00846FA4" w:rsidP="00846FA4">
      <w:pPr>
        <w:rPr>
          <w:b/>
          <w:bCs/>
        </w:rPr>
      </w:pPr>
      <w:r>
        <w:rPr>
          <w:b/>
          <w:bCs/>
        </w:rPr>
        <w:t>Non-Preferred Agents:</w:t>
      </w:r>
    </w:p>
    <w:p w14:paraId="0A2D5BE7" w14:textId="77777777" w:rsidR="006971C5" w:rsidRPr="00B874DD" w:rsidRDefault="006971C5" w:rsidP="006971C5">
      <w:pPr>
        <w:numPr>
          <w:ilvl w:val="0"/>
          <w:numId w:val="15"/>
        </w:numPr>
        <w:rPr>
          <w:rFonts w:cs="Arial"/>
          <w:iCs/>
          <w:spacing w:val="-3"/>
          <w:szCs w:val="20"/>
        </w:rPr>
      </w:pPr>
      <w:proofErr w:type="spellStart"/>
      <w:r w:rsidRPr="00B874DD">
        <w:rPr>
          <w:rFonts w:cs="Arial"/>
          <w:iCs/>
          <w:spacing w:val="-3"/>
          <w:szCs w:val="20"/>
        </w:rPr>
        <w:t>Bimatoprost</w:t>
      </w:r>
      <w:proofErr w:type="spellEnd"/>
    </w:p>
    <w:p w14:paraId="092B6CB0" w14:textId="77777777" w:rsidR="006971C5" w:rsidRPr="00B874DD" w:rsidRDefault="006971C5" w:rsidP="006971C5">
      <w:pPr>
        <w:numPr>
          <w:ilvl w:val="0"/>
          <w:numId w:val="15"/>
        </w:numPr>
        <w:rPr>
          <w:rFonts w:cs="Arial"/>
          <w:iCs/>
          <w:spacing w:val="-3"/>
          <w:szCs w:val="20"/>
        </w:rPr>
      </w:pPr>
      <w:proofErr w:type="spellStart"/>
      <w:r w:rsidRPr="00B874DD">
        <w:rPr>
          <w:rFonts w:cs="Arial"/>
          <w:iCs/>
          <w:spacing w:val="-3"/>
          <w:szCs w:val="20"/>
        </w:rPr>
        <w:t>Durysta</w:t>
      </w:r>
      <w:proofErr w:type="spellEnd"/>
      <w:r w:rsidRPr="00B874DD">
        <w:rPr>
          <w:rFonts w:cs="Arial"/>
          <w:iCs/>
          <w:spacing w:val="-3"/>
          <w:szCs w:val="20"/>
          <w:vertAlign w:val="superscript"/>
        </w:rPr>
        <w:t>®</w:t>
      </w:r>
    </w:p>
    <w:p w14:paraId="61F53F27" w14:textId="77777777" w:rsidR="006971C5" w:rsidRPr="006971C5" w:rsidRDefault="006971C5" w:rsidP="006971C5">
      <w:pPr>
        <w:numPr>
          <w:ilvl w:val="0"/>
          <w:numId w:val="15"/>
        </w:numPr>
        <w:rPr>
          <w:rFonts w:cs="Arial"/>
          <w:iCs/>
          <w:spacing w:val="-3"/>
          <w:szCs w:val="20"/>
        </w:rPr>
      </w:pPr>
      <w:proofErr w:type="spellStart"/>
      <w:r w:rsidRPr="006971C5">
        <w:rPr>
          <w:rFonts w:cs="Arial"/>
          <w:iCs/>
          <w:spacing w:val="-3"/>
          <w:szCs w:val="20"/>
        </w:rPr>
        <w:t>iDose</w:t>
      </w:r>
      <w:proofErr w:type="spellEnd"/>
      <w:r w:rsidRPr="006971C5">
        <w:rPr>
          <w:rFonts w:cs="Arial"/>
          <w:iCs/>
          <w:spacing w:val="-3"/>
          <w:szCs w:val="20"/>
          <w:vertAlign w:val="superscript"/>
        </w:rPr>
        <w:t>®</w:t>
      </w:r>
      <w:r w:rsidRPr="006971C5">
        <w:rPr>
          <w:rFonts w:cs="Arial"/>
          <w:iCs/>
          <w:spacing w:val="-3"/>
          <w:szCs w:val="20"/>
        </w:rPr>
        <w:t xml:space="preserve"> TR</w:t>
      </w:r>
    </w:p>
    <w:p w14:paraId="1884A33F" w14:textId="77777777" w:rsidR="006971C5" w:rsidRPr="00B874DD" w:rsidRDefault="006971C5" w:rsidP="006971C5">
      <w:pPr>
        <w:numPr>
          <w:ilvl w:val="0"/>
          <w:numId w:val="15"/>
        </w:numPr>
        <w:rPr>
          <w:rFonts w:cs="Arial"/>
          <w:iCs/>
          <w:spacing w:val="-3"/>
          <w:szCs w:val="20"/>
        </w:rPr>
      </w:pPr>
      <w:proofErr w:type="spellStart"/>
      <w:r w:rsidRPr="00B874DD">
        <w:rPr>
          <w:rFonts w:cs="Arial"/>
          <w:iCs/>
          <w:spacing w:val="-3"/>
          <w:szCs w:val="20"/>
        </w:rPr>
        <w:t>Iyuzeh</w:t>
      </w:r>
      <w:proofErr w:type="spellEnd"/>
      <w:r w:rsidRPr="00B874DD">
        <w:rPr>
          <w:rFonts w:cs="Arial"/>
          <w:szCs w:val="20"/>
        </w:rPr>
        <w:t>™</w:t>
      </w:r>
    </w:p>
    <w:p w14:paraId="337766D4" w14:textId="77777777" w:rsidR="006971C5" w:rsidRPr="00B874DD" w:rsidRDefault="006971C5" w:rsidP="006971C5">
      <w:pPr>
        <w:numPr>
          <w:ilvl w:val="0"/>
          <w:numId w:val="15"/>
        </w:numPr>
        <w:rPr>
          <w:rFonts w:cs="Arial"/>
          <w:iCs/>
          <w:spacing w:val="-3"/>
          <w:szCs w:val="20"/>
        </w:rPr>
      </w:pPr>
      <w:r w:rsidRPr="00B874DD">
        <w:rPr>
          <w:rFonts w:cs="Arial"/>
          <w:iCs/>
          <w:spacing w:val="-3"/>
          <w:szCs w:val="20"/>
        </w:rPr>
        <w:t>Lumigan</w:t>
      </w:r>
      <w:r w:rsidRPr="00B874DD">
        <w:rPr>
          <w:rFonts w:cs="Arial"/>
          <w:iCs/>
          <w:spacing w:val="-3"/>
          <w:szCs w:val="20"/>
          <w:vertAlign w:val="superscript"/>
        </w:rPr>
        <w:t>®</w:t>
      </w:r>
    </w:p>
    <w:p w14:paraId="06B09CAD" w14:textId="77777777" w:rsidR="006971C5" w:rsidRPr="00B874DD" w:rsidRDefault="006971C5" w:rsidP="006971C5">
      <w:pPr>
        <w:numPr>
          <w:ilvl w:val="0"/>
          <w:numId w:val="15"/>
        </w:numPr>
        <w:rPr>
          <w:rFonts w:cs="Arial"/>
          <w:iCs/>
          <w:spacing w:val="-3"/>
          <w:szCs w:val="20"/>
        </w:rPr>
      </w:pPr>
      <w:proofErr w:type="spellStart"/>
      <w:r w:rsidRPr="00B874DD">
        <w:rPr>
          <w:rFonts w:cs="Arial"/>
          <w:iCs/>
          <w:spacing w:val="-3"/>
          <w:szCs w:val="20"/>
        </w:rPr>
        <w:t>Rhopressa</w:t>
      </w:r>
      <w:proofErr w:type="spellEnd"/>
      <w:r w:rsidRPr="00B874DD">
        <w:rPr>
          <w:rFonts w:cs="Arial"/>
          <w:iCs/>
          <w:spacing w:val="-3"/>
          <w:szCs w:val="20"/>
          <w:vertAlign w:val="superscript"/>
        </w:rPr>
        <w:t>®</w:t>
      </w:r>
    </w:p>
    <w:p w14:paraId="40773B2A" w14:textId="77777777" w:rsidR="006971C5" w:rsidRPr="00B874DD" w:rsidRDefault="006971C5" w:rsidP="006971C5">
      <w:pPr>
        <w:numPr>
          <w:ilvl w:val="0"/>
          <w:numId w:val="15"/>
        </w:numPr>
        <w:rPr>
          <w:rFonts w:cs="Arial"/>
          <w:iCs/>
          <w:spacing w:val="-3"/>
          <w:szCs w:val="20"/>
        </w:rPr>
      </w:pPr>
      <w:proofErr w:type="spellStart"/>
      <w:r w:rsidRPr="00B874DD">
        <w:rPr>
          <w:rFonts w:cs="Arial"/>
          <w:iCs/>
          <w:spacing w:val="-3"/>
          <w:szCs w:val="20"/>
        </w:rPr>
        <w:t>Rocklatan</w:t>
      </w:r>
      <w:proofErr w:type="spellEnd"/>
      <w:r w:rsidRPr="00B874DD">
        <w:rPr>
          <w:rFonts w:cs="Arial"/>
          <w:iCs/>
          <w:spacing w:val="-3"/>
          <w:szCs w:val="20"/>
          <w:vertAlign w:val="superscript"/>
        </w:rPr>
        <w:t>®</w:t>
      </w:r>
    </w:p>
    <w:p w14:paraId="39259B71" w14:textId="77777777" w:rsidR="006971C5" w:rsidRPr="00B874DD" w:rsidRDefault="006971C5" w:rsidP="006971C5">
      <w:pPr>
        <w:numPr>
          <w:ilvl w:val="0"/>
          <w:numId w:val="15"/>
        </w:numPr>
        <w:rPr>
          <w:rFonts w:cs="Arial"/>
          <w:iCs/>
          <w:spacing w:val="-3"/>
          <w:szCs w:val="20"/>
        </w:rPr>
      </w:pPr>
      <w:proofErr w:type="spellStart"/>
      <w:r w:rsidRPr="00B874DD">
        <w:rPr>
          <w:rFonts w:cs="Arial"/>
          <w:iCs/>
          <w:spacing w:val="-3"/>
          <w:szCs w:val="20"/>
        </w:rPr>
        <w:t>Simbrinza</w:t>
      </w:r>
      <w:proofErr w:type="spellEnd"/>
      <w:r w:rsidRPr="00B874DD">
        <w:rPr>
          <w:rFonts w:cs="Arial"/>
          <w:iCs/>
          <w:spacing w:val="-3"/>
          <w:szCs w:val="20"/>
          <w:vertAlign w:val="superscript"/>
        </w:rPr>
        <w:t>®</w:t>
      </w:r>
    </w:p>
    <w:p w14:paraId="72C90814" w14:textId="77777777" w:rsidR="006971C5" w:rsidRPr="00B874DD" w:rsidRDefault="006971C5" w:rsidP="006971C5">
      <w:pPr>
        <w:numPr>
          <w:ilvl w:val="0"/>
          <w:numId w:val="15"/>
        </w:numPr>
        <w:rPr>
          <w:rFonts w:cs="Arial"/>
          <w:iCs/>
          <w:spacing w:val="-3"/>
          <w:szCs w:val="20"/>
        </w:rPr>
      </w:pPr>
      <w:proofErr w:type="spellStart"/>
      <w:r w:rsidRPr="00B874DD">
        <w:rPr>
          <w:rStyle w:val="normaltextrun"/>
          <w:rFonts w:cs="Arial"/>
          <w:szCs w:val="20"/>
          <w:shd w:val="clear" w:color="auto" w:fill="FFFFFF"/>
        </w:rPr>
        <w:t>Tafluprost</w:t>
      </w:r>
      <w:proofErr w:type="spellEnd"/>
    </w:p>
    <w:p w14:paraId="2547D2CA" w14:textId="77777777" w:rsidR="006971C5" w:rsidRPr="00B874DD" w:rsidRDefault="006971C5" w:rsidP="006971C5">
      <w:pPr>
        <w:numPr>
          <w:ilvl w:val="0"/>
          <w:numId w:val="15"/>
        </w:numPr>
        <w:rPr>
          <w:rFonts w:cs="Arial"/>
          <w:iCs/>
          <w:spacing w:val="-3"/>
          <w:szCs w:val="20"/>
        </w:rPr>
      </w:pPr>
      <w:proofErr w:type="spellStart"/>
      <w:r w:rsidRPr="00B874DD">
        <w:rPr>
          <w:rFonts w:cs="Arial"/>
          <w:spacing w:val="-3"/>
          <w:szCs w:val="20"/>
        </w:rPr>
        <w:t>Travatan</w:t>
      </w:r>
      <w:proofErr w:type="spellEnd"/>
      <w:r w:rsidRPr="00B874DD">
        <w:rPr>
          <w:rFonts w:cs="Arial"/>
          <w:spacing w:val="-3"/>
          <w:szCs w:val="20"/>
        </w:rPr>
        <w:t>-Z</w:t>
      </w:r>
      <w:r w:rsidRPr="00B874DD">
        <w:rPr>
          <w:rFonts w:cs="Arial"/>
          <w:spacing w:val="-3"/>
          <w:szCs w:val="20"/>
          <w:vertAlign w:val="superscript"/>
        </w:rPr>
        <w:t>®</w:t>
      </w:r>
    </w:p>
    <w:p w14:paraId="4F6E5C09" w14:textId="77777777" w:rsidR="006971C5" w:rsidRPr="00B874DD" w:rsidRDefault="006971C5" w:rsidP="006971C5">
      <w:pPr>
        <w:numPr>
          <w:ilvl w:val="0"/>
          <w:numId w:val="15"/>
        </w:numPr>
        <w:rPr>
          <w:rFonts w:cs="Arial"/>
          <w:iCs/>
          <w:spacing w:val="-3"/>
          <w:szCs w:val="20"/>
        </w:rPr>
      </w:pPr>
      <w:proofErr w:type="spellStart"/>
      <w:r w:rsidRPr="00B874DD">
        <w:rPr>
          <w:rFonts w:cs="Arial"/>
          <w:iCs/>
          <w:spacing w:val="-3"/>
          <w:szCs w:val="20"/>
        </w:rPr>
        <w:t>Travoprost</w:t>
      </w:r>
      <w:proofErr w:type="spellEnd"/>
    </w:p>
    <w:p w14:paraId="57CD9824" w14:textId="77777777" w:rsidR="006971C5" w:rsidRPr="00B874DD" w:rsidRDefault="006971C5" w:rsidP="006971C5">
      <w:pPr>
        <w:numPr>
          <w:ilvl w:val="0"/>
          <w:numId w:val="15"/>
        </w:numPr>
        <w:rPr>
          <w:rFonts w:cs="Arial"/>
          <w:iCs/>
          <w:spacing w:val="-3"/>
          <w:szCs w:val="20"/>
        </w:rPr>
      </w:pPr>
      <w:proofErr w:type="spellStart"/>
      <w:r w:rsidRPr="00B874DD">
        <w:rPr>
          <w:rFonts w:cs="Arial"/>
          <w:iCs/>
          <w:spacing w:val="-3"/>
          <w:szCs w:val="20"/>
        </w:rPr>
        <w:t>Vyzulta</w:t>
      </w:r>
      <w:proofErr w:type="spellEnd"/>
      <w:r w:rsidRPr="00B874DD">
        <w:rPr>
          <w:rFonts w:cs="Arial"/>
          <w:iCs/>
          <w:spacing w:val="-3"/>
          <w:szCs w:val="20"/>
          <w:vertAlign w:val="superscript"/>
        </w:rPr>
        <w:t>®</w:t>
      </w:r>
    </w:p>
    <w:p w14:paraId="055272E0" w14:textId="77777777" w:rsidR="006971C5" w:rsidRPr="00B874DD" w:rsidRDefault="006971C5" w:rsidP="006971C5">
      <w:pPr>
        <w:numPr>
          <w:ilvl w:val="0"/>
          <w:numId w:val="15"/>
        </w:numPr>
        <w:rPr>
          <w:rFonts w:cs="Arial"/>
          <w:iCs/>
          <w:spacing w:val="-3"/>
          <w:szCs w:val="20"/>
        </w:rPr>
      </w:pPr>
      <w:r w:rsidRPr="00B874DD">
        <w:rPr>
          <w:rFonts w:cs="Arial"/>
          <w:iCs/>
          <w:spacing w:val="-3"/>
          <w:szCs w:val="20"/>
        </w:rPr>
        <w:t>Xalatan</w:t>
      </w:r>
      <w:r w:rsidRPr="00B874DD">
        <w:rPr>
          <w:rFonts w:cs="Arial"/>
          <w:iCs/>
          <w:spacing w:val="-3"/>
          <w:szCs w:val="20"/>
          <w:vertAlign w:val="superscript"/>
        </w:rPr>
        <w:t>®</w:t>
      </w:r>
    </w:p>
    <w:p w14:paraId="470DAE07" w14:textId="77777777" w:rsidR="006971C5" w:rsidRPr="00B874DD" w:rsidRDefault="006971C5" w:rsidP="006971C5">
      <w:pPr>
        <w:numPr>
          <w:ilvl w:val="0"/>
          <w:numId w:val="15"/>
        </w:numPr>
        <w:rPr>
          <w:rFonts w:cs="Arial"/>
          <w:iCs/>
          <w:spacing w:val="-3"/>
          <w:szCs w:val="20"/>
        </w:rPr>
      </w:pPr>
      <w:proofErr w:type="spellStart"/>
      <w:r w:rsidRPr="00B874DD">
        <w:rPr>
          <w:rFonts w:cs="Arial"/>
          <w:iCs/>
          <w:spacing w:val="-3"/>
          <w:szCs w:val="20"/>
        </w:rPr>
        <w:t>Xelpros</w:t>
      </w:r>
      <w:proofErr w:type="spellEnd"/>
      <w:r w:rsidRPr="00B874DD">
        <w:rPr>
          <w:rFonts w:cs="Arial"/>
          <w:iCs/>
          <w:spacing w:val="-3"/>
          <w:szCs w:val="20"/>
          <w:vertAlign w:val="superscript"/>
        </w:rPr>
        <w:t>®</w:t>
      </w:r>
    </w:p>
    <w:p w14:paraId="6D696800" w14:textId="72DA1449" w:rsidR="00E23EC0" w:rsidRPr="006971C5" w:rsidRDefault="006971C5" w:rsidP="006971C5">
      <w:pPr>
        <w:pStyle w:val="ListParagraph"/>
        <w:numPr>
          <w:ilvl w:val="0"/>
          <w:numId w:val="15"/>
        </w:numPr>
        <w:rPr>
          <w:rFonts w:cs="Arial"/>
          <w:spacing w:val="-3"/>
          <w:szCs w:val="20"/>
        </w:rPr>
      </w:pPr>
      <w:proofErr w:type="spellStart"/>
      <w:r w:rsidRPr="006971C5">
        <w:rPr>
          <w:rFonts w:cs="Arial"/>
          <w:iCs/>
          <w:spacing w:val="-3"/>
          <w:szCs w:val="20"/>
        </w:rPr>
        <w:t>Zioptan</w:t>
      </w:r>
      <w:proofErr w:type="spellEnd"/>
      <w:r w:rsidRPr="006971C5">
        <w:rPr>
          <w:rFonts w:cs="Arial"/>
          <w:iCs/>
          <w:spacing w:val="-3"/>
          <w:szCs w:val="20"/>
          <w:vertAlign w:val="superscript"/>
        </w:rPr>
        <w:t>®</w:t>
      </w:r>
    </w:p>
    <w:p w14:paraId="59D574AB" w14:textId="77777777" w:rsidR="006971C5" w:rsidRPr="006971C5" w:rsidRDefault="006971C5" w:rsidP="006971C5">
      <w:pPr>
        <w:pStyle w:val="ListParagraph"/>
        <w:numPr>
          <w:ilvl w:val="0"/>
          <w:numId w:val="0"/>
        </w:numPr>
        <w:ind w:left="360"/>
        <w:rPr>
          <w:rFonts w:cs="Arial"/>
          <w:spacing w:val="-3"/>
          <w:szCs w:val="20"/>
        </w:rPr>
      </w:pPr>
    </w:p>
    <w:p w14:paraId="6413C027" w14:textId="18F824F6" w:rsidR="00AE77DB" w:rsidRPr="00C02553" w:rsidRDefault="00AE77DB" w:rsidP="00E354AA">
      <w:pPr>
        <w:pStyle w:val="Heading1"/>
        <w:rPr>
          <w:lang w:val="en-US"/>
        </w:rPr>
      </w:pPr>
      <w:r w:rsidRPr="00C02553">
        <w:rPr>
          <w:lang w:val="en-US"/>
        </w:rPr>
        <w:lastRenderedPageBreak/>
        <w:t xml:space="preserve">Setting &amp; Population </w:t>
      </w:r>
    </w:p>
    <w:p w14:paraId="04B7FBFB" w14:textId="5D22F288" w:rsidR="0097028A" w:rsidRPr="0079438F" w:rsidRDefault="0097028A" w:rsidP="00696E3A">
      <w:pPr>
        <w:rPr>
          <w:b/>
        </w:rPr>
      </w:pPr>
      <w:r w:rsidRPr="00696E3A">
        <w:rPr>
          <w:b/>
          <w:bCs/>
        </w:rPr>
        <w:t>Drug class for review:</w:t>
      </w:r>
      <w:r w:rsidRPr="00C02553">
        <w:t xml:space="preserve"> </w:t>
      </w:r>
      <w:r w:rsidR="00541326" w:rsidRPr="00092E07">
        <w:rPr>
          <w:rFonts w:cs="Arial"/>
          <w:szCs w:val="20"/>
        </w:rPr>
        <w:t>Glaucoma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4A846F4F" w14:textId="77777777" w:rsidR="00751BDC" w:rsidRPr="00A738C8" w:rsidRDefault="00751BDC" w:rsidP="00751BDC">
      <w:pPr>
        <w:pStyle w:val="ListParagraph"/>
        <w:numPr>
          <w:ilvl w:val="0"/>
          <w:numId w:val="17"/>
        </w:numPr>
        <w:rPr>
          <w:rFonts w:cs="Arial"/>
          <w:bCs/>
        </w:rPr>
      </w:pPr>
      <w:r w:rsidRPr="00A738C8">
        <w:rPr>
          <w:rFonts w:cs="Arial"/>
          <w:bCs/>
        </w:rPr>
        <w:t>Must meet one of the following:</w:t>
      </w:r>
    </w:p>
    <w:p w14:paraId="55AEFDB1" w14:textId="77777777" w:rsidR="00751BDC" w:rsidRPr="00A738C8" w:rsidRDefault="00751BDC" w:rsidP="00751BDC">
      <w:pPr>
        <w:pStyle w:val="ListParagraph"/>
        <w:numPr>
          <w:ilvl w:val="1"/>
          <w:numId w:val="17"/>
        </w:numPr>
        <w:rPr>
          <w:rFonts w:cs="Arial"/>
          <w:bCs/>
        </w:rPr>
      </w:pPr>
      <w:r w:rsidRPr="00A738C8">
        <w:rPr>
          <w:rFonts w:cs="Arial"/>
          <w:bCs/>
        </w:rPr>
        <w:t xml:space="preserve">Claim is for a preferred </w:t>
      </w:r>
      <w:proofErr w:type="gramStart"/>
      <w:r w:rsidRPr="00A738C8">
        <w:rPr>
          <w:rFonts w:cs="Arial"/>
          <w:bCs/>
        </w:rPr>
        <w:t>agent;</w:t>
      </w:r>
      <w:proofErr w:type="gramEnd"/>
    </w:p>
    <w:p w14:paraId="354760E5" w14:textId="77777777" w:rsidR="00751BDC" w:rsidRPr="00821E34" w:rsidRDefault="00751BDC" w:rsidP="00751BDC">
      <w:pPr>
        <w:pStyle w:val="ListParagraph"/>
        <w:numPr>
          <w:ilvl w:val="1"/>
          <w:numId w:val="17"/>
        </w:numPr>
        <w:rPr>
          <w:rFonts w:cs="Arial"/>
          <w:bCs/>
        </w:rPr>
      </w:pPr>
      <w:r>
        <w:rPr>
          <w:rFonts w:cs="Arial"/>
          <w:bCs/>
        </w:rPr>
        <w:t xml:space="preserve">Claim is </w:t>
      </w:r>
      <w:r w:rsidRPr="00821E34">
        <w:rPr>
          <w:rFonts w:cs="Arial"/>
          <w:bCs/>
        </w:rPr>
        <w:t xml:space="preserve">for </w:t>
      </w:r>
      <w:proofErr w:type="spellStart"/>
      <w:r w:rsidRPr="00821E34">
        <w:rPr>
          <w:rFonts w:cs="Arial"/>
          <w:bCs/>
        </w:rPr>
        <w:t>Rhopressa</w:t>
      </w:r>
      <w:proofErr w:type="spellEnd"/>
      <w:r w:rsidRPr="00821E34">
        <w:rPr>
          <w:rFonts w:cs="Arial"/>
          <w:bCs/>
        </w:rPr>
        <w:t xml:space="preserve">, </w:t>
      </w:r>
      <w:proofErr w:type="spellStart"/>
      <w:r w:rsidRPr="00821E34">
        <w:rPr>
          <w:rFonts w:cs="Arial"/>
          <w:bCs/>
        </w:rPr>
        <w:t>Rocklatan</w:t>
      </w:r>
      <w:proofErr w:type="spellEnd"/>
      <w:r w:rsidRPr="00821E34">
        <w:rPr>
          <w:rFonts w:cs="Arial"/>
          <w:bCs/>
        </w:rPr>
        <w:t xml:space="preserve">, </w:t>
      </w:r>
      <w:r>
        <w:rPr>
          <w:rFonts w:cs="Arial"/>
          <w:bCs/>
        </w:rPr>
        <w:t>or</w:t>
      </w:r>
      <w:r w:rsidRPr="00821E34">
        <w:rPr>
          <w:rFonts w:cs="Arial"/>
          <w:bCs/>
        </w:rPr>
        <w:t xml:space="preserve"> </w:t>
      </w:r>
      <w:proofErr w:type="spellStart"/>
      <w:r w:rsidRPr="00821E34">
        <w:rPr>
          <w:rFonts w:cs="Arial"/>
          <w:bCs/>
        </w:rPr>
        <w:t>Simbrinza</w:t>
      </w:r>
      <w:proofErr w:type="spellEnd"/>
      <w:r>
        <w:rPr>
          <w:rFonts w:cs="Arial"/>
          <w:bCs/>
        </w:rPr>
        <w:t xml:space="preserve"> – must meet one of the following</w:t>
      </w:r>
      <w:r w:rsidRPr="00821E34">
        <w:rPr>
          <w:rFonts w:cs="Arial"/>
          <w:bCs/>
        </w:rPr>
        <w:t>:</w:t>
      </w:r>
    </w:p>
    <w:p w14:paraId="0E5CF2C2" w14:textId="77777777" w:rsidR="00751BDC" w:rsidRPr="00821E34" w:rsidRDefault="00751BDC" w:rsidP="00751BDC">
      <w:pPr>
        <w:pStyle w:val="ListParagraph"/>
        <w:numPr>
          <w:ilvl w:val="2"/>
          <w:numId w:val="17"/>
        </w:numPr>
        <w:rPr>
          <w:rFonts w:cs="Arial"/>
          <w:bCs/>
        </w:rPr>
      </w:pPr>
      <w:r w:rsidRPr="00821E34">
        <w:rPr>
          <w:rFonts w:cs="Arial"/>
          <w:bCs/>
        </w:rPr>
        <w:t xml:space="preserve">Documented compliance on current therapy regimen; </w:t>
      </w:r>
      <w:r w:rsidRPr="00821E34">
        <w:rPr>
          <w:rFonts w:cs="Arial"/>
          <w:b/>
        </w:rPr>
        <w:t>OR</w:t>
      </w:r>
    </w:p>
    <w:p w14:paraId="1ED9AD7B" w14:textId="77777777" w:rsidR="00751BDC" w:rsidRPr="00A738C8" w:rsidRDefault="00751BDC" w:rsidP="00751BDC">
      <w:pPr>
        <w:pStyle w:val="ListParagraph"/>
        <w:numPr>
          <w:ilvl w:val="2"/>
          <w:numId w:val="17"/>
        </w:numPr>
        <w:rPr>
          <w:rFonts w:cs="Arial"/>
          <w:bCs/>
        </w:rPr>
      </w:pPr>
      <w:r w:rsidRPr="00821E34">
        <w:rPr>
          <w:rFonts w:cs="Arial"/>
          <w:bCs/>
        </w:rPr>
        <w:t xml:space="preserve">Adequate therapeutic trial of 1 prostaglandin agent and 1 beta-adrenergic blocking </w:t>
      </w:r>
      <w:proofErr w:type="gramStart"/>
      <w:r w:rsidRPr="00821E34">
        <w:rPr>
          <w:rFonts w:cs="Arial"/>
          <w:bCs/>
        </w:rPr>
        <w:t>agent</w:t>
      </w:r>
      <w:r>
        <w:rPr>
          <w:rFonts w:cs="Arial"/>
          <w:bCs/>
        </w:rPr>
        <w:t>;</w:t>
      </w:r>
      <w:proofErr w:type="gramEnd"/>
    </w:p>
    <w:p w14:paraId="1FE11995" w14:textId="77777777" w:rsidR="00751BDC" w:rsidRPr="00751BDC" w:rsidRDefault="00751BDC" w:rsidP="00751BDC">
      <w:pPr>
        <w:pStyle w:val="ListParagraph"/>
        <w:numPr>
          <w:ilvl w:val="1"/>
          <w:numId w:val="17"/>
        </w:numPr>
        <w:rPr>
          <w:rFonts w:cs="Arial"/>
          <w:bCs/>
        </w:rPr>
      </w:pPr>
      <w:r w:rsidRPr="00751BDC">
        <w:rPr>
          <w:rFonts w:cs="Arial"/>
          <w:bCs/>
        </w:rPr>
        <w:t xml:space="preserve">Claim is for </w:t>
      </w:r>
      <w:proofErr w:type="spellStart"/>
      <w:r w:rsidRPr="00751BDC">
        <w:rPr>
          <w:rFonts w:cs="Arial"/>
          <w:bCs/>
        </w:rPr>
        <w:t>Vyzulta</w:t>
      </w:r>
      <w:proofErr w:type="spellEnd"/>
      <w:r w:rsidRPr="00751BDC">
        <w:rPr>
          <w:rFonts w:cs="Arial"/>
          <w:bCs/>
        </w:rPr>
        <w:t xml:space="preserve"> – must meet </w:t>
      </w:r>
      <w:proofErr w:type="gramStart"/>
      <w:r w:rsidRPr="00751BDC">
        <w:rPr>
          <w:rFonts w:cs="Arial"/>
          <w:bCs/>
        </w:rPr>
        <w:t>all of</w:t>
      </w:r>
      <w:proofErr w:type="gramEnd"/>
      <w:r w:rsidRPr="00751BDC">
        <w:rPr>
          <w:rFonts w:cs="Arial"/>
          <w:bCs/>
        </w:rPr>
        <w:t xml:space="preserve"> the following:</w:t>
      </w:r>
    </w:p>
    <w:p w14:paraId="199F3110" w14:textId="77777777" w:rsidR="00751BDC" w:rsidRPr="00751BDC" w:rsidRDefault="00751BDC" w:rsidP="00751BDC">
      <w:pPr>
        <w:pStyle w:val="ListParagraph"/>
        <w:numPr>
          <w:ilvl w:val="2"/>
          <w:numId w:val="17"/>
        </w:numPr>
        <w:rPr>
          <w:rFonts w:cs="Arial"/>
          <w:bCs/>
        </w:rPr>
      </w:pPr>
      <w:r w:rsidRPr="00751BDC">
        <w:rPr>
          <w:rFonts w:cs="Arial"/>
          <w:bCs/>
        </w:rPr>
        <w:t xml:space="preserve">Documented therapeutic trial of 1 preferred prostaglandin agent; </w:t>
      </w:r>
      <w:r w:rsidRPr="0015705D">
        <w:rPr>
          <w:rFonts w:cs="Arial"/>
          <w:b/>
        </w:rPr>
        <w:t>AND</w:t>
      </w:r>
    </w:p>
    <w:p w14:paraId="0B29F4AE" w14:textId="77777777" w:rsidR="00751BDC" w:rsidRPr="00751BDC" w:rsidRDefault="00751BDC" w:rsidP="00751BDC">
      <w:pPr>
        <w:pStyle w:val="ListParagraph"/>
        <w:numPr>
          <w:ilvl w:val="2"/>
          <w:numId w:val="17"/>
        </w:numPr>
        <w:rPr>
          <w:rFonts w:cs="Arial"/>
          <w:bCs/>
        </w:rPr>
      </w:pPr>
      <w:r w:rsidRPr="00751BDC">
        <w:rPr>
          <w:rFonts w:cs="Arial"/>
          <w:bCs/>
        </w:rPr>
        <w:t xml:space="preserve">Documented therapeutic trial of 1 non-preferred prostaglandin </w:t>
      </w:r>
      <w:proofErr w:type="gramStart"/>
      <w:r w:rsidRPr="00751BDC">
        <w:rPr>
          <w:rFonts w:cs="Arial"/>
          <w:bCs/>
        </w:rPr>
        <w:t>agent;</w:t>
      </w:r>
      <w:proofErr w:type="gramEnd"/>
      <w:r w:rsidRPr="00751BDC">
        <w:rPr>
          <w:rFonts w:cs="Arial"/>
          <w:bCs/>
        </w:rPr>
        <w:t xml:space="preserve"> </w:t>
      </w:r>
      <w:r w:rsidRPr="0015705D">
        <w:rPr>
          <w:rFonts w:cs="Arial"/>
          <w:b/>
        </w:rPr>
        <w:t>OR</w:t>
      </w:r>
    </w:p>
    <w:p w14:paraId="639C5DB9" w14:textId="77777777" w:rsidR="00751BDC" w:rsidRPr="00A738C8" w:rsidRDefault="00751BDC" w:rsidP="00751BDC">
      <w:pPr>
        <w:pStyle w:val="ListParagraph"/>
        <w:numPr>
          <w:ilvl w:val="1"/>
          <w:numId w:val="17"/>
        </w:numPr>
        <w:rPr>
          <w:rFonts w:cs="Arial"/>
          <w:bCs/>
        </w:rPr>
      </w:pPr>
      <w:r>
        <w:rPr>
          <w:rFonts w:cs="Arial"/>
        </w:rPr>
        <w:t xml:space="preserve">For all other claims: </w:t>
      </w:r>
      <w:r w:rsidRPr="00A738C8">
        <w:rPr>
          <w:rFonts w:cs="Arial"/>
        </w:rPr>
        <w:t xml:space="preserve">Failure to achieve desired therapeutic outcomes with trial of 1 or more preferred </w:t>
      </w:r>
      <w:proofErr w:type="gramStart"/>
      <w:r w:rsidRPr="00A738C8">
        <w:rPr>
          <w:rFonts w:cs="Arial"/>
        </w:rPr>
        <w:t>agents;</w:t>
      </w:r>
      <w:proofErr w:type="gramEnd"/>
      <w:r w:rsidRPr="00A738C8">
        <w:rPr>
          <w:rFonts w:cs="Arial"/>
        </w:rPr>
        <w:t xml:space="preserve"> </w:t>
      </w:r>
    </w:p>
    <w:p w14:paraId="00C469FD" w14:textId="77777777" w:rsidR="00751BDC" w:rsidRPr="00A738C8" w:rsidRDefault="00751BDC" w:rsidP="00751BDC">
      <w:pPr>
        <w:pStyle w:val="ListParagraph"/>
        <w:numPr>
          <w:ilvl w:val="2"/>
          <w:numId w:val="17"/>
        </w:numPr>
        <w:rPr>
          <w:rFonts w:cs="Arial"/>
          <w:bCs/>
        </w:rPr>
      </w:pPr>
      <w:r w:rsidRPr="00A738C8">
        <w:rPr>
          <w:rFonts w:cs="Arial"/>
        </w:rPr>
        <w:t xml:space="preserve">Documented trial period for preferred agents; </w:t>
      </w:r>
      <w:r w:rsidRPr="00A738C8">
        <w:rPr>
          <w:rFonts w:cs="Arial"/>
          <w:b/>
          <w:bCs/>
        </w:rPr>
        <w:t>OR</w:t>
      </w:r>
    </w:p>
    <w:p w14:paraId="0A22B1FB" w14:textId="77777777" w:rsidR="00751BDC" w:rsidRPr="00A738C8" w:rsidRDefault="00751BDC" w:rsidP="00751BDC">
      <w:pPr>
        <w:pStyle w:val="ListParagraph"/>
        <w:numPr>
          <w:ilvl w:val="2"/>
          <w:numId w:val="17"/>
        </w:numPr>
        <w:rPr>
          <w:rFonts w:cs="Arial"/>
          <w:bCs/>
        </w:rPr>
      </w:pPr>
      <w:r w:rsidRPr="00A738C8">
        <w:rPr>
          <w:rFonts w:cs="Arial"/>
        </w:rPr>
        <w:t>Documented ADE/ADR to preferred agents.</w:t>
      </w:r>
    </w:p>
    <w:p w14:paraId="70129DF5" w14:textId="77777777" w:rsidR="00751BDC" w:rsidRDefault="00751BDC" w:rsidP="00751BDC">
      <w:pPr>
        <w:pStyle w:val="ListParagraph"/>
        <w:numPr>
          <w:ilvl w:val="0"/>
          <w:numId w:val="17"/>
        </w:numPr>
        <w:rPr>
          <w:rFonts w:cs="Arial"/>
          <w:bCs/>
        </w:rPr>
      </w:pPr>
      <w:r w:rsidRPr="00EF19B8">
        <w:rPr>
          <w:rFonts w:cs="Arial"/>
          <w:bCs/>
        </w:rPr>
        <w:t xml:space="preserve">Additional approval criteria for </w:t>
      </w:r>
      <w:proofErr w:type="spellStart"/>
      <w:r w:rsidRPr="00EF19B8">
        <w:rPr>
          <w:rFonts w:cs="Arial"/>
          <w:bCs/>
        </w:rPr>
        <w:t>Durysta</w:t>
      </w:r>
      <w:proofErr w:type="spellEnd"/>
      <w:r w:rsidRPr="00EF19B8">
        <w:rPr>
          <w:rFonts w:cs="Arial"/>
          <w:bCs/>
        </w:rPr>
        <w:t>: Clinical Consultant Review required for medical necessity</w:t>
      </w:r>
      <w:r>
        <w:rPr>
          <w:rFonts w:cs="Arial"/>
          <w:bCs/>
        </w:rPr>
        <w:t>.</w:t>
      </w:r>
    </w:p>
    <w:p w14:paraId="1542B90E" w14:textId="77777777" w:rsidR="00751BDC" w:rsidRPr="00751BDC" w:rsidRDefault="00751BDC" w:rsidP="00751BDC">
      <w:pPr>
        <w:pStyle w:val="ListParagraph"/>
        <w:numPr>
          <w:ilvl w:val="0"/>
          <w:numId w:val="17"/>
        </w:numPr>
        <w:rPr>
          <w:rFonts w:cs="Arial"/>
          <w:bCs/>
        </w:rPr>
      </w:pPr>
      <w:r w:rsidRPr="00751BDC">
        <w:rPr>
          <w:rFonts w:cs="Arial"/>
          <w:bCs/>
        </w:rPr>
        <w:t xml:space="preserve">Additional approval criteria for </w:t>
      </w:r>
      <w:proofErr w:type="spellStart"/>
      <w:r w:rsidRPr="00751BDC">
        <w:rPr>
          <w:rFonts w:cs="Arial"/>
          <w:bCs/>
        </w:rPr>
        <w:t>iDose</w:t>
      </w:r>
      <w:proofErr w:type="spellEnd"/>
      <w:r w:rsidRPr="00751BDC">
        <w:rPr>
          <w:rFonts w:cs="Arial"/>
          <w:bCs/>
        </w:rPr>
        <w:t xml:space="preserve"> TR: Clinical Consultant review for reason why </w:t>
      </w:r>
      <w:proofErr w:type="spellStart"/>
      <w:r w:rsidRPr="00751BDC">
        <w:rPr>
          <w:rFonts w:cs="Arial"/>
          <w:bCs/>
        </w:rPr>
        <w:t>travoprost</w:t>
      </w:r>
      <w:proofErr w:type="spellEnd"/>
      <w:r w:rsidRPr="00751BDC">
        <w:rPr>
          <w:rFonts w:cs="Arial"/>
          <w:bCs/>
        </w:rPr>
        <w:t xml:space="preserve"> ophthalmic drops cannot be utilized.</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 xml:space="preserve">Therapy will deny </w:t>
      </w:r>
      <w:proofErr w:type="gramStart"/>
      <w:r w:rsidRPr="00C722C9">
        <w:t>with</w:t>
      </w:r>
      <w:proofErr w:type="gramEnd"/>
      <w:r w:rsidRPr="00C722C9">
        <w:t xml:space="preserve"> presence of one of the following:</w:t>
      </w:r>
    </w:p>
    <w:p w14:paraId="272F6C51" w14:textId="77777777" w:rsidR="00F8348F" w:rsidRPr="0025216F" w:rsidRDefault="00F8348F" w:rsidP="00F8348F">
      <w:pPr>
        <w:numPr>
          <w:ilvl w:val="1"/>
          <w:numId w:val="6"/>
        </w:numPr>
        <w:rPr>
          <w:rFonts w:cs="Arial"/>
          <w:noProof/>
        </w:rPr>
      </w:pPr>
      <w:proofErr w:type="gramStart"/>
      <w:r>
        <w:rPr>
          <w:rFonts w:cs="Arial"/>
          <w:szCs w:val="20"/>
        </w:rPr>
        <w:t>Any</w:t>
      </w:r>
      <w:proofErr w:type="gramEnd"/>
      <w:r>
        <w:rPr>
          <w:rFonts w:cs="Arial"/>
          <w:szCs w:val="20"/>
        </w:rPr>
        <w:t xml:space="preserve"> approval criteria are not met.</w:t>
      </w:r>
    </w:p>
    <w:p w14:paraId="615B2EEC" w14:textId="77777777" w:rsidR="00F8348F" w:rsidRPr="00EF19B8" w:rsidRDefault="00F8348F" w:rsidP="00F8348F">
      <w:pPr>
        <w:pStyle w:val="ListParagraph"/>
        <w:rPr>
          <w:noProof/>
        </w:rPr>
      </w:pPr>
      <w:r w:rsidRPr="00EF19B8">
        <w:t xml:space="preserve">Additional denial criteria for </w:t>
      </w:r>
      <w:proofErr w:type="spellStart"/>
      <w:r w:rsidRPr="00EF19B8">
        <w:t>Durysta</w:t>
      </w:r>
      <w:proofErr w:type="spellEnd"/>
      <w:r w:rsidRPr="00EF19B8">
        <w:t>:</w:t>
      </w:r>
    </w:p>
    <w:p w14:paraId="0224093A" w14:textId="77777777" w:rsidR="00F8348F" w:rsidRPr="00EF19B8" w:rsidRDefault="00F8348F" w:rsidP="00F8348F">
      <w:pPr>
        <w:numPr>
          <w:ilvl w:val="1"/>
          <w:numId w:val="6"/>
        </w:numPr>
        <w:rPr>
          <w:rFonts w:cs="Arial"/>
          <w:noProof/>
        </w:rPr>
      </w:pPr>
      <w:r w:rsidRPr="00EF19B8">
        <w:rPr>
          <w:rFonts w:cs="Arial"/>
          <w:noProof/>
        </w:rPr>
        <w:t>Total therapy exceeds one treatment per eye</w:t>
      </w:r>
      <w:r>
        <w:rPr>
          <w:rFonts w:cs="Arial"/>
          <w:noProof/>
        </w:rPr>
        <w:t>.</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7CDAA30B" w:rsidR="00AE77DB" w:rsidRPr="00C02553" w:rsidRDefault="00AE77DB" w:rsidP="00343D6B">
      <w:pPr>
        <w:pStyle w:val="Heading1"/>
        <w:rPr>
          <w:lang w:val="en-US"/>
        </w:rPr>
      </w:pPr>
      <w:r w:rsidRPr="00C02553">
        <w:rPr>
          <w:lang w:val="en-US"/>
        </w:rPr>
        <w:t>References</w:t>
      </w:r>
    </w:p>
    <w:p w14:paraId="44A604D7" w14:textId="77777777" w:rsidR="00D32167" w:rsidRPr="008178D8" w:rsidRDefault="00D32167" w:rsidP="00D32167">
      <w:pPr>
        <w:pStyle w:val="ListParagraph"/>
        <w:numPr>
          <w:ilvl w:val="0"/>
          <w:numId w:val="19"/>
        </w:numPr>
        <w:rPr>
          <w:rFonts w:cs="Arial"/>
          <w:szCs w:val="20"/>
        </w:rPr>
      </w:pPr>
      <w:r w:rsidRPr="008178D8">
        <w:rPr>
          <w:rFonts w:cs="Arial"/>
          <w:szCs w:val="20"/>
        </w:rPr>
        <w:t xml:space="preserve">Evidence-Based Medicine and Fiscal Analysis: “Therapeutic Class Review: Ophthalmic: Glaucoma, Prostaglandin Agonists”, Gainwell Technologies; Last updated </w:t>
      </w:r>
      <w:r>
        <w:rPr>
          <w:rFonts w:cs="Arial"/>
          <w:szCs w:val="20"/>
        </w:rPr>
        <w:t>February 7, 2025</w:t>
      </w:r>
      <w:r w:rsidRPr="008178D8">
        <w:rPr>
          <w:rFonts w:cs="Arial"/>
          <w:szCs w:val="20"/>
        </w:rPr>
        <w:t>.</w:t>
      </w:r>
    </w:p>
    <w:p w14:paraId="30148C64" w14:textId="77777777" w:rsidR="00D32167" w:rsidRPr="008178D8" w:rsidRDefault="00D32167" w:rsidP="00D32167">
      <w:pPr>
        <w:pStyle w:val="ListParagraph"/>
        <w:numPr>
          <w:ilvl w:val="0"/>
          <w:numId w:val="19"/>
        </w:numPr>
        <w:rPr>
          <w:rFonts w:cs="Arial"/>
          <w:szCs w:val="20"/>
        </w:rPr>
      </w:pPr>
      <w:r w:rsidRPr="008178D8">
        <w:rPr>
          <w:rFonts w:cs="Arial"/>
          <w:szCs w:val="20"/>
        </w:rPr>
        <w:t>Evidence-Based Medicine and Fiscal Analysis: “Therapeutic Class Review: OPHTHALMIC: Glaucoma, Rho Kinase (ROCK</w:t>
      </w:r>
      <w:r>
        <w:rPr>
          <w:rFonts w:cs="Arial"/>
          <w:szCs w:val="20"/>
        </w:rPr>
        <w:t>)</w:t>
      </w:r>
      <w:r w:rsidRPr="008178D8">
        <w:rPr>
          <w:rFonts w:cs="Arial"/>
          <w:szCs w:val="20"/>
        </w:rPr>
        <w:t xml:space="preserve"> Inhibitors”, Gainwell Technologies; Last updated </w:t>
      </w:r>
      <w:r>
        <w:rPr>
          <w:rFonts w:cs="Arial"/>
          <w:szCs w:val="20"/>
        </w:rPr>
        <w:t>January 16, 2024</w:t>
      </w:r>
      <w:r w:rsidRPr="008178D8">
        <w:rPr>
          <w:rFonts w:cs="Arial"/>
          <w:szCs w:val="20"/>
        </w:rPr>
        <w:t>.</w:t>
      </w:r>
    </w:p>
    <w:p w14:paraId="1F5A9B77" w14:textId="13E0728D" w:rsidR="00D32167" w:rsidRPr="00A40277" w:rsidRDefault="00D32167" w:rsidP="00D32167">
      <w:pPr>
        <w:numPr>
          <w:ilvl w:val="0"/>
          <w:numId w:val="19"/>
        </w:numPr>
        <w:rPr>
          <w:rFonts w:cs="Arial"/>
          <w:szCs w:val="20"/>
        </w:rPr>
      </w:pPr>
      <w:r w:rsidRPr="00A40277">
        <w:rPr>
          <w:rFonts w:cs="Arial"/>
          <w:szCs w:val="20"/>
        </w:rPr>
        <w:t>Evidence-Based Medicine Analysis: “</w:t>
      </w:r>
      <w:r>
        <w:rPr>
          <w:rFonts w:cs="Arial"/>
          <w:szCs w:val="20"/>
        </w:rPr>
        <w:t xml:space="preserve">Ophthalmic </w:t>
      </w:r>
      <w:r w:rsidRPr="00A40277">
        <w:rPr>
          <w:rFonts w:cs="Arial"/>
          <w:szCs w:val="20"/>
        </w:rPr>
        <w:t xml:space="preserve">Glaucoma Agents”, UMKC-DIC; Last updated </w:t>
      </w:r>
      <w:r>
        <w:rPr>
          <w:rFonts w:cs="Arial"/>
          <w:szCs w:val="20"/>
        </w:rPr>
        <w:t>November</w:t>
      </w:r>
      <w:r w:rsidRPr="00A40277">
        <w:rPr>
          <w:rFonts w:cs="Arial"/>
          <w:szCs w:val="20"/>
        </w:rPr>
        <w:t xml:space="preserve"> 202</w:t>
      </w:r>
      <w:r w:rsidR="00A0562A">
        <w:rPr>
          <w:rFonts w:cs="Arial"/>
          <w:szCs w:val="20"/>
        </w:rPr>
        <w:t>5</w:t>
      </w:r>
      <w:r w:rsidRPr="00A40277">
        <w:rPr>
          <w:rFonts w:cs="Arial"/>
          <w:szCs w:val="20"/>
        </w:rPr>
        <w:t>.</w:t>
      </w:r>
      <w:bookmarkStart w:id="2" w:name="_Hlk34121003"/>
    </w:p>
    <w:p w14:paraId="720AF47A" w14:textId="7FE6CA05" w:rsidR="00D32167" w:rsidRDefault="00D32167" w:rsidP="00D32167">
      <w:pPr>
        <w:numPr>
          <w:ilvl w:val="0"/>
          <w:numId w:val="19"/>
        </w:numPr>
        <w:rPr>
          <w:rFonts w:cs="Arial"/>
          <w:szCs w:val="20"/>
        </w:rPr>
      </w:pPr>
      <w:r w:rsidRPr="00631D31">
        <w:rPr>
          <w:rFonts w:cs="Arial"/>
          <w:szCs w:val="20"/>
        </w:rPr>
        <w:t>USPDI, Micromedex; 202</w:t>
      </w:r>
      <w:r>
        <w:rPr>
          <w:rFonts w:cs="Arial"/>
          <w:szCs w:val="20"/>
        </w:rPr>
        <w:t>6</w:t>
      </w:r>
      <w:r w:rsidRPr="00631D31">
        <w:rPr>
          <w:rFonts w:cs="Arial"/>
          <w:szCs w:val="20"/>
        </w:rPr>
        <w:t xml:space="preserve">. </w:t>
      </w:r>
    </w:p>
    <w:p w14:paraId="2951DAC4" w14:textId="78BD90F3" w:rsidR="00D32167" w:rsidRDefault="00D32167" w:rsidP="00D32167">
      <w:pPr>
        <w:numPr>
          <w:ilvl w:val="0"/>
          <w:numId w:val="19"/>
        </w:numPr>
        <w:rPr>
          <w:rFonts w:cs="Arial"/>
          <w:szCs w:val="20"/>
        </w:rPr>
      </w:pPr>
      <w:r w:rsidRPr="00631D31">
        <w:rPr>
          <w:rFonts w:cs="Arial"/>
          <w:szCs w:val="20"/>
        </w:rPr>
        <w:t xml:space="preserve">Facts and Comparisons </w:t>
      </w:r>
      <w:proofErr w:type="spellStart"/>
      <w:r w:rsidRPr="00631D31">
        <w:rPr>
          <w:rFonts w:cs="Arial"/>
          <w:szCs w:val="20"/>
        </w:rPr>
        <w:t>eAnswers</w:t>
      </w:r>
      <w:proofErr w:type="spellEnd"/>
      <w:r w:rsidRPr="00631D31">
        <w:rPr>
          <w:rFonts w:cs="Arial"/>
          <w:szCs w:val="20"/>
        </w:rPr>
        <w:t xml:space="preserve"> (online); 202</w:t>
      </w:r>
      <w:r>
        <w:rPr>
          <w:rFonts w:cs="Arial"/>
          <w:szCs w:val="20"/>
        </w:rPr>
        <w:t>6</w:t>
      </w:r>
      <w:r w:rsidRPr="00631D31">
        <w:rPr>
          <w:rFonts w:cs="Arial"/>
          <w:szCs w:val="20"/>
        </w:rPr>
        <w:t xml:space="preserve"> Clinical Drug Information, LLC. </w:t>
      </w:r>
      <w:bookmarkEnd w:id="2"/>
    </w:p>
    <w:p w14:paraId="44426127" w14:textId="77777777" w:rsidR="00D32167" w:rsidRPr="00631D31" w:rsidRDefault="00D32167" w:rsidP="00D32167">
      <w:pPr>
        <w:numPr>
          <w:ilvl w:val="0"/>
          <w:numId w:val="19"/>
        </w:numPr>
        <w:rPr>
          <w:rFonts w:cs="Arial"/>
          <w:szCs w:val="20"/>
        </w:rPr>
      </w:pPr>
      <w:r>
        <w:rPr>
          <w:rFonts w:cs="Arial"/>
          <w:szCs w:val="20"/>
        </w:rPr>
        <w:t>Jacobs DS. Open-angle glaucoma: Treatment. UpToDate. UpToDate; 2025. Accessed March 13, 2025.</w:t>
      </w:r>
    </w:p>
    <w:p w14:paraId="3FA1E7DB" w14:textId="1DA7AD09" w:rsidR="00777CA4" w:rsidRDefault="00777CA4" w:rsidP="00D32167"/>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90ED0" w14:textId="77777777" w:rsidR="00394761" w:rsidRPr="00C02553" w:rsidRDefault="00394761" w:rsidP="00AE77DB">
      <w:r w:rsidRPr="00C02553">
        <w:separator/>
      </w:r>
    </w:p>
  </w:endnote>
  <w:endnote w:type="continuationSeparator" w:id="0">
    <w:p w14:paraId="00B6DD9B" w14:textId="77777777" w:rsidR="00394761" w:rsidRPr="00C02553" w:rsidRDefault="00394761" w:rsidP="00AE77DB">
      <w:r w:rsidRPr="00C02553">
        <w:continuationSeparator/>
      </w:r>
    </w:p>
  </w:endnote>
  <w:endnote w:type="continuationNotice" w:id="1">
    <w:p w14:paraId="3E7641F6" w14:textId="77777777" w:rsidR="00394761" w:rsidRPr="00C02553" w:rsidRDefault="00394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C797" w14:textId="77777777" w:rsidR="00394761" w:rsidRPr="00C02553" w:rsidRDefault="00394761" w:rsidP="00AE77DB">
      <w:r w:rsidRPr="00C02553">
        <w:separator/>
      </w:r>
    </w:p>
  </w:footnote>
  <w:footnote w:type="continuationSeparator" w:id="0">
    <w:p w14:paraId="259A4938" w14:textId="77777777" w:rsidR="00394761" w:rsidRPr="00C02553" w:rsidRDefault="00394761" w:rsidP="00AE77DB">
      <w:r w:rsidRPr="00C02553">
        <w:continuationSeparator/>
      </w:r>
    </w:p>
  </w:footnote>
  <w:footnote w:type="continuationNotice" w:id="1">
    <w:p w14:paraId="7BFF6B27" w14:textId="77777777" w:rsidR="00394761" w:rsidRPr="00C02553" w:rsidRDefault="003947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55A7677"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6A7F86B3"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10B9B89"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75922F0"/>
    <w:multiLevelType w:val="hybridMultilevel"/>
    <w:tmpl w:val="074C70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106E2F"/>
    <w:multiLevelType w:val="hybridMultilevel"/>
    <w:tmpl w:val="A62455E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81BAE"/>
    <w:multiLevelType w:val="hybridMultilevel"/>
    <w:tmpl w:val="1C6E2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4"/>
  </w:num>
  <w:num w:numId="4" w16cid:durableId="320159068">
    <w:abstractNumId w:val="10"/>
  </w:num>
  <w:num w:numId="5" w16cid:durableId="1769498754">
    <w:abstractNumId w:val="3"/>
  </w:num>
  <w:num w:numId="6" w16cid:durableId="1094596320">
    <w:abstractNumId w:val="16"/>
  </w:num>
  <w:num w:numId="7" w16cid:durableId="2110008555">
    <w:abstractNumId w:val="2"/>
  </w:num>
  <w:num w:numId="8" w16cid:durableId="489712751">
    <w:abstractNumId w:val="9"/>
  </w:num>
  <w:num w:numId="9" w16cid:durableId="1085147965">
    <w:abstractNumId w:val="13"/>
  </w:num>
  <w:num w:numId="10" w16cid:durableId="917518096">
    <w:abstractNumId w:val="11"/>
  </w:num>
  <w:num w:numId="11" w16cid:durableId="1894998475">
    <w:abstractNumId w:val="1"/>
  </w:num>
  <w:num w:numId="12" w16cid:durableId="1418215296">
    <w:abstractNumId w:val="17"/>
  </w:num>
  <w:num w:numId="13" w16cid:durableId="604729665">
    <w:abstractNumId w:val="7"/>
  </w:num>
  <w:num w:numId="14" w16cid:durableId="1805081292">
    <w:abstractNumId w:val="15"/>
  </w:num>
  <w:num w:numId="15" w16cid:durableId="1130441077">
    <w:abstractNumId w:val="8"/>
  </w:num>
  <w:num w:numId="16" w16cid:durableId="1729500346">
    <w:abstractNumId w:val="12"/>
  </w:num>
  <w:num w:numId="17" w16cid:durableId="2109570436">
    <w:abstractNumId w:val="5"/>
  </w:num>
  <w:num w:numId="18" w16cid:durableId="1591087049">
    <w:abstractNumId w:val="14"/>
  </w:num>
  <w:num w:numId="19" w16cid:durableId="76134291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KxFv9HDK8lVTU4hvENrPNaX0UOM9k4fJ9xlvOezS6MQveKa0nsL/A0Hri+TxrvBxXKRqu0DCSm2H6VuLaUfUWQ==" w:salt="CcquuLl49ZbD1oBQfmpKJ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0EC0"/>
    <w:rsid w:val="0000390A"/>
    <w:rsid w:val="0000457E"/>
    <w:rsid w:val="00006A61"/>
    <w:rsid w:val="000276D9"/>
    <w:rsid w:val="000344C5"/>
    <w:rsid w:val="00040AD3"/>
    <w:rsid w:val="00053807"/>
    <w:rsid w:val="000572E5"/>
    <w:rsid w:val="00057F84"/>
    <w:rsid w:val="00061541"/>
    <w:rsid w:val="00064162"/>
    <w:rsid w:val="00065C22"/>
    <w:rsid w:val="00074464"/>
    <w:rsid w:val="00076030"/>
    <w:rsid w:val="00082590"/>
    <w:rsid w:val="000913C3"/>
    <w:rsid w:val="000953B9"/>
    <w:rsid w:val="000A413B"/>
    <w:rsid w:val="000A6279"/>
    <w:rsid w:val="000B496B"/>
    <w:rsid w:val="000C3940"/>
    <w:rsid w:val="000C5992"/>
    <w:rsid w:val="000C7F5D"/>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5A7E"/>
    <w:rsid w:val="0015636A"/>
    <w:rsid w:val="0015705D"/>
    <w:rsid w:val="00172053"/>
    <w:rsid w:val="00177A80"/>
    <w:rsid w:val="001A50CB"/>
    <w:rsid w:val="001A74B7"/>
    <w:rsid w:val="001B2D47"/>
    <w:rsid w:val="001C0250"/>
    <w:rsid w:val="001C6DA4"/>
    <w:rsid w:val="001C73B1"/>
    <w:rsid w:val="001D1E7D"/>
    <w:rsid w:val="001D6567"/>
    <w:rsid w:val="001D767E"/>
    <w:rsid w:val="001E2CCB"/>
    <w:rsid w:val="001E4CBA"/>
    <w:rsid w:val="001E523C"/>
    <w:rsid w:val="001E61DF"/>
    <w:rsid w:val="001F2B9F"/>
    <w:rsid w:val="001F5954"/>
    <w:rsid w:val="00202DD3"/>
    <w:rsid w:val="00206E7D"/>
    <w:rsid w:val="00213E6B"/>
    <w:rsid w:val="00217E14"/>
    <w:rsid w:val="00217EFD"/>
    <w:rsid w:val="00222134"/>
    <w:rsid w:val="0022233F"/>
    <w:rsid w:val="00226275"/>
    <w:rsid w:val="00246564"/>
    <w:rsid w:val="00246A3B"/>
    <w:rsid w:val="002524A5"/>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896"/>
    <w:rsid w:val="00347FB5"/>
    <w:rsid w:val="00355515"/>
    <w:rsid w:val="00357EBB"/>
    <w:rsid w:val="003608B5"/>
    <w:rsid w:val="003613AF"/>
    <w:rsid w:val="00363B05"/>
    <w:rsid w:val="003878C1"/>
    <w:rsid w:val="00394761"/>
    <w:rsid w:val="00396C0B"/>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4F6D53"/>
    <w:rsid w:val="00501A14"/>
    <w:rsid w:val="00501DE3"/>
    <w:rsid w:val="005058CB"/>
    <w:rsid w:val="0051044D"/>
    <w:rsid w:val="005139E4"/>
    <w:rsid w:val="00515075"/>
    <w:rsid w:val="00520FE9"/>
    <w:rsid w:val="005233E7"/>
    <w:rsid w:val="005328B2"/>
    <w:rsid w:val="00535BD5"/>
    <w:rsid w:val="00540977"/>
    <w:rsid w:val="00541326"/>
    <w:rsid w:val="00551668"/>
    <w:rsid w:val="005572D5"/>
    <w:rsid w:val="00566BE4"/>
    <w:rsid w:val="00570D21"/>
    <w:rsid w:val="00573856"/>
    <w:rsid w:val="00576113"/>
    <w:rsid w:val="00590652"/>
    <w:rsid w:val="0059235F"/>
    <w:rsid w:val="00596936"/>
    <w:rsid w:val="005A2F1E"/>
    <w:rsid w:val="005A39A3"/>
    <w:rsid w:val="005A4232"/>
    <w:rsid w:val="005A4C7C"/>
    <w:rsid w:val="005C3616"/>
    <w:rsid w:val="005D36B2"/>
    <w:rsid w:val="005D52E7"/>
    <w:rsid w:val="005D78B5"/>
    <w:rsid w:val="005E3572"/>
    <w:rsid w:val="005E45E4"/>
    <w:rsid w:val="005F0A81"/>
    <w:rsid w:val="005F0FCF"/>
    <w:rsid w:val="0060042F"/>
    <w:rsid w:val="006008BC"/>
    <w:rsid w:val="00602CFD"/>
    <w:rsid w:val="00603BF4"/>
    <w:rsid w:val="00606B55"/>
    <w:rsid w:val="00612A7B"/>
    <w:rsid w:val="00616E5E"/>
    <w:rsid w:val="00616F54"/>
    <w:rsid w:val="006173A4"/>
    <w:rsid w:val="006176D5"/>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623"/>
    <w:rsid w:val="00696E3A"/>
    <w:rsid w:val="006971C5"/>
    <w:rsid w:val="006A0834"/>
    <w:rsid w:val="006A4BBD"/>
    <w:rsid w:val="006A52F1"/>
    <w:rsid w:val="006B561D"/>
    <w:rsid w:val="006B6D5D"/>
    <w:rsid w:val="006D2330"/>
    <w:rsid w:val="006E0F8B"/>
    <w:rsid w:val="006E12F7"/>
    <w:rsid w:val="006E29D7"/>
    <w:rsid w:val="006F16F4"/>
    <w:rsid w:val="007068A4"/>
    <w:rsid w:val="00706D67"/>
    <w:rsid w:val="00713052"/>
    <w:rsid w:val="00721367"/>
    <w:rsid w:val="007231FA"/>
    <w:rsid w:val="00732C67"/>
    <w:rsid w:val="00734418"/>
    <w:rsid w:val="00751BDC"/>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C0056"/>
    <w:rsid w:val="007D2920"/>
    <w:rsid w:val="007D42DD"/>
    <w:rsid w:val="007E6A37"/>
    <w:rsid w:val="007F1774"/>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6B05"/>
    <w:rsid w:val="008E3AB1"/>
    <w:rsid w:val="008E7D2D"/>
    <w:rsid w:val="008F44C0"/>
    <w:rsid w:val="008F5999"/>
    <w:rsid w:val="00901042"/>
    <w:rsid w:val="00903AD6"/>
    <w:rsid w:val="00904D7A"/>
    <w:rsid w:val="00915332"/>
    <w:rsid w:val="009204BB"/>
    <w:rsid w:val="00935918"/>
    <w:rsid w:val="00935EC3"/>
    <w:rsid w:val="00951097"/>
    <w:rsid w:val="00953C1E"/>
    <w:rsid w:val="009575DF"/>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62A"/>
    <w:rsid w:val="00A05B60"/>
    <w:rsid w:val="00A122D3"/>
    <w:rsid w:val="00A13266"/>
    <w:rsid w:val="00A14FA6"/>
    <w:rsid w:val="00A15D64"/>
    <w:rsid w:val="00A20575"/>
    <w:rsid w:val="00A32452"/>
    <w:rsid w:val="00A32BBF"/>
    <w:rsid w:val="00A37444"/>
    <w:rsid w:val="00A4281A"/>
    <w:rsid w:val="00A459CF"/>
    <w:rsid w:val="00A46D5D"/>
    <w:rsid w:val="00A5014D"/>
    <w:rsid w:val="00A53E96"/>
    <w:rsid w:val="00A56F18"/>
    <w:rsid w:val="00A628F8"/>
    <w:rsid w:val="00A62BAA"/>
    <w:rsid w:val="00A66172"/>
    <w:rsid w:val="00A73399"/>
    <w:rsid w:val="00A744C3"/>
    <w:rsid w:val="00AA70AB"/>
    <w:rsid w:val="00AB0B9F"/>
    <w:rsid w:val="00AB1713"/>
    <w:rsid w:val="00AB63BE"/>
    <w:rsid w:val="00AC1EBC"/>
    <w:rsid w:val="00AC2599"/>
    <w:rsid w:val="00AC2DE9"/>
    <w:rsid w:val="00AD2C5F"/>
    <w:rsid w:val="00AE1481"/>
    <w:rsid w:val="00AE27F9"/>
    <w:rsid w:val="00AE77DB"/>
    <w:rsid w:val="00AF7453"/>
    <w:rsid w:val="00B00FFF"/>
    <w:rsid w:val="00B06084"/>
    <w:rsid w:val="00B16735"/>
    <w:rsid w:val="00B17EDE"/>
    <w:rsid w:val="00B217F9"/>
    <w:rsid w:val="00B22585"/>
    <w:rsid w:val="00B33693"/>
    <w:rsid w:val="00B34C53"/>
    <w:rsid w:val="00B507A5"/>
    <w:rsid w:val="00B52475"/>
    <w:rsid w:val="00B535DA"/>
    <w:rsid w:val="00B56DCC"/>
    <w:rsid w:val="00B56F54"/>
    <w:rsid w:val="00B638C2"/>
    <w:rsid w:val="00B758AB"/>
    <w:rsid w:val="00B76277"/>
    <w:rsid w:val="00B772AB"/>
    <w:rsid w:val="00B77D03"/>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158D"/>
    <w:rsid w:val="00BF5EEF"/>
    <w:rsid w:val="00C02553"/>
    <w:rsid w:val="00C03299"/>
    <w:rsid w:val="00C04EB6"/>
    <w:rsid w:val="00C056F9"/>
    <w:rsid w:val="00C1018C"/>
    <w:rsid w:val="00C1150E"/>
    <w:rsid w:val="00C14D52"/>
    <w:rsid w:val="00C2586C"/>
    <w:rsid w:val="00C26001"/>
    <w:rsid w:val="00C31573"/>
    <w:rsid w:val="00C34E72"/>
    <w:rsid w:val="00C56B1F"/>
    <w:rsid w:val="00C61B52"/>
    <w:rsid w:val="00C62745"/>
    <w:rsid w:val="00C654CA"/>
    <w:rsid w:val="00C722C9"/>
    <w:rsid w:val="00C73746"/>
    <w:rsid w:val="00C763BD"/>
    <w:rsid w:val="00C779A8"/>
    <w:rsid w:val="00C82E19"/>
    <w:rsid w:val="00C96873"/>
    <w:rsid w:val="00CA1735"/>
    <w:rsid w:val="00CA3C4B"/>
    <w:rsid w:val="00CA7252"/>
    <w:rsid w:val="00CB2C5A"/>
    <w:rsid w:val="00CE0C1C"/>
    <w:rsid w:val="00CE34AF"/>
    <w:rsid w:val="00CF00A4"/>
    <w:rsid w:val="00CF25FB"/>
    <w:rsid w:val="00CF614C"/>
    <w:rsid w:val="00D02840"/>
    <w:rsid w:val="00D02F34"/>
    <w:rsid w:val="00D13D87"/>
    <w:rsid w:val="00D16590"/>
    <w:rsid w:val="00D20720"/>
    <w:rsid w:val="00D250D9"/>
    <w:rsid w:val="00D27533"/>
    <w:rsid w:val="00D32167"/>
    <w:rsid w:val="00D32208"/>
    <w:rsid w:val="00D42DA3"/>
    <w:rsid w:val="00D4546D"/>
    <w:rsid w:val="00D47996"/>
    <w:rsid w:val="00D61118"/>
    <w:rsid w:val="00D614F1"/>
    <w:rsid w:val="00D65FA7"/>
    <w:rsid w:val="00D70D50"/>
    <w:rsid w:val="00D71917"/>
    <w:rsid w:val="00D8495C"/>
    <w:rsid w:val="00D84B62"/>
    <w:rsid w:val="00DA3A0F"/>
    <w:rsid w:val="00DA4E62"/>
    <w:rsid w:val="00DA6990"/>
    <w:rsid w:val="00DB27BA"/>
    <w:rsid w:val="00DB337A"/>
    <w:rsid w:val="00DB685E"/>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0709"/>
    <w:rsid w:val="00ED7B42"/>
    <w:rsid w:val="00EE3EA5"/>
    <w:rsid w:val="00EE613F"/>
    <w:rsid w:val="00EE6BD1"/>
    <w:rsid w:val="00EF0262"/>
    <w:rsid w:val="00EF0828"/>
    <w:rsid w:val="00EF4F7A"/>
    <w:rsid w:val="00EF6F8B"/>
    <w:rsid w:val="00F03898"/>
    <w:rsid w:val="00F1527A"/>
    <w:rsid w:val="00F2696B"/>
    <w:rsid w:val="00F27821"/>
    <w:rsid w:val="00F4092A"/>
    <w:rsid w:val="00F41F69"/>
    <w:rsid w:val="00F43E41"/>
    <w:rsid w:val="00F4790C"/>
    <w:rsid w:val="00F50C4B"/>
    <w:rsid w:val="00F54C08"/>
    <w:rsid w:val="00F553A2"/>
    <w:rsid w:val="00F6068C"/>
    <w:rsid w:val="00F62D40"/>
    <w:rsid w:val="00F62F33"/>
    <w:rsid w:val="00F63A52"/>
    <w:rsid w:val="00F730BA"/>
    <w:rsid w:val="00F8348F"/>
    <w:rsid w:val="00F903BE"/>
    <w:rsid w:val="00F95D04"/>
    <w:rsid w:val="00FA16EC"/>
    <w:rsid w:val="00FA2811"/>
    <w:rsid w:val="00FA4837"/>
    <w:rsid w:val="00FB1D33"/>
    <w:rsid w:val="00FB5E96"/>
    <w:rsid w:val="00FC05A0"/>
    <w:rsid w:val="00FC6758"/>
    <w:rsid w:val="00FD1791"/>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D32167"/>
    <w:rPr>
      <w:sz w:val="16"/>
      <w:szCs w:val="16"/>
    </w:rPr>
  </w:style>
  <w:style w:type="paragraph" w:styleId="CommentSubject">
    <w:name w:val="annotation subject"/>
    <w:basedOn w:val="CommentText"/>
    <w:next w:val="CommentText"/>
    <w:link w:val="CommentSubjectChar"/>
    <w:uiPriority w:val="99"/>
    <w:semiHidden/>
    <w:unhideWhenUsed/>
    <w:rsid w:val="00D32167"/>
    <w:rPr>
      <w:b/>
      <w:bCs/>
    </w:rPr>
  </w:style>
  <w:style w:type="character" w:customStyle="1" w:styleId="CommentTextChar">
    <w:name w:val="Comment Text Char"/>
    <w:basedOn w:val="DefaultParagraphFont"/>
    <w:link w:val="CommentText"/>
    <w:semiHidden/>
    <w:rsid w:val="00D32167"/>
    <w:rPr>
      <w:rFonts w:ascii="Arial" w:hAnsi="Arial"/>
    </w:rPr>
  </w:style>
  <w:style w:type="character" w:customStyle="1" w:styleId="CommentSubjectChar">
    <w:name w:val="Comment Subject Char"/>
    <w:basedOn w:val="CommentTextChar"/>
    <w:link w:val="CommentSubject"/>
    <w:uiPriority w:val="99"/>
    <w:semiHidden/>
    <w:rsid w:val="00D32167"/>
    <w:rPr>
      <w:rFonts w:ascii="Arial" w:hAnsi="Arial"/>
      <w:b/>
      <w:bCs/>
    </w:rPr>
  </w:style>
  <w:style w:type="paragraph" w:styleId="Revision">
    <w:name w:val="Revision"/>
    <w:hidden/>
    <w:uiPriority w:val="99"/>
    <w:semiHidden/>
    <w:rsid w:val="00D65FA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04981D-A44F-47BD-ABAE-446A22389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aba01ddc-ae9a-4c9e-819c-7140b4239cde"/>
    <ds:schemaRef ds:uri="http://schemas.openxmlformats.org/package/2006/metadata/core-properties"/>
    <ds:schemaRef ds:uri="http://schemas.microsoft.com/office/2006/documentManagement/types"/>
    <ds:schemaRef ds:uri="http://purl.org/dc/dcmitype/"/>
    <ds:schemaRef ds:uri="f5eefb00-5952-4f7e-8cf8-96f81cfadd01"/>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3156</Characters>
  <Application>Microsoft Office Word</Application>
  <DocSecurity>10</DocSecurity>
  <Lines>26</Lines>
  <Paragraphs>7</Paragraphs>
  <ScaleCrop>false</ScaleCrop>
  <HeadingPairs>
    <vt:vector size="2" baseType="variant">
      <vt:variant>
        <vt:lpstr>Title</vt:lpstr>
      </vt:variant>
      <vt:variant>
        <vt:i4>1</vt:i4>
      </vt:variant>
    </vt:vector>
  </HeadingPairs>
  <TitlesOfParts>
    <vt:vector size="1" baseType="lpstr">
      <vt:lpstr>Glaucoma Agents PDL</vt:lpstr>
    </vt:vector>
  </TitlesOfParts>
  <Company>DSS</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Glaucoma Agents PDL</dc:title>
  <dc:creator>DMS</dc:creator>
  <cp:lastModifiedBy>Heriford, Katherine</cp:lastModifiedBy>
  <cp:revision>2</cp:revision>
  <cp:lastPrinted>2018-10-31T20:17:00Z</cp:lastPrinted>
  <dcterms:created xsi:type="dcterms:W3CDTF">2026-06-25T17:24:00Z</dcterms:created>
  <dcterms:modified xsi:type="dcterms:W3CDTF">2026-06-25T17:24:00Z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