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402C7594" w:rsidR="004C5767" w:rsidRPr="008859E1" w:rsidRDefault="004C5767" w:rsidP="00D27533">
      <w:pPr>
        <w:pStyle w:val="tbody"/>
        <w:rPr>
          <w:b w:val="0"/>
          <w:bCs/>
        </w:rPr>
      </w:pPr>
      <w:r w:rsidRPr="00C02553">
        <w:t>Drug/Drug Class:</w:t>
      </w:r>
      <w:r w:rsidR="003B4820" w:rsidRPr="00573856">
        <w:rPr>
          <w:b w:val="0"/>
          <w:bCs/>
        </w:rPr>
        <w:t xml:space="preserve"> </w:t>
      </w:r>
      <w:r w:rsidR="00753A55" w:rsidRPr="00753A55">
        <w:rPr>
          <w:b w:val="0"/>
          <w:bCs/>
        </w:rPr>
        <w:t>Sodium-Glucose Co-Transporter (SGLT) Inhibitors &amp; Combination Agents PDL Edit</w:t>
      </w:r>
    </w:p>
    <w:p w14:paraId="7AD7FFCE" w14:textId="1E53D253" w:rsidR="004C5767" w:rsidRPr="00C02553" w:rsidRDefault="004C5767" w:rsidP="00D27533">
      <w:pPr>
        <w:pStyle w:val="tbody"/>
      </w:pPr>
      <w:r w:rsidRPr="00C02553">
        <w:t>First Implementation Date:</w:t>
      </w:r>
      <w:r w:rsidRPr="00573856">
        <w:rPr>
          <w:b w:val="0"/>
          <w:bCs/>
        </w:rPr>
        <w:t xml:space="preserve"> </w:t>
      </w:r>
      <w:r w:rsidR="002A7794" w:rsidRPr="002A7794">
        <w:rPr>
          <w:b w:val="0"/>
          <w:bCs/>
        </w:rPr>
        <w:t>October 2, 2014</w:t>
      </w:r>
    </w:p>
    <w:p w14:paraId="4B7D760D" w14:textId="13BD6B09" w:rsidR="004C5767" w:rsidRPr="00057F84" w:rsidRDefault="00753A55" w:rsidP="70E341D6">
      <w:pPr>
        <w:pStyle w:val="tbody"/>
        <w:rPr>
          <w:b w:val="0"/>
        </w:rPr>
      </w:pPr>
      <w:r>
        <w:t>Revised</w:t>
      </w:r>
      <w:r w:rsidR="004C5767">
        <w:t xml:space="preserve"> Date:</w:t>
      </w:r>
      <w:r w:rsidR="00065C22">
        <w:t xml:space="preserve"> </w:t>
      </w:r>
      <w:r w:rsidR="00A70CB1">
        <w:rPr>
          <w:b w:val="0"/>
          <w:bCs/>
        </w:rPr>
        <w:t>May 22</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20DF56C7" w:rsidR="004C5767" w:rsidRPr="00D27533" w:rsidRDefault="004C5767" w:rsidP="00D27533">
      <w:pPr>
        <w:pStyle w:val="tbody"/>
        <w:rPr>
          <w:b w:val="0"/>
          <w:bCs/>
          <w:spacing w:val="-3"/>
        </w:rPr>
      </w:pPr>
      <w:r w:rsidRPr="00C02553">
        <w:t xml:space="preserve">Criteria Status: </w:t>
      </w:r>
      <w:r w:rsidR="00566BE4">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3944BF6B" w14:textId="77777777" w:rsidR="001E5412" w:rsidRDefault="001E5412" w:rsidP="001E5412">
      <w:pPr>
        <w:pStyle w:val="NoSpacing"/>
        <w:rPr>
          <w:rFonts w:cs="Arial"/>
          <w:sz w:val="20"/>
          <w:szCs w:val="20"/>
        </w:rPr>
      </w:pPr>
      <w:r w:rsidRPr="000C50C2">
        <w:rPr>
          <w:rFonts w:cs="Arial"/>
          <w:spacing w:val="-3"/>
          <w:sz w:val="20"/>
        </w:rPr>
        <w:t xml:space="preserve">Type 2 diabetes mellitus is a </w:t>
      </w:r>
      <w:r>
        <w:rPr>
          <w:rFonts w:cs="Arial"/>
          <w:spacing w:val="-3"/>
          <w:sz w:val="20"/>
        </w:rPr>
        <w:t>significant</w:t>
      </w:r>
      <w:r w:rsidRPr="000C50C2">
        <w:rPr>
          <w:rFonts w:cs="Arial"/>
          <w:spacing w:val="-3"/>
          <w:sz w:val="20"/>
        </w:rPr>
        <w:t xml:space="preserve"> health problem associated with </w:t>
      </w:r>
      <w:r>
        <w:rPr>
          <w:rFonts w:cs="Arial"/>
          <w:spacing w:val="-3"/>
          <w:sz w:val="20"/>
        </w:rPr>
        <w:t>excessive m</w:t>
      </w:r>
      <w:r w:rsidRPr="000C50C2">
        <w:rPr>
          <w:rFonts w:cs="Arial"/>
          <w:spacing w:val="-3"/>
          <w:sz w:val="20"/>
        </w:rPr>
        <w:t xml:space="preserve">orbidity and mortality.  As the prevalence of this metabolic disorder is rapidly increasing and </w:t>
      </w:r>
      <w:r>
        <w:rPr>
          <w:rFonts w:cs="Arial"/>
          <w:spacing w:val="-3"/>
          <w:sz w:val="20"/>
        </w:rPr>
        <w:t xml:space="preserve">as </w:t>
      </w:r>
      <w:r w:rsidRPr="000C50C2">
        <w:rPr>
          <w:rFonts w:cs="Arial"/>
          <w:spacing w:val="-3"/>
          <w:sz w:val="20"/>
        </w:rPr>
        <w:t>older treatment</w:t>
      </w:r>
      <w:r>
        <w:rPr>
          <w:rFonts w:cs="Arial"/>
          <w:spacing w:val="-3"/>
          <w:sz w:val="20"/>
        </w:rPr>
        <w:t>s</w:t>
      </w:r>
      <w:r w:rsidRPr="000C50C2">
        <w:rPr>
          <w:rFonts w:cs="Arial"/>
          <w:spacing w:val="-3"/>
          <w:sz w:val="20"/>
        </w:rPr>
        <w:t xml:space="preserve"> fail to stabilize the disease in many pa</w:t>
      </w:r>
      <w:r>
        <w:rPr>
          <w:rFonts w:cs="Arial"/>
          <w:spacing w:val="-3"/>
          <w:sz w:val="20"/>
        </w:rPr>
        <w:t>rticipants</w:t>
      </w:r>
      <w:r w:rsidRPr="000C50C2">
        <w:rPr>
          <w:rFonts w:cs="Arial"/>
          <w:spacing w:val="-3"/>
          <w:sz w:val="20"/>
        </w:rPr>
        <w:t>, prevention and control are considered key objectives</w:t>
      </w:r>
      <w:r>
        <w:rPr>
          <w:rFonts w:cs="Arial"/>
          <w:spacing w:val="-3"/>
          <w:sz w:val="20"/>
        </w:rPr>
        <w:t>. S</w:t>
      </w:r>
      <w:r>
        <w:rPr>
          <w:rFonts w:cs="Arial"/>
          <w:sz w:val="20"/>
          <w:szCs w:val="20"/>
        </w:rPr>
        <w:t>odium-glucose co-transporter (SGLT) inhibitors reduce reabsorption of filtered glucose in the kidneys, resulting in increased urinary excretion of glucose and reduction of plasma glucose levels. SGLT inhibitors also reduce sodium reabsorption in the kidneys, which may decrease cardiac preload and afterload. According to the American Diabetes Association (ADA), among patients who have type 2 diabetes with established atherosclerotic cardiovascular disease, multiple atherosclerotic cardiovascular disease risk factors, heart failure, or established kidney disease, SGLT inhibitors are recommended as first-line agents.</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30753A59" w14:textId="77777777" w:rsidR="003972FB" w:rsidRPr="003972FB" w:rsidRDefault="003972FB" w:rsidP="003972FB">
      <w:pPr>
        <w:pStyle w:val="ListParagraph"/>
        <w:rPr>
          <w:b/>
          <w:bCs/>
          <w:color w:val="1F497D" w:themeColor="text2"/>
        </w:rPr>
      </w:pPr>
      <w:r w:rsidRPr="003972FB">
        <w:rPr>
          <w:b/>
          <w:bCs/>
          <w:color w:val="1F497D" w:themeColor="text2"/>
        </w:rPr>
        <w:t>Dapagliflozin</w:t>
      </w:r>
    </w:p>
    <w:p w14:paraId="496A6A6E" w14:textId="77777777" w:rsidR="00AE36F2" w:rsidRPr="00F50786" w:rsidRDefault="00AE36F2" w:rsidP="00AE36F2">
      <w:pPr>
        <w:pStyle w:val="ListParagraph"/>
        <w:rPr>
          <w:lang w:val="fr-FR"/>
        </w:rPr>
      </w:pPr>
      <w:proofErr w:type="spellStart"/>
      <w:r w:rsidRPr="00F50786">
        <w:rPr>
          <w:lang w:val="fr-FR"/>
        </w:rPr>
        <w:t>Invokana</w:t>
      </w:r>
      <w:proofErr w:type="spellEnd"/>
      <w:r w:rsidRPr="00F50786">
        <w:rPr>
          <w:vertAlign w:val="superscript"/>
        </w:rPr>
        <w:sym w:font="Symbol" w:char="F0E2"/>
      </w:r>
    </w:p>
    <w:p w14:paraId="1281E61D" w14:textId="77777777" w:rsidR="00AE36F2" w:rsidRPr="00F50786" w:rsidRDefault="00AE36F2" w:rsidP="00AE36F2">
      <w:pPr>
        <w:pStyle w:val="ListParagraph"/>
      </w:pPr>
      <w:proofErr w:type="spellStart"/>
      <w:r w:rsidRPr="00F50786">
        <w:rPr>
          <w:lang w:val="fr-FR"/>
        </w:rPr>
        <w:t>Jardiance</w:t>
      </w:r>
      <w:proofErr w:type="spellEnd"/>
      <w:r w:rsidRPr="00F50786">
        <w:rPr>
          <w:vertAlign w:val="superscript"/>
        </w:rPr>
        <w:sym w:font="Symbol" w:char="F0E2"/>
      </w:r>
      <w:r w:rsidRPr="00F50786">
        <w:t xml:space="preserve"> </w:t>
      </w:r>
    </w:p>
    <w:p w14:paraId="1B21829C" w14:textId="04BA084F" w:rsidR="00846FA4" w:rsidRDefault="00AE36F2" w:rsidP="00AE36F2">
      <w:pPr>
        <w:pStyle w:val="ListParagraph"/>
      </w:pPr>
      <w:proofErr w:type="spellStart"/>
      <w:r w:rsidRPr="00F50786">
        <w:rPr>
          <w:lang w:val="fr-FR"/>
        </w:rPr>
        <w:t>Synjardy</w:t>
      </w:r>
      <w:proofErr w:type="spellEnd"/>
      <w:r w:rsidRPr="00846FA4">
        <w:rPr>
          <w:vertAlign w:val="superscript"/>
        </w:rPr>
        <w:t xml:space="preserve"> </w:t>
      </w:r>
      <w:r w:rsidR="00846FA4" w:rsidRPr="00846FA4">
        <w:rPr>
          <w:vertAlign w:val="superscript"/>
        </w:rPr>
        <w:t>®</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36EFBBAB" w14:textId="77777777" w:rsidR="00D641B5" w:rsidRPr="000C4B23" w:rsidRDefault="00D641B5" w:rsidP="003972FB">
      <w:pPr>
        <w:pStyle w:val="ListParagraph"/>
      </w:pPr>
      <w:r w:rsidRPr="000C4B23">
        <w:t>Dapagliflozin/Metformin ER</w:t>
      </w:r>
    </w:p>
    <w:p w14:paraId="25FF69F0" w14:textId="77777777" w:rsidR="00D641B5" w:rsidRPr="003972FB" w:rsidRDefault="00D641B5" w:rsidP="003972FB">
      <w:pPr>
        <w:pStyle w:val="ListParagraph"/>
        <w:rPr>
          <w:b/>
          <w:bCs/>
          <w:color w:val="1F497D" w:themeColor="text2"/>
          <w:lang w:val="fr-FR"/>
        </w:rPr>
      </w:pPr>
      <w:proofErr w:type="spellStart"/>
      <w:r w:rsidRPr="003972FB">
        <w:rPr>
          <w:b/>
          <w:bCs/>
          <w:color w:val="1F497D" w:themeColor="text2"/>
          <w:lang w:val="fr-FR"/>
        </w:rPr>
        <w:t>Farxiga</w:t>
      </w:r>
      <w:proofErr w:type="spellEnd"/>
      <w:r w:rsidRPr="003972FB">
        <w:rPr>
          <w:b/>
          <w:bCs/>
          <w:color w:val="1F497D" w:themeColor="text2"/>
          <w:vertAlign w:val="superscript"/>
        </w:rPr>
        <w:sym w:font="Symbol" w:char="F0E2"/>
      </w:r>
    </w:p>
    <w:p w14:paraId="528FD55B" w14:textId="77777777" w:rsidR="00D641B5" w:rsidRPr="009E646C" w:rsidRDefault="00D641B5" w:rsidP="003972FB">
      <w:pPr>
        <w:pStyle w:val="ListParagraph"/>
      </w:pPr>
      <w:proofErr w:type="spellStart"/>
      <w:r w:rsidRPr="009E646C">
        <w:t>Inpefa</w:t>
      </w:r>
      <w:proofErr w:type="spellEnd"/>
      <w:r w:rsidRPr="009E646C">
        <w:rPr>
          <w:vertAlign w:val="superscript"/>
        </w:rPr>
        <w:t>®</w:t>
      </w:r>
    </w:p>
    <w:p w14:paraId="72F8F499" w14:textId="77777777" w:rsidR="00D641B5" w:rsidRPr="00085E8C" w:rsidRDefault="00D641B5" w:rsidP="003972FB">
      <w:pPr>
        <w:pStyle w:val="ListParagraph"/>
      </w:pPr>
      <w:proofErr w:type="spellStart"/>
      <w:r w:rsidRPr="00085E8C">
        <w:t>Invokamet</w:t>
      </w:r>
      <w:proofErr w:type="spellEnd"/>
      <w:r w:rsidRPr="00085E8C">
        <w:rPr>
          <w:vertAlign w:val="superscript"/>
        </w:rPr>
        <w:sym w:font="Symbol" w:char="F0E2"/>
      </w:r>
    </w:p>
    <w:p w14:paraId="53CC8B0A" w14:textId="77777777" w:rsidR="00D641B5" w:rsidRPr="00085E8C" w:rsidRDefault="00D641B5" w:rsidP="003972FB">
      <w:pPr>
        <w:pStyle w:val="ListParagraph"/>
        <w:rPr>
          <w:spacing w:val="-3"/>
        </w:rPr>
      </w:pPr>
      <w:proofErr w:type="spellStart"/>
      <w:r w:rsidRPr="00085E8C">
        <w:t>Invokamet</w:t>
      </w:r>
      <w:proofErr w:type="spellEnd"/>
      <w:r w:rsidRPr="00085E8C">
        <w:rPr>
          <w:vertAlign w:val="superscript"/>
        </w:rPr>
        <w:sym w:font="Symbol" w:char="F0E2"/>
      </w:r>
      <w:r w:rsidRPr="00085E8C">
        <w:rPr>
          <w:vertAlign w:val="superscript"/>
        </w:rPr>
        <w:t xml:space="preserve"> </w:t>
      </w:r>
      <w:r w:rsidRPr="00085E8C">
        <w:rPr>
          <w:spacing w:val="-3"/>
        </w:rPr>
        <w:t>XR</w:t>
      </w:r>
    </w:p>
    <w:p w14:paraId="68FEE967" w14:textId="77777777" w:rsidR="00D641B5" w:rsidRPr="00085E8C" w:rsidRDefault="00D641B5" w:rsidP="003972FB">
      <w:pPr>
        <w:pStyle w:val="ListParagraph"/>
      </w:pPr>
      <w:proofErr w:type="spellStart"/>
      <w:r w:rsidRPr="00085E8C">
        <w:t>Segluromet</w:t>
      </w:r>
      <w:proofErr w:type="spellEnd"/>
      <w:r w:rsidRPr="00085E8C">
        <w:rPr>
          <w:vertAlign w:val="superscript"/>
        </w:rPr>
        <w:sym w:font="Symbol" w:char="F0E2"/>
      </w:r>
    </w:p>
    <w:p w14:paraId="164D0E67" w14:textId="77777777" w:rsidR="00D641B5" w:rsidRPr="00085E8C" w:rsidRDefault="00D641B5" w:rsidP="003972FB">
      <w:pPr>
        <w:pStyle w:val="ListParagraph"/>
      </w:pPr>
      <w:proofErr w:type="spellStart"/>
      <w:r w:rsidRPr="00085E8C">
        <w:rPr>
          <w:lang w:val="fr-FR"/>
        </w:rPr>
        <w:t>Steglatro</w:t>
      </w:r>
      <w:proofErr w:type="spellEnd"/>
      <w:r w:rsidRPr="00085E8C">
        <w:rPr>
          <w:vertAlign w:val="superscript"/>
        </w:rPr>
        <w:sym w:font="Symbol" w:char="F0E2"/>
      </w:r>
    </w:p>
    <w:p w14:paraId="252E542B" w14:textId="77777777" w:rsidR="00D641B5" w:rsidRPr="00085E8C" w:rsidRDefault="00D641B5" w:rsidP="003972FB">
      <w:pPr>
        <w:pStyle w:val="ListParagraph"/>
      </w:pPr>
      <w:proofErr w:type="spellStart"/>
      <w:r w:rsidRPr="00085E8C">
        <w:rPr>
          <w:lang w:val="fr-FR"/>
        </w:rPr>
        <w:t>Synjardy</w:t>
      </w:r>
      <w:proofErr w:type="spellEnd"/>
      <w:r w:rsidRPr="00085E8C">
        <w:rPr>
          <w:vertAlign w:val="superscript"/>
        </w:rPr>
        <w:sym w:font="Symbol" w:char="F0E2"/>
      </w:r>
      <w:r w:rsidRPr="00085E8C">
        <w:rPr>
          <w:vertAlign w:val="superscript"/>
        </w:rPr>
        <w:t xml:space="preserve"> </w:t>
      </w:r>
      <w:r w:rsidRPr="00085E8C">
        <w:t>XR</w:t>
      </w:r>
    </w:p>
    <w:p w14:paraId="7D5FCBC9" w14:textId="77777777" w:rsidR="00D641B5" w:rsidRPr="00085E8C" w:rsidRDefault="00D641B5" w:rsidP="003972FB">
      <w:pPr>
        <w:pStyle w:val="ListParagraph"/>
      </w:pPr>
      <w:proofErr w:type="spellStart"/>
      <w:r w:rsidRPr="00085E8C">
        <w:t>Trijardy</w:t>
      </w:r>
      <w:proofErr w:type="spellEnd"/>
      <w:r w:rsidRPr="00085E8C">
        <w:rPr>
          <w:vertAlign w:val="superscript"/>
        </w:rPr>
        <w:sym w:font="Symbol" w:char="F0E2"/>
      </w:r>
      <w:r w:rsidRPr="00085E8C">
        <w:rPr>
          <w:vertAlign w:val="superscript"/>
        </w:rPr>
        <w:t xml:space="preserve"> </w:t>
      </w:r>
      <w:r w:rsidRPr="00085E8C">
        <w:t>XR</w:t>
      </w:r>
    </w:p>
    <w:p w14:paraId="5F19D9E0" w14:textId="77777777" w:rsidR="00D641B5" w:rsidRPr="00696E3A" w:rsidRDefault="00D641B5" w:rsidP="003972FB">
      <w:pPr>
        <w:pStyle w:val="ListParagraph"/>
      </w:pPr>
      <w:proofErr w:type="spellStart"/>
      <w:r w:rsidRPr="00085E8C">
        <w:t>Xigduo</w:t>
      </w:r>
      <w:proofErr w:type="spellEnd"/>
      <w:r w:rsidRPr="00085E8C">
        <w:rPr>
          <w:vertAlign w:val="superscript"/>
        </w:rPr>
        <w:sym w:font="Symbol" w:char="F0E2"/>
      </w:r>
      <w:r w:rsidRPr="00085E8C">
        <w:rPr>
          <w:vertAlign w:val="superscript"/>
        </w:rPr>
        <w:t xml:space="preserve"> </w:t>
      </w:r>
      <w:r w:rsidRPr="00085E8C">
        <w:t>XR</w:t>
      </w:r>
      <w:r w:rsidRPr="00F43E41">
        <w:rPr>
          <w:vertAlign w:val="superscript"/>
        </w:rPr>
        <w:t xml:space="preserve"> </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4A5FC187" w:rsidR="0097028A" w:rsidRPr="0079438F" w:rsidRDefault="0097028A" w:rsidP="00696E3A">
      <w:pPr>
        <w:rPr>
          <w:b/>
        </w:rPr>
      </w:pPr>
      <w:r w:rsidRPr="00696E3A">
        <w:rPr>
          <w:b/>
          <w:bCs/>
        </w:rPr>
        <w:t>Drug class for review:</w:t>
      </w:r>
      <w:r w:rsidRPr="00C02553">
        <w:t xml:space="preserve"> </w:t>
      </w:r>
      <w:r w:rsidR="00F417C6" w:rsidRPr="00EA4C9B">
        <w:rPr>
          <w:rFonts w:cs="Arial"/>
          <w:szCs w:val="20"/>
        </w:rPr>
        <w:t>Sodium-Glucose Co-Transporter (SGLT) Inhibitors</w:t>
      </w:r>
      <w:r w:rsidR="00F417C6">
        <w:rPr>
          <w:rFonts w:cs="Arial"/>
          <w:szCs w:val="20"/>
        </w:rPr>
        <w:t xml:space="preserve"> &amp;</w:t>
      </w:r>
      <w:r w:rsidR="00F417C6" w:rsidRPr="00722D0D">
        <w:rPr>
          <w:rFonts w:cs="Arial"/>
          <w:szCs w:val="20"/>
        </w:rPr>
        <w:t xml:space="preserve"> Combination Agents</w:t>
      </w:r>
    </w:p>
    <w:p w14:paraId="26CFE8A0" w14:textId="4BC15054"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E92241" w:rsidRPr="00E92241">
        <w:rPr>
          <w:rFonts w:cs="Arial"/>
          <w:szCs w:val="20"/>
        </w:rPr>
        <w:t xml:space="preserve"> </w:t>
      </w:r>
      <w:r w:rsidR="00E92241">
        <w:rPr>
          <w:rFonts w:cs="Arial"/>
          <w:szCs w:val="20"/>
        </w:rPr>
        <w:t xml:space="preserve">aged </w:t>
      </w:r>
      <w:r w:rsidR="00E92241" w:rsidRPr="00720A43">
        <w:rPr>
          <w:rFonts w:cs="Arial"/>
          <w:bCs/>
          <w:szCs w:val="20"/>
        </w:rPr>
        <w:t>10 years</w:t>
      </w:r>
      <w:r w:rsidR="00E92241" w:rsidRPr="00720A43">
        <w:rPr>
          <w:rFonts w:cs="Arial"/>
          <w:szCs w:val="20"/>
        </w:rPr>
        <w:t xml:space="preserve"> </w:t>
      </w:r>
      <w:r w:rsidR="00E92241">
        <w:rPr>
          <w:rFonts w:cs="Arial"/>
          <w:szCs w:val="20"/>
        </w:rPr>
        <w:t>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6601AA85" w14:textId="77777777" w:rsidR="00B525B6" w:rsidRDefault="00B525B6" w:rsidP="00B525B6">
      <w:pPr>
        <w:numPr>
          <w:ilvl w:val="0"/>
          <w:numId w:val="19"/>
        </w:numPr>
        <w:rPr>
          <w:rFonts w:cs="Arial"/>
          <w:szCs w:val="20"/>
        </w:rPr>
      </w:pPr>
      <w:r>
        <w:rPr>
          <w:rFonts w:cs="Arial"/>
          <w:szCs w:val="20"/>
        </w:rPr>
        <w:t>Must meet one of the following:</w:t>
      </w:r>
    </w:p>
    <w:p w14:paraId="68F79E3C" w14:textId="77777777" w:rsidR="00B525B6" w:rsidRDefault="00B525B6" w:rsidP="00B525B6">
      <w:pPr>
        <w:numPr>
          <w:ilvl w:val="1"/>
          <w:numId w:val="19"/>
        </w:numPr>
        <w:rPr>
          <w:rFonts w:cs="Arial"/>
          <w:szCs w:val="20"/>
        </w:rPr>
      </w:pPr>
      <w:r>
        <w:rPr>
          <w:rFonts w:cs="Arial"/>
          <w:szCs w:val="20"/>
        </w:rPr>
        <w:t xml:space="preserve">Claim is for a preferred agent; </w:t>
      </w:r>
      <w:r>
        <w:rPr>
          <w:rFonts w:cs="Arial"/>
          <w:b/>
          <w:bCs/>
          <w:szCs w:val="20"/>
        </w:rPr>
        <w:t>OR</w:t>
      </w:r>
    </w:p>
    <w:p w14:paraId="7E7E4F8A" w14:textId="77777777" w:rsidR="00B525B6" w:rsidRPr="00C1018C" w:rsidRDefault="00B525B6" w:rsidP="00B525B6">
      <w:pPr>
        <w:numPr>
          <w:ilvl w:val="1"/>
          <w:numId w:val="19"/>
        </w:numPr>
        <w:rPr>
          <w:rFonts w:cs="Arial"/>
          <w:szCs w:val="20"/>
        </w:rPr>
      </w:pPr>
      <w:r w:rsidRPr="00C1018C">
        <w:rPr>
          <w:rFonts w:cs="Arial"/>
          <w:szCs w:val="20"/>
        </w:rPr>
        <w:t xml:space="preserve">Failure to achieve desired therapeutic outcomes with trial on </w:t>
      </w:r>
      <w:r>
        <w:rPr>
          <w:rFonts w:cs="Arial"/>
          <w:szCs w:val="20"/>
        </w:rPr>
        <w:t>2</w:t>
      </w:r>
      <w:r w:rsidRPr="00C1018C">
        <w:rPr>
          <w:rFonts w:cs="Arial"/>
          <w:szCs w:val="20"/>
        </w:rPr>
        <w:t xml:space="preserve"> or more preferred agents</w:t>
      </w:r>
      <w:r>
        <w:rPr>
          <w:rFonts w:cs="Arial"/>
          <w:szCs w:val="20"/>
        </w:rPr>
        <w:t>;</w:t>
      </w:r>
      <w:r w:rsidRPr="00C1018C">
        <w:rPr>
          <w:rFonts w:cs="Arial"/>
          <w:szCs w:val="20"/>
        </w:rPr>
        <w:t xml:space="preserve"> </w:t>
      </w:r>
    </w:p>
    <w:p w14:paraId="4EBE68FA" w14:textId="77777777" w:rsidR="00B525B6" w:rsidRPr="00C1018C" w:rsidRDefault="00B525B6" w:rsidP="00B525B6">
      <w:pPr>
        <w:numPr>
          <w:ilvl w:val="2"/>
          <w:numId w:val="19"/>
        </w:numPr>
        <w:jc w:val="both"/>
        <w:rPr>
          <w:rFonts w:cs="Arial"/>
          <w:szCs w:val="20"/>
        </w:rPr>
      </w:pPr>
      <w:r w:rsidRPr="00C1018C">
        <w:rPr>
          <w:rFonts w:cs="Arial"/>
          <w:szCs w:val="20"/>
        </w:rPr>
        <w:t>Documented trial period of preferred agents</w:t>
      </w:r>
      <w:r>
        <w:rPr>
          <w:rFonts w:cs="Arial"/>
          <w:szCs w:val="20"/>
        </w:rPr>
        <w:t xml:space="preserve">; </w:t>
      </w:r>
      <w:r w:rsidRPr="00FE4D52">
        <w:rPr>
          <w:rFonts w:cs="Arial"/>
          <w:b/>
          <w:bCs/>
          <w:szCs w:val="20"/>
        </w:rPr>
        <w:t>OR</w:t>
      </w:r>
    </w:p>
    <w:p w14:paraId="79CE24CB" w14:textId="77777777" w:rsidR="00B525B6" w:rsidRDefault="00B525B6" w:rsidP="00B525B6">
      <w:pPr>
        <w:numPr>
          <w:ilvl w:val="2"/>
          <w:numId w:val="19"/>
        </w:numPr>
        <w:jc w:val="both"/>
        <w:rPr>
          <w:rFonts w:cs="Arial"/>
          <w:szCs w:val="20"/>
        </w:rPr>
      </w:pPr>
      <w:r w:rsidRPr="00C1018C">
        <w:rPr>
          <w:rFonts w:cs="Arial"/>
          <w:szCs w:val="20"/>
        </w:rPr>
        <w:t>Documen</w:t>
      </w:r>
      <w:r>
        <w:rPr>
          <w:rFonts w:cs="Arial"/>
          <w:szCs w:val="20"/>
        </w:rPr>
        <w:t>ted ADE/ADR to preferred agents.</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 xml:space="preserve">Therapy will deny </w:t>
      </w:r>
      <w:proofErr w:type="gramStart"/>
      <w:r w:rsidRPr="00C722C9">
        <w:t>with</w:t>
      </w:r>
      <w:proofErr w:type="gramEnd"/>
      <w:r w:rsidRPr="00C722C9">
        <w:t xml:space="preserve"> presence of one of the following:</w:t>
      </w:r>
    </w:p>
    <w:p w14:paraId="34DD01B8" w14:textId="77777777" w:rsidR="00904D7A" w:rsidRPr="005328B2" w:rsidRDefault="00904D7A" w:rsidP="00C722C9">
      <w:pPr>
        <w:pStyle w:val="ListParagraph"/>
        <w:numPr>
          <w:ilvl w:val="1"/>
          <w:numId w:val="6"/>
        </w:numPr>
      </w:pPr>
      <w:r w:rsidRPr="005328B2">
        <w:t>Any approval criteria are not met;</w:t>
      </w:r>
      <w:r>
        <w:t xml:space="preserve"> </w:t>
      </w:r>
      <w:r w:rsidRPr="005A4232">
        <w:rPr>
          <w:b/>
          <w:bCs/>
        </w:rPr>
        <w:t>OR</w:t>
      </w:r>
    </w:p>
    <w:p w14:paraId="1D97C1E5" w14:textId="77777777" w:rsidR="00904D7A" w:rsidRPr="005328B2" w:rsidRDefault="00904D7A" w:rsidP="00C722C9">
      <w:pPr>
        <w:pStyle w:val="ListParagraph"/>
        <w:numPr>
          <w:ilvl w:val="1"/>
          <w:numId w:val="6"/>
        </w:numPr>
      </w:pPr>
      <w:r w:rsidRPr="005328B2">
        <w:t>Claim exceeds maximum dosing limitations:</w:t>
      </w:r>
    </w:p>
    <w:tbl>
      <w:tblPr>
        <w:tblStyle w:val="TableGrid"/>
        <w:tblW w:w="6850" w:type="dxa"/>
        <w:jc w:val="center"/>
        <w:tblLook w:val="0620" w:firstRow="1" w:lastRow="0" w:firstColumn="0" w:lastColumn="0" w:noHBand="1" w:noVBand="1"/>
      </w:tblPr>
      <w:tblGrid>
        <w:gridCol w:w="2250"/>
        <w:gridCol w:w="2139"/>
        <w:gridCol w:w="2461"/>
      </w:tblGrid>
      <w:tr w:rsidR="00D06036" w:rsidRPr="00C02553" w14:paraId="1F6DE132" w14:textId="77777777" w:rsidTr="00D06036">
        <w:trPr>
          <w:trHeight w:val="276"/>
          <w:jc w:val="center"/>
        </w:trPr>
        <w:tc>
          <w:tcPr>
            <w:tcW w:w="2250" w:type="dxa"/>
            <w:shd w:val="clear" w:color="auto" w:fill="FABF8F"/>
            <w:vAlign w:val="bottom"/>
          </w:tcPr>
          <w:p w14:paraId="62500DCA" w14:textId="511967BE" w:rsidR="00D06036" w:rsidRPr="00C02553" w:rsidRDefault="00D06036" w:rsidP="00D06036">
            <w:pPr>
              <w:jc w:val="center"/>
              <w:rPr>
                <w:rFonts w:cs="Arial"/>
                <w:b/>
                <w:bCs/>
                <w:szCs w:val="20"/>
              </w:rPr>
            </w:pPr>
            <w:r w:rsidRPr="000E5C47">
              <w:rPr>
                <w:rFonts w:cs="Arial"/>
                <w:b/>
                <w:szCs w:val="20"/>
              </w:rPr>
              <w:t>Drug Description</w:t>
            </w:r>
          </w:p>
        </w:tc>
        <w:tc>
          <w:tcPr>
            <w:tcW w:w="2139" w:type="dxa"/>
            <w:shd w:val="clear" w:color="auto" w:fill="FABF8F"/>
            <w:vAlign w:val="bottom"/>
          </w:tcPr>
          <w:p w14:paraId="342DE9C2" w14:textId="56ADD6BD" w:rsidR="00D06036" w:rsidRPr="00C02553" w:rsidRDefault="00D06036" w:rsidP="00D06036">
            <w:pPr>
              <w:jc w:val="center"/>
              <w:rPr>
                <w:rFonts w:cs="Arial"/>
                <w:b/>
                <w:bCs/>
                <w:szCs w:val="20"/>
              </w:rPr>
            </w:pPr>
            <w:r w:rsidRPr="000E5C47">
              <w:rPr>
                <w:rFonts w:cs="Arial"/>
                <w:b/>
                <w:szCs w:val="20"/>
              </w:rPr>
              <w:t>Generic Equivalent</w:t>
            </w:r>
          </w:p>
        </w:tc>
        <w:tc>
          <w:tcPr>
            <w:tcW w:w="2461" w:type="dxa"/>
            <w:shd w:val="clear" w:color="auto" w:fill="FABF8F"/>
          </w:tcPr>
          <w:p w14:paraId="606D761D" w14:textId="6613EE05" w:rsidR="00D06036" w:rsidRPr="00C02553" w:rsidRDefault="00D06036" w:rsidP="00D06036">
            <w:pPr>
              <w:jc w:val="center"/>
              <w:rPr>
                <w:rFonts w:cs="Arial"/>
                <w:b/>
                <w:bCs/>
                <w:szCs w:val="20"/>
              </w:rPr>
            </w:pPr>
            <w:r w:rsidRPr="000E5C47">
              <w:rPr>
                <w:rFonts w:cs="Arial"/>
                <w:b/>
                <w:szCs w:val="20"/>
              </w:rPr>
              <w:t>Max Dosing Limitation</w:t>
            </w:r>
          </w:p>
        </w:tc>
      </w:tr>
      <w:tr w:rsidR="00D06036" w:rsidRPr="00C02553" w14:paraId="05C5E883" w14:textId="77777777" w:rsidTr="00D06036">
        <w:trPr>
          <w:trHeight w:val="276"/>
          <w:jc w:val="center"/>
        </w:trPr>
        <w:tc>
          <w:tcPr>
            <w:tcW w:w="2250" w:type="dxa"/>
            <w:vAlign w:val="bottom"/>
          </w:tcPr>
          <w:p w14:paraId="73CE25E1" w14:textId="259F1C18" w:rsidR="00D06036" w:rsidRPr="00F730BA" w:rsidRDefault="00D06036" w:rsidP="00D06036">
            <w:pPr>
              <w:rPr>
                <w:rFonts w:cs="Arial"/>
                <w:szCs w:val="20"/>
              </w:rPr>
            </w:pPr>
            <w:r w:rsidRPr="000E5C47">
              <w:rPr>
                <w:rFonts w:cs="Arial"/>
                <w:caps/>
              </w:rPr>
              <w:t xml:space="preserve">Farxiga 10 </w:t>
            </w:r>
            <w:r>
              <w:rPr>
                <w:rFonts w:cs="Arial"/>
                <w:caps/>
              </w:rPr>
              <w:t>mg</w:t>
            </w:r>
          </w:p>
        </w:tc>
        <w:tc>
          <w:tcPr>
            <w:tcW w:w="2139" w:type="dxa"/>
            <w:vAlign w:val="bottom"/>
          </w:tcPr>
          <w:p w14:paraId="469019F4" w14:textId="64059C3C" w:rsidR="00D06036" w:rsidRPr="00F730BA" w:rsidRDefault="00D06036" w:rsidP="00D06036">
            <w:pPr>
              <w:rPr>
                <w:rFonts w:cs="Arial"/>
                <w:szCs w:val="20"/>
              </w:rPr>
            </w:pPr>
            <w:r w:rsidRPr="000E5C47">
              <w:rPr>
                <w:rFonts w:cs="Arial"/>
                <w:caps/>
              </w:rPr>
              <w:t>dapagliflozin</w:t>
            </w:r>
          </w:p>
        </w:tc>
        <w:tc>
          <w:tcPr>
            <w:tcW w:w="2461" w:type="dxa"/>
            <w:vAlign w:val="bottom"/>
          </w:tcPr>
          <w:p w14:paraId="2140912A" w14:textId="464789A1" w:rsidR="00D06036" w:rsidRPr="00F730BA" w:rsidRDefault="00D06036" w:rsidP="00D06036">
            <w:pPr>
              <w:rPr>
                <w:rFonts w:cs="Arial"/>
                <w:szCs w:val="20"/>
              </w:rPr>
            </w:pPr>
            <w:r w:rsidRPr="000E5C47">
              <w:rPr>
                <w:rFonts w:cs="Arial"/>
              </w:rPr>
              <w:t>1</w:t>
            </w:r>
            <w:r>
              <w:rPr>
                <w:rFonts w:cs="Arial"/>
              </w:rPr>
              <w:t xml:space="preserve"> tablet per day </w:t>
            </w:r>
          </w:p>
        </w:tc>
      </w:tr>
      <w:tr w:rsidR="00D06036" w:rsidRPr="00C02553" w14:paraId="7D4D8192" w14:textId="77777777" w:rsidTr="00D06036">
        <w:trPr>
          <w:trHeight w:val="276"/>
          <w:jc w:val="center"/>
        </w:trPr>
        <w:tc>
          <w:tcPr>
            <w:tcW w:w="2250" w:type="dxa"/>
            <w:vAlign w:val="bottom"/>
          </w:tcPr>
          <w:p w14:paraId="10D350B4" w14:textId="2170C849" w:rsidR="00D06036" w:rsidRPr="000E5C47" w:rsidRDefault="00D06036" w:rsidP="00D06036">
            <w:pPr>
              <w:rPr>
                <w:rFonts w:cs="Arial"/>
                <w:caps/>
              </w:rPr>
            </w:pPr>
            <w:r w:rsidRPr="000E5C47">
              <w:rPr>
                <w:rFonts w:cs="Arial"/>
                <w:caps/>
              </w:rPr>
              <w:t xml:space="preserve">Farxiga 5 mg </w:t>
            </w:r>
          </w:p>
        </w:tc>
        <w:tc>
          <w:tcPr>
            <w:tcW w:w="2139" w:type="dxa"/>
            <w:vAlign w:val="bottom"/>
          </w:tcPr>
          <w:p w14:paraId="15CBC5A3" w14:textId="7EC050F0" w:rsidR="00D06036" w:rsidRPr="000E5C47" w:rsidRDefault="00D06036" w:rsidP="00D06036">
            <w:pPr>
              <w:rPr>
                <w:rFonts w:cs="Arial"/>
                <w:caps/>
              </w:rPr>
            </w:pPr>
            <w:r w:rsidRPr="000E5C47">
              <w:rPr>
                <w:rFonts w:cs="Arial"/>
                <w:caps/>
              </w:rPr>
              <w:t>dapagliflozin</w:t>
            </w:r>
          </w:p>
        </w:tc>
        <w:tc>
          <w:tcPr>
            <w:tcW w:w="2461" w:type="dxa"/>
            <w:vAlign w:val="bottom"/>
          </w:tcPr>
          <w:p w14:paraId="4569B330" w14:textId="32EDFEC6" w:rsidR="00D06036" w:rsidRPr="000E5C47" w:rsidRDefault="00D06036" w:rsidP="00D06036">
            <w:pPr>
              <w:rPr>
                <w:rFonts w:cs="Arial"/>
              </w:rPr>
            </w:pPr>
            <w:r>
              <w:rPr>
                <w:rFonts w:cs="Arial"/>
              </w:rPr>
              <w:t>2 tablets per day</w:t>
            </w:r>
          </w:p>
        </w:tc>
      </w:tr>
      <w:tr w:rsidR="00D06036" w:rsidRPr="00C02553" w14:paraId="4D4E5ACA" w14:textId="77777777" w:rsidTr="00D06036">
        <w:trPr>
          <w:trHeight w:val="276"/>
          <w:jc w:val="center"/>
        </w:trPr>
        <w:tc>
          <w:tcPr>
            <w:tcW w:w="2250" w:type="dxa"/>
            <w:vAlign w:val="bottom"/>
          </w:tcPr>
          <w:p w14:paraId="0A47B523" w14:textId="51FDD365" w:rsidR="00D06036" w:rsidRPr="000E5C47" w:rsidRDefault="00D06036" w:rsidP="00D06036">
            <w:pPr>
              <w:rPr>
                <w:rFonts w:cs="Arial"/>
                <w:caps/>
              </w:rPr>
            </w:pPr>
            <w:r w:rsidRPr="00336E50">
              <w:rPr>
                <w:rFonts w:cs="Arial"/>
                <w:caps/>
                <w:color w:val="000000" w:themeColor="text1"/>
              </w:rPr>
              <w:t>INPEFA 200 MG</w:t>
            </w:r>
          </w:p>
        </w:tc>
        <w:tc>
          <w:tcPr>
            <w:tcW w:w="2139" w:type="dxa"/>
            <w:vAlign w:val="bottom"/>
          </w:tcPr>
          <w:p w14:paraId="7BFCC086" w14:textId="11A3A5A2" w:rsidR="00D06036" w:rsidRPr="000E5C47" w:rsidRDefault="00D06036" w:rsidP="00D06036">
            <w:pPr>
              <w:rPr>
                <w:rFonts w:cs="Arial"/>
                <w:caps/>
              </w:rPr>
            </w:pPr>
            <w:r w:rsidRPr="00336E50">
              <w:rPr>
                <w:rFonts w:cs="Arial"/>
                <w:caps/>
                <w:color w:val="000000" w:themeColor="text1"/>
              </w:rPr>
              <w:t>SOTAGLIFLOZIN</w:t>
            </w:r>
          </w:p>
        </w:tc>
        <w:tc>
          <w:tcPr>
            <w:tcW w:w="2461" w:type="dxa"/>
            <w:vAlign w:val="bottom"/>
          </w:tcPr>
          <w:p w14:paraId="2A72D974" w14:textId="4E15E675" w:rsidR="00D06036" w:rsidRDefault="00D06036" w:rsidP="00D06036">
            <w:pPr>
              <w:rPr>
                <w:rFonts w:cs="Arial"/>
              </w:rPr>
            </w:pPr>
            <w:r w:rsidRPr="00336E50">
              <w:rPr>
                <w:rFonts w:cs="Arial"/>
                <w:color w:val="000000" w:themeColor="text1"/>
              </w:rPr>
              <w:t>1 tablet per day</w:t>
            </w:r>
          </w:p>
        </w:tc>
      </w:tr>
      <w:tr w:rsidR="00D06036" w:rsidRPr="00C02553" w14:paraId="6983EFAE" w14:textId="77777777" w:rsidTr="00D06036">
        <w:trPr>
          <w:trHeight w:val="276"/>
          <w:jc w:val="center"/>
        </w:trPr>
        <w:tc>
          <w:tcPr>
            <w:tcW w:w="2250" w:type="dxa"/>
            <w:vAlign w:val="bottom"/>
          </w:tcPr>
          <w:p w14:paraId="14635F2B" w14:textId="058EDE06" w:rsidR="00D06036" w:rsidRPr="00336E50" w:rsidRDefault="00D06036" w:rsidP="00D06036">
            <w:pPr>
              <w:rPr>
                <w:rFonts w:cs="Arial"/>
                <w:caps/>
                <w:color w:val="000000" w:themeColor="text1"/>
              </w:rPr>
            </w:pPr>
            <w:r w:rsidRPr="00336E50">
              <w:rPr>
                <w:rFonts w:cs="Arial"/>
                <w:caps/>
                <w:color w:val="000000" w:themeColor="text1"/>
              </w:rPr>
              <w:t>INPEFA 400 MG</w:t>
            </w:r>
          </w:p>
        </w:tc>
        <w:tc>
          <w:tcPr>
            <w:tcW w:w="2139" w:type="dxa"/>
            <w:vAlign w:val="bottom"/>
          </w:tcPr>
          <w:p w14:paraId="4346B549" w14:textId="54E850AA" w:rsidR="00D06036" w:rsidRPr="00336E50" w:rsidRDefault="00D06036" w:rsidP="00D06036">
            <w:pPr>
              <w:rPr>
                <w:rFonts w:cs="Arial"/>
                <w:caps/>
                <w:color w:val="000000" w:themeColor="text1"/>
              </w:rPr>
            </w:pPr>
            <w:r w:rsidRPr="00336E50">
              <w:rPr>
                <w:rFonts w:cs="Arial"/>
                <w:caps/>
                <w:color w:val="000000" w:themeColor="text1"/>
              </w:rPr>
              <w:t>SOTAGLIFLOZIN</w:t>
            </w:r>
          </w:p>
        </w:tc>
        <w:tc>
          <w:tcPr>
            <w:tcW w:w="2461" w:type="dxa"/>
            <w:vAlign w:val="bottom"/>
          </w:tcPr>
          <w:p w14:paraId="0AA581FF" w14:textId="6F6B6458" w:rsidR="00D06036" w:rsidRPr="00336E50" w:rsidRDefault="00D06036" w:rsidP="00D06036">
            <w:pPr>
              <w:rPr>
                <w:rFonts w:cs="Arial"/>
                <w:color w:val="000000" w:themeColor="text1"/>
              </w:rPr>
            </w:pPr>
            <w:r w:rsidRPr="00336E50">
              <w:rPr>
                <w:rFonts w:cs="Arial"/>
                <w:color w:val="000000" w:themeColor="text1"/>
              </w:rPr>
              <w:t>1 tablet per day</w:t>
            </w:r>
          </w:p>
        </w:tc>
      </w:tr>
      <w:tr w:rsidR="00D06036" w:rsidRPr="00C02553" w14:paraId="6A55270C" w14:textId="77777777" w:rsidTr="00D06036">
        <w:trPr>
          <w:trHeight w:val="276"/>
          <w:jc w:val="center"/>
        </w:trPr>
        <w:tc>
          <w:tcPr>
            <w:tcW w:w="2250" w:type="dxa"/>
            <w:vAlign w:val="bottom"/>
          </w:tcPr>
          <w:p w14:paraId="5D985130" w14:textId="5FC7F9F5" w:rsidR="00D06036" w:rsidRPr="00336E50" w:rsidRDefault="00D06036" w:rsidP="00D06036">
            <w:pPr>
              <w:rPr>
                <w:rFonts w:cs="Arial"/>
                <w:caps/>
                <w:color w:val="000000" w:themeColor="text1"/>
              </w:rPr>
            </w:pPr>
            <w:r w:rsidRPr="000E5C47">
              <w:rPr>
                <w:rFonts w:cs="Arial"/>
                <w:caps/>
                <w:color w:val="000000"/>
                <w:spacing w:val="-3"/>
              </w:rPr>
              <w:t xml:space="preserve">Invokana 100 mg </w:t>
            </w:r>
          </w:p>
        </w:tc>
        <w:tc>
          <w:tcPr>
            <w:tcW w:w="2139" w:type="dxa"/>
            <w:vAlign w:val="bottom"/>
          </w:tcPr>
          <w:p w14:paraId="376F79A0" w14:textId="15CD1CD9" w:rsidR="00D06036" w:rsidRPr="00336E50" w:rsidRDefault="00D06036" w:rsidP="00D06036">
            <w:pPr>
              <w:rPr>
                <w:rFonts w:cs="Arial"/>
                <w:caps/>
                <w:color w:val="000000" w:themeColor="text1"/>
              </w:rPr>
            </w:pPr>
            <w:r w:rsidRPr="000E5C47">
              <w:rPr>
                <w:rFonts w:cs="Arial"/>
                <w:caps/>
                <w:color w:val="000000"/>
                <w:spacing w:val="-3"/>
              </w:rPr>
              <w:t>canagliflozin</w:t>
            </w:r>
          </w:p>
        </w:tc>
        <w:tc>
          <w:tcPr>
            <w:tcW w:w="2461" w:type="dxa"/>
            <w:vAlign w:val="bottom"/>
          </w:tcPr>
          <w:p w14:paraId="4A99CB23" w14:textId="78D8796F" w:rsidR="00D06036" w:rsidRPr="00336E50" w:rsidRDefault="00D06036" w:rsidP="00D06036">
            <w:pPr>
              <w:rPr>
                <w:rFonts w:cs="Arial"/>
                <w:color w:val="000000" w:themeColor="text1"/>
              </w:rPr>
            </w:pPr>
            <w:r>
              <w:rPr>
                <w:rFonts w:cs="Arial"/>
              </w:rPr>
              <w:t>2 tablets per day</w:t>
            </w:r>
          </w:p>
        </w:tc>
      </w:tr>
      <w:tr w:rsidR="00D06036" w:rsidRPr="00C02553" w14:paraId="060207B6" w14:textId="77777777" w:rsidTr="00D06036">
        <w:trPr>
          <w:trHeight w:val="276"/>
          <w:jc w:val="center"/>
        </w:trPr>
        <w:tc>
          <w:tcPr>
            <w:tcW w:w="2250" w:type="dxa"/>
            <w:vAlign w:val="bottom"/>
          </w:tcPr>
          <w:p w14:paraId="08694535" w14:textId="16EE9588" w:rsidR="00D06036" w:rsidRPr="000E5C47" w:rsidRDefault="00D06036" w:rsidP="00D06036">
            <w:pPr>
              <w:rPr>
                <w:rFonts w:cs="Arial"/>
                <w:caps/>
                <w:color w:val="000000"/>
                <w:spacing w:val="-3"/>
              </w:rPr>
            </w:pPr>
            <w:r w:rsidRPr="000E5C47">
              <w:rPr>
                <w:rFonts w:cs="Arial"/>
                <w:caps/>
                <w:color w:val="000000"/>
                <w:spacing w:val="-3"/>
              </w:rPr>
              <w:t xml:space="preserve">Invokana 300 mg </w:t>
            </w:r>
          </w:p>
        </w:tc>
        <w:tc>
          <w:tcPr>
            <w:tcW w:w="2139" w:type="dxa"/>
            <w:vAlign w:val="bottom"/>
          </w:tcPr>
          <w:p w14:paraId="4990A53F" w14:textId="59EB2FA9" w:rsidR="00D06036" w:rsidRPr="000E5C47" w:rsidRDefault="00D06036" w:rsidP="00D06036">
            <w:pPr>
              <w:rPr>
                <w:rFonts w:cs="Arial"/>
                <w:caps/>
                <w:color w:val="000000"/>
                <w:spacing w:val="-3"/>
              </w:rPr>
            </w:pPr>
            <w:r w:rsidRPr="000E5C47">
              <w:rPr>
                <w:rFonts w:cs="Arial"/>
                <w:caps/>
                <w:color w:val="000000"/>
                <w:spacing w:val="-3"/>
              </w:rPr>
              <w:t>canagliflozin</w:t>
            </w:r>
          </w:p>
        </w:tc>
        <w:tc>
          <w:tcPr>
            <w:tcW w:w="2461" w:type="dxa"/>
            <w:vAlign w:val="bottom"/>
          </w:tcPr>
          <w:p w14:paraId="4D20350F" w14:textId="2E905B82" w:rsidR="00D06036" w:rsidRDefault="00D06036" w:rsidP="00D06036">
            <w:pPr>
              <w:rPr>
                <w:rFonts w:cs="Arial"/>
              </w:rPr>
            </w:pPr>
            <w:r w:rsidRPr="000E5C47">
              <w:rPr>
                <w:rFonts w:cs="Arial"/>
              </w:rPr>
              <w:t>1</w:t>
            </w:r>
            <w:r>
              <w:rPr>
                <w:rFonts w:cs="Arial"/>
              </w:rPr>
              <w:t xml:space="preserve"> tablet per day</w:t>
            </w:r>
          </w:p>
        </w:tc>
      </w:tr>
      <w:tr w:rsidR="00D06036" w:rsidRPr="00C02553" w14:paraId="73ABC78E" w14:textId="77777777" w:rsidTr="00D06036">
        <w:trPr>
          <w:trHeight w:val="276"/>
          <w:jc w:val="center"/>
        </w:trPr>
        <w:tc>
          <w:tcPr>
            <w:tcW w:w="2250" w:type="dxa"/>
            <w:vAlign w:val="bottom"/>
          </w:tcPr>
          <w:p w14:paraId="2A82ADB5" w14:textId="20137592" w:rsidR="00D06036" w:rsidRPr="000E5C47" w:rsidRDefault="00D06036" w:rsidP="00D06036">
            <w:pPr>
              <w:rPr>
                <w:rFonts w:cs="Arial"/>
                <w:caps/>
                <w:color w:val="000000"/>
                <w:spacing w:val="-3"/>
              </w:rPr>
            </w:pPr>
            <w:r w:rsidRPr="000E5C47">
              <w:rPr>
                <w:rFonts w:cs="Arial"/>
                <w:caps/>
              </w:rPr>
              <w:t xml:space="preserve">Jardiance 10 mg </w:t>
            </w:r>
          </w:p>
        </w:tc>
        <w:tc>
          <w:tcPr>
            <w:tcW w:w="2139" w:type="dxa"/>
            <w:vAlign w:val="bottom"/>
          </w:tcPr>
          <w:p w14:paraId="724ECB79" w14:textId="25921F1C" w:rsidR="00D06036" w:rsidRPr="000E5C47" w:rsidRDefault="00D06036" w:rsidP="00D06036">
            <w:pPr>
              <w:rPr>
                <w:rFonts w:cs="Arial"/>
                <w:caps/>
                <w:color w:val="000000"/>
                <w:spacing w:val="-3"/>
              </w:rPr>
            </w:pPr>
            <w:r w:rsidRPr="000E5C47">
              <w:rPr>
                <w:rFonts w:cs="Arial"/>
                <w:caps/>
              </w:rPr>
              <w:t>empagliflozin</w:t>
            </w:r>
          </w:p>
        </w:tc>
        <w:tc>
          <w:tcPr>
            <w:tcW w:w="2461" w:type="dxa"/>
            <w:vAlign w:val="bottom"/>
          </w:tcPr>
          <w:p w14:paraId="53E0CF2D" w14:textId="71C02A12" w:rsidR="00D06036" w:rsidRPr="000E5C47" w:rsidRDefault="00D06036" w:rsidP="00D06036">
            <w:pPr>
              <w:rPr>
                <w:rFonts w:cs="Arial"/>
              </w:rPr>
            </w:pPr>
            <w:r>
              <w:rPr>
                <w:rFonts w:cs="Arial"/>
              </w:rPr>
              <w:t>2 tablets per day</w:t>
            </w:r>
          </w:p>
        </w:tc>
      </w:tr>
      <w:tr w:rsidR="00D06036" w:rsidRPr="00C02553" w14:paraId="22A9438F" w14:textId="77777777" w:rsidTr="00D06036">
        <w:trPr>
          <w:trHeight w:val="276"/>
          <w:jc w:val="center"/>
        </w:trPr>
        <w:tc>
          <w:tcPr>
            <w:tcW w:w="2250" w:type="dxa"/>
            <w:vAlign w:val="bottom"/>
          </w:tcPr>
          <w:p w14:paraId="456FACD6" w14:textId="52918DDB" w:rsidR="00D06036" w:rsidRPr="000E5C47" w:rsidRDefault="00D06036" w:rsidP="00D06036">
            <w:pPr>
              <w:rPr>
                <w:rFonts w:cs="Arial"/>
                <w:caps/>
              </w:rPr>
            </w:pPr>
            <w:r w:rsidRPr="000E5C47">
              <w:rPr>
                <w:rFonts w:cs="Arial"/>
                <w:caps/>
              </w:rPr>
              <w:t xml:space="preserve">Jardiance 25 mg </w:t>
            </w:r>
          </w:p>
        </w:tc>
        <w:tc>
          <w:tcPr>
            <w:tcW w:w="2139" w:type="dxa"/>
            <w:vAlign w:val="bottom"/>
          </w:tcPr>
          <w:p w14:paraId="6846761D" w14:textId="34FBDA49" w:rsidR="00D06036" w:rsidRPr="000E5C47" w:rsidRDefault="00D06036" w:rsidP="00D06036">
            <w:pPr>
              <w:rPr>
                <w:rFonts w:cs="Arial"/>
                <w:caps/>
              </w:rPr>
            </w:pPr>
            <w:r w:rsidRPr="000E5C47">
              <w:rPr>
                <w:rFonts w:cs="Arial"/>
                <w:caps/>
              </w:rPr>
              <w:t>empagliflozin</w:t>
            </w:r>
          </w:p>
        </w:tc>
        <w:tc>
          <w:tcPr>
            <w:tcW w:w="2461" w:type="dxa"/>
            <w:vAlign w:val="bottom"/>
          </w:tcPr>
          <w:p w14:paraId="722E37B5" w14:textId="3CF1E030" w:rsidR="00D06036" w:rsidRDefault="00D06036" w:rsidP="00D06036">
            <w:pPr>
              <w:rPr>
                <w:rFonts w:cs="Arial"/>
              </w:rPr>
            </w:pPr>
            <w:r w:rsidRPr="000E5C47">
              <w:rPr>
                <w:rFonts w:cs="Arial"/>
              </w:rPr>
              <w:t>1</w:t>
            </w:r>
            <w:r>
              <w:rPr>
                <w:rFonts w:cs="Arial"/>
              </w:rPr>
              <w:t xml:space="preserve"> tablet per day</w:t>
            </w:r>
          </w:p>
        </w:tc>
      </w:tr>
      <w:tr w:rsidR="00D06036" w:rsidRPr="00C02553" w14:paraId="56751C31" w14:textId="77777777" w:rsidTr="00D06036">
        <w:trPr>
          <w:trHeight w:val="276"/>
          <w:jc w:val="center"/>
        </w:trPr>
        <w:tc>
          <w:tcPr>
            <w:tcW w:w="2250" w:type="dxa"/>
            <w:vAlign w:val="bottom"/>
          </w:tcPr>
          <w:p w14:paraId="31A449DE" w14:textId="65C77444" w:rsidR="00D06036" w:rsidRPr="000E5C47" w:rsidRDefault="00D06036" w:rsidP="00D06036">
            <w:pPr>
              <w:rPr>
                <w:rFonts w:cs="Arial"/>
                <w:caps/>
              </w:rPr>
            </w:pPr>
            <w:r w:rsidRPr="000E5C47">
              <w:rPr>
                <w:rFonts w:cs="Arial"/>
                <w:bCs/>
                <w:caps/>
              </w:rPr>
              <w:t xml:space="preserve">STEGLATRO 15 MG </w:t>
            </w:r>
          </w:p>
        </w:tc>
        <w:tc>
          <w:tcPr>
            <w:tcW w:w="2139" w:type="dxa"/>
            <w:vAlign w:val="bottom"/>
          </w:tcPr>
          <w:p w14:paraId="06B2964E" w14:textId="2FC44732" w:rsidR="00D06036" w:rsidRPr="000E5C47" w:rsidRDefault="00D06036" w:rsidP="00D06036">
            <w:pPr>
              <w:rPr>
                <w:rFonts w:cs="Arial"/>
                <w:caps/>
              </w:rPr>
            </w:pPr>
            <w:r w:rsidRPr="000E5C47">
              <w:rPr>
                <w:rFonts w:cs="Arial"/>
                <w:bCs/>
                <w:caps/>
              </w:rPr>
              <w:t>Ertugliflozin</w:t>
            </w:r>
          </w:p>
        </w:tc>
        <w:tc>
          <w:tcPr>
            <w:tcW w:w="2461" w:type="dxa"/>
            <w:vAlign w:val="bottom"/>
          </w:tcPr>
          <w:p w14:paraId="0C3CDAD9" w14:textId="17EC119F" w:rsidR="00D06036" w:rsidRPr="000E5C47" w:rsidRDefault="00D06036" w:rsidP="00D06036">
            <w:pPr>
              <w:rPr>
                <w:rFonts w:cs="Arial"/>
              </w:rPr>
            </w:pPr>
            <w:r w:rsidRPr="000E5C47">
              <w:rPr>
                <w:rFonts w:cs="Arial"/>
              </w:rPr>
              <w:t>1</w:t>
            </w:r>
            <w:r>
              <w:rPr>
                <w:rFonts w:cs="Arial"/>
              </w:rPr>
              <w:t xml:space="preserve"> tablet per day</w:t>
            </w:r>
          </w:p>
        </w:tc>
      </w:tr>
      <w:tr w:rsidR="00D06036" w:rsidRPr="00C02553" w14:paraId="10452DA7" w14:textId="77777777" w:rsidTr="00D06036">
        <w:trPr>
          <w:trHeight w:val="276"/>
          <w:jc w:val="center"/>
        </w:trPr>
        <w:tc>
          <w:tcPr>
            <w:tcW w:w="2250" w:type="dxa"/>
            <w:vAlign w:val="bottom"/>
          </w:tcPr>
          <w:p w14:paraId="5267A554" w14:textId="48F523ED" w:rsidR="00D06036" w:rsidRPr="000E5C47" w:rsidRDefault="00D06036" w:rsidP="00D06036">
            <w:pPr>
              <w:rPr>
                <w:rFonts w:cs="Arial"/>
                <w:bCs/>
                <w:caps/>
              </w:rPr>
            </w:pPr>
            <w:r w:rsidRPr="000E5C47">
              <w:rPr>
                <w:rFonts w:cs="Arial"/>
                <w:bCs/>
                <w:caps/>
              </w:rPr>
              <w:t xml:space="preserve">STEGLATRO 5 MG </w:t>
            </w:r>
          </w:p>
        </w:tc>
        <w:tc>
          <w:tcPr>
            <w:tcW w:w="2139" w:type="dxa"/>
            <w:vAlign w:val="bottom"/>
          </w:tcPr>
          <w:p w14:paraId="6D3E5EF4" w14:textId="7F702724" w:rsidR="00D06036" w:rsidRPr="000E5C47" w:rsidRDefault="00D06036" w:rsidP="00D06036">
            <w:pPr>
              <w:rPr>
                <w:rFonts w:cs="Arial"/>
                <w:bCs/>
                <w:caps/>
              </w:rPr>
            </w:pPr>
            <w:r w:rsidRPr="000E5C47">
              <w:rPr>
                <w:rFonts w:cs="Arial"/>
                <w:bCs/>
                <w:caps/>
              </w:rPr>
              <w:t>Ertugliflozin</w:t>
            </w:r>
          </w:p>
        </w:tc>
        <w:tc>
          <w:tcPr>
            <w:tcW w:w="2461" w:type="dxa"/>
            <w:vAlign w:val="bottom"/>
          </w:tcPr>
          <w:p w14:paraId="0CCDB5DF" w14:textId="0C9A8D70" w:rsidR="00D06036" w:rsidRPr="000E5C47" w:rsidRDefault="00D06036" w:rsidP="00D06036">
            <w:pPr>
              <w:rPr>
                <w:rFonts w:cs="Arial"/>
              </w:rPr>
            </w:pPr>
            <w:r>
              <w:rPr>
                <w:rFonts w:cs="Arial"/>
              </w:rPr>
              <w:t>2 tablets per day</w:t>
            </w:r>
          </w:p>
        </w:tc>
      </w:tr>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1"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5E83DD2" w14:textId="77777777" w:rsidR="007A30FA" w:rsidRPr="008178D8" w:rsidRDefault="007A30FA" w:rsidP="007A30FA">
      <w:pPr>
        <w:pStyle w:val="ListParagraph"/>
      </w:pPr>
      <w:bookmarkStart w:id="2" w:name="_Hlk134790252"/>
      <w:r w:rsidRPr="008178D8">
        <w:t xml:space="preserve">Evidence-Based Medicine and Fiscal Analysis: “Therapeutic Class Review: </w:t>
      </w:r>
      <w:r w:rsidRPr="00F7233F">
        <w:t>ENDOCRINE AND METABOLIC AGENTS: SGLT-Inhibitors &amp; Combination Agents</w:t>
      </w:r>
      <w:r w:rsidRPr="008178D8">
        <w:t xml:space="preserve">”, Gainwell Technologies; Last updated </w:t>
      </w:r>
      <w:r>
        <w:t>April 29, 2025</w:t>
      </w:r>
      <w:r w:rsidRPr="008178D8">
        <w:t>.</w:t>
      </w:r>
    </w:p>
    <w:p w14:paraId="599864A6" w14:textId="77777777" w:rsidR="007A30FA" w:rsidRPr="001E65CE" w:rsidRDefault="007A30FA" w:rsidP="007A30FA">
      <w:pPr>
        <w:pStyle w:val="ListParagraph"/>
      </w:pPr>
      <w:r w:rsidRPr="001E65CE">
        <w:t xml:space="preserve">Evidence-Based Medicine Analysis: “Sodium-Glucose Co-Transporter 2 (SGLT2) Inhibitors”, UMKC-DIC; </w:t>
      </w:r>
      <w:r>
        <w:t>May 2025</w:t>
      </w:r>
      <w:r w:rsidRPr="001E65CE">
        <w:t>.</w:t>
      </w:r>
    </w:p>
    <w:bookmarkEnd w:id="2"/>
    <w:p w14:paraId="465A1975" w14:textId="77777777" w:rsidR="007A30FA" w:rsidRPr="00950FD3" w:rsidRDefault="007A30FA" w:rsidP="007A30FA">
      <w:pPr>
        <w:pStyle w:val="ListParagraph"/>
      </w:pPr>
      <w:r w:rsidRPr="001344EA">
        <w:t>American Diabetes Association Professional Practice Committee. Standards of Medical Care in Diabetes. Diabetes Care. 202</w:t>
      </w:r>
      <w:r>
        <w:t>5</w:t>
      </w:r>
      <w:r w:rsidRPr="001344EA">
        <w:t>; 4</w:t>
      </w:r>
      <w:r>
        <w:t>8</w:t>
      </w:r>
      <w:r w:rsidRPr="001344EA">
        <w:t>(suppl 1</w:t>
      </w:r>
      <w:proofErr w:type="gramStart"/>
      <w:r w:rsidRPr="001344EA">
        <w:t>):s</w:t>
      </w:r>
      <w:proofErr w:type="gramEnd"/>
      <w:r w:rsidRPr="001344EA">
        <w:t>1-s</w:t>
      </w:r>
      <w:r>
        <w:t>372</w:t>
      </w:r>
      <w:r w:rsidRPr="001344EA">
        <w:t>.</w:t>
      </w:r>
    </w:p>
    <w:p w14:paraId="098F7F97" w14:textId="77777777" w:rsidR="007A30FA" w:rsidRPr="00700A44" w:rsidRDefault="007A30FA" w:rsidP="007A30FA">
      <w:pPr>
        <w:pStyle w:val="ListParagraph"/>
        <w:rPr>
          <w:rStyle w:val="normaltextrun"/>
          <w:rFonts w:cs="Arial"/>
        </w:rPr>
      </w:pPr>
      <w:r w:rsidRPr="00BF4E23">
        <w:t>USPDI, Micromedex; 202</w:t>
      </w:r>
      <w:r>
        <w:t>5</w:t>
      </w:r>
      <w:r w:rsidRPr="00BF4E23">
        <w:t xml:space="preserve">. </w:t>
      </w:r>
    </w:p>
    <w:p w14:paraId="3FA1E7DB" w14:textId="611E6E6A" w:rsidR="00777CA4" w:rsidRDefault="007A30FA" w:rsidP="007A30FA">
      <w:pPr>
        <w:pStyle w:val="ListParagraph"/>
      </w:pPr>
      <w:r w:rsidRPr="00F8212D">
        <w:rPr>
          <w:rStyle w:val="normaltextrun"/>
          <w:rFonts w:cs="Arial"/>
          <w:szCs w:val="20"/>
        </w:rPr>
        <w:t>Facts and Comparisons </w:t>
      </w:r>
      <w:proofErr w:type="spellStart"/>
      <w:r w:rsidRPr="00F8212D">
        <w:rPr>
          <w:rStyle w:val="spellingerror"/>
          <w:rFonts w:cs="Arial"/>
          <w:szCs w:val="20"/>
        </w:rPr>
        <w:t>eAnswers</w:t>
      </w:r>
      <w:proofErr w:type="spellEnd"/>
      <w:r w:rsidRPr="00F8212D">
        <w:rPr>
          <w:rStyle w:val="normaltextrun"/>
          <w:rFonts w:cs="Arial"/>
          <w:szCs w:val="20"/>
        </w:rPr>
        <w:t> (online); 2025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549F" w14:textId="77777777" w:rsidR="00950760" w:rsidRPr="00C02553" w:rsidRDefault="00950760" w:rsidP="00AE77DB">
      <w:r w:rsidRPr="00C02553">
        <w:separator/>
      </w:r>
    </w:p>
  </w:endnote>
  <w:endnote w:type="continuationSeparator" w:id="0">
    <w:p w14:paraId="73FEB6C1" w14:textId="77777777" w:rsidR="00950760" w:rsidRPr="00C02553" w:rsidRDefault="00950760" w:rsidP="00AE77DB">
      <w:r w:rsidRPr="00C02553">
        <w:continuationSeparator/>
      </w:r>
    </w:p>
  </w:endnote>
  <w:endnote w:type="continuationNotice" w:id="1">
    <w:p w14:paraId="18697D32" w14:textId="77777777" w:rsidR="00950760" w:rsidRPr="00C02553" w:rsidRDefault="00950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7F81" w14:textId="77777777" w:rsidR="00950760" w:rsidRPr="00C02553" w:rsidRDefault="00950760" w:rsidP="00AE77DB">
      <w:r w:rsidRPr="00C02553">
        <w:separator/>
      </w:r>
    </w:p>
  </w:footnote>
  <w:footnote w:type="continuationSeparator" w:id="0">
    <w:p w14:paraId="41CD489E" w14:textId="77777777" w:rsidR="00950760" w:rsidRPr="00C02553" w:rsidRDefault="00950760" w:rsidP="00AE77DB">
      <w:r w:rsidRPr="00C02553">
        <w:continuationSeparator/>
      </w:r>
    </w:p>
  </w:footnote>
  <w:footnote w:type="continuationNotice" w:id="1">
    <w:p w14:paraId="52395A29" w14:textId="77777777" w:rsidR="00950760" w:rsidRPr="00C02553" w:rsidRDefault="009507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D81966">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D81966">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D81966">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C953BF"/>
    <w:multiLevelType w:val="hybridMultilevel"/>
    <w:tmpl w:val="398AE6D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48D40C3"/>
    <w:multiLevelType w:val="multilevel"/>
    <w:tmpl w:val="E1A2A51C"/>
    <w:numStyleLink w:val="References"/>
  </w:abstractNum>
  <w:abstractNum w:abstractNumId="6"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D3F76"/>
    <w:multiLevelType w:val="hybridMultilevel"/>
    <w:tmpl w:val="4B9877E4"/>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340ED6"/>
    <w:multiLevelType w:val="hybridMultilevel"/>
    <w:tmpl w:val="D6D06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5"/>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2"/>
  </w:num>
  <w:num w:numId="10" w16cid:durableId="917518096">
    <w:abstractNumId w:val="10"/>
  </w:num>
  <w:num w:numId="11" w16cid:durableId="1894998475">
    <w:abstractNumId w:val="1"/>
  </w:num>
  <w:num w:numId="12" w16cid:durableId="1418215296">
    <w:abstractNumId w:val="17"/>
  </w:num>
  <w:num w:numId="13" w16cid:durableId="604729665">
    <w:abstractNumId w:val="7"/>
  </w:num>
  <w:num w:numId="14" w16cid:durableId="1805081292">
    <w:abstractNumId w:val="14"/>
  </w:num>
  <w:num w:numId="15" w16cid:durableId="487090022">
    <w:abstractNumId w:val="18"/>
  </w:num>
  <w:num w:numId="16" w16cid:durableId="1538271233">
    <w:abstractNumId w:val="16"/>
  </w:num>
  <w:num w:numId="17" w16cid:durableId="70851593">
    <w:abstractNumId w:val="11"/>
  </w:num>
  <w:num w:numId="18" w16cid:durableId="754521697">
    <w:abstractNumId w:val="6"/>
  </w:num>
  <w:num w:numId="19" w16cid:durableId="1415735822">
    <w:abstractNumId w:val="13"/>
  </w:num>
  <w:num w:numId="20" w16cid:durableId="48833298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Q6JWxtilvv9Ek/tVm6Ytbj7KyY04Njf/XyQopv9ZoUaPDJG7j1brsIYJuEkWebFn9kmFx5sUI6qeMDnqdIl/kw==" w:salt="h7tKEYJNbaPUeP4NqRpdx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A6CE8"/>
    <w:rsid w:val="000B496B"/>
    <w:rsid w:val="000C3940"/>
    <w:rsid w:val="000C5992"/>
    <w:rsid w:val="000E1479"/>
    <w:rsid w:val="000E21CC"/>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93411"/>
    <w:rsid w:val="001A50CB"/>
    <w:rsid w:val="001A74B7"/>
    <w:rsid w:val="001B2D47"/>
    <w:rsid w:val="001C0250"/>
    <w:rsid w:val="001C6DA4"/>
    <w:rsid w:val="001C73B1"/>
    <w:rsid w:val="001D1E7D"/>
    <w:rsid w:val="001D6567"/>
    <w:rsid w:val="001E2CCB"/>
    <w:rsid w:val="001E4CBA"/>
    <w:rsid w:val="001E523C"/>
    <w:rsid w:val="001E5412"/>
    <w:rsid w:val="001E61DF"/>
    <w:rsid w:val="001E6976"/>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90A03"/>
    <w:rsid w:val="0029159A"/>
    <w:rsid w:val="00291600"/>
    <w:rsid w:val="002A02F4"/>
    <w:rsid w:val="002A7794"/>
    <w:rsid w:val="002B6347"/>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878C1"/>
    <w:rsid w:val="00396C0B"/>
    <w:rsid w:val="003972FB"/>
    <w:rsid w:val="003A211F"/>
    <w:rsid w:val="003A630F"/>
    <w:rsid w:val="003B3958"/>
    <w:rsid w:val="003B4820"/>
    <w:rsid w:val="003B5F4B"/>
    <w:rsid w:val="003B682F"/>
    <w:rsid w:val="003C53FC"/>
    <w:rsid w:val="003C7013"/>
    <w:rsid w:val="003D641B"/>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37AC0"/>
    <w:rsid w:val="00540977"/>
    <w:rsid w:val="00551668"/>
    <w:rsid w:val="005572D5"/>
    <w:rsid w:val="00566BE4"/>
    <w:rsid w:val="00570D21"/>
    <w:rsid w:val="00573856"/>
    <w:rsid w:val="00576113"/>
    <w:rsid w:val="00590652"/>
    <w:rsid w:val="0059235F"/>
    <w:rsid w:val="00596936"/>
    <w:rsid w:val="005A2F1E"/>
    <w:rsid w:val="005A4232"/>
    <w:rsid w:val="005B168B"/>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2330"/>
    <w:rsid w:val="006E0F8B"/>
    <w:rsid w:val="006E12F7"/>
    <w:rsid w:val="006E1442"/>
    <w:rsid w:val="006E29D7"/>
    <w:rsid w:val="007068A4"/>
    <w:rsid w:val="00706D67"/>
    <w:rsid w:val="00713052"/>
    <w:rsid w:val="00721367"/>
    <w:rsid w:val="007231FA"/>
    <w:rsid w:val="00732C67"/>
    <w:rsid w:val="00734418"/>
    <w:rsid w:val="00753A55"/>
    <w:rsid w:val="00757826"/>
    <w:rsid w:val="007632B7"/>
    <w:rsid w:val="0076382F"/>
    <w:rsid w:val="00765768"/>
    <w:rsid w:val="00765D10"/>
    <w:rsid w:val="00766AC8"/>
    <w:rsid w:val="00767486"/>
    <w:rsid w:val="0077070E"/>
    <w:rsid w:val="0077296A"/>
    <w:rsid w:val="00777CA4"/>
    <w:rsid w:val="00792DF0"/>
    <w:rsid w:val="0079438F"/>
    <w:rsid w:val="007A3034"/>
    <w:rsid w:val="007A30FA"/>
    <w:rsid w:val="007A527E"/>
    <w:rsid w:val="007A53E7"/>
    <w:rsid w:val="007A78F7"/>
    <w:rsid w:val="007B3333"/>
    <w:rsid w:val="007B379F"/>
    <w:rsid w:val="007B37D6"/>
    <w:rsid w:val="007B5D30"/>
    <w:rsid w:val="007D2920"/>
    <w:rsid w:val="007D42DD"/>
    <w:rsid w:val="007E6A37"/>
    <w:rsid w:val="007F1774"/>
    <w:rsid w:val="007F6915"/>
    <w:rsid w:val="00811A70"/>
    <w:rsid w:val="0081406E"/>
    <w:rsid w:val="00832211"/>
    <w:rsid w:val="008325F4"/>
    <w:rsid w:val="00832AC8"/>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6B05"/>
    <w:rsid w:val="008E7D2D"/>
    <w:rsid w:val="008F44C0"/>
    <w:rsid w:val="008F5999"/>
    <w:rsid w:val="00903AD6"/>
    <w:rsid w:val="00904D7A"/>
    <w:rsid w:val="00915332"/>
    <w:rsid w:val="009204BB"/>
    <w:rsid w:val="00935918"/>
    <w:rsid w:val="00935EC3"/>
    <w:rsid w:val="00950760"/>
    <w:rsid w:val="00951097"/>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3266"/>
    <w:rsid w:val="00A14FA6"/>
    <w:rsid w:val="00A15D64"/>
    <w:rsid w:val="00A20575"/>
    <w:rsid w:val="00A32452"/>
    <w:rsid w:val="00A32BBF"/>
    <w:rsid w:val="00A3364F"/>
    <w:rsid w:val="00A37444"/>
    <w:rsid w:val="00A4281A"/>
    <w:rsid w:val="00A459CF"/>
    <w:rsid w:val="00A5014D"/>
    <w:rsid w:val="00A53E96"/>
    <w:rsid w:val="00A56F18"/>
    <w:rsid w:val="00A628F8"/>
    <w:rsid w:val="00A62BAA"/>
    <w:rsid w:val="00A66172"/>
    <w:rsid w:val="00A70CB1"/>
    <w:rsid w:val="00A744C3"/>
    <w:rsid w:val="00AA70AB"/>
    <w:rsid w:val="00AB0B9F"/>
    <w:rsid w:val="00AB1713"/>
    <w:rsid w:val="00AB63BE"/>
    <w:rsid w:val="00AC1EBC"/>
    <w:rsid w:val="00AC2599"/>
    <w:rsid w:val="00AC2DE9"/>
    <w:rsid w:val="00AD0F62"/>
    <w:rsid w:val="00AD2C5F"/>
    <w:rsid w:val="00AE1481"/>
    <w:rsid w:val="00AE27F9"/>
    <w:rsid w:val="00AE3473"/>
    <w:rsid w:val="00AE36F2"/>
    <w:rsid w:val="00AE77DB"/>
    <w:rsid w:val="00AF7453"/>
    <w:rsid w:val="00B00FFF"/>
    <w:rsid w:val="00B04A72"/>
    <w:rsid w:val="00B06084"/>
    <w:rsid w:val="00B16735"/>
    <w:rsid w:val="00B17EDE"/>
    <w:rsid w:val="00B22585"/>
    <w:rsid w:val="00B33693"/>
    <w:rsid w:val="00B34C53"/>
    <w:rsid w:val="00B507A5"/>
    <w:rsid w:val="00B52475"/>
    <w:rsid w:val="00B525B6"/>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06036"/>
    <w:rsid w:val="00D13D87"/>
    <w:rsid w:val="00D16590"/>
    <w:rsid w:val="00D20720"/>
    <w:rsid w:val="00D250D9"/>
    <w:rsid w:val="00D27533"/>
    <w:rsid w:val="00D42DA3"/>
    <w:rsid w:val="00D4546D"/>
    <w:rsid w:val="00D47996"/>
    <w:rsid w:val="00D61118"/>
    <w:rsid w:val="00D614F1"/>
    <w:rsid w:val="00D641B5"/>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20DD"/>
    <w:rsid w:val="00E34158"/>
    <w:rsid w:val="00E354AA"/>
    <w:rsid w:val="00E43D54"/>
    <w:rsid w:val="00E442FB"/>
    <w:rsid w:val="00E529DB"/>
    <w:rsid w:val="00E53A5E"/>
    <w:rsid w:val="00E6466A"/>
    <w:rsid w:val="00E72221"/>
    <w:rsid w:val="00E83428"/>
    <w:rsid w:val="00E84C58"/>
    <w:rsid w:val="00E873A5"/>
    <w:rsid w:val="00E90D11"/>
    <w:rsid w:val="00E915E5"/>
    <w:rsid w:val="00E92241"/>
    <w:rsid w:val="00EB0367"/>
    <w:rsid w:val="00EB4FB9"/>
    <w:rsid w:val="00EB5BC8"/>
    <w:rsid w:val="00EC2738"/>
    <w:rsid w:val="00ED7B42"/>
    <w:rsid w:val="00EE3EA5"/>
    <w:rsid w:val="00EE613F"/>
    <w:rsid w:val="00EE6BD1"/>
    <w:rsid w:val="00EF0262"/>
    <w:rsid w:val="00EF0828"/>
    <w:rsid w:val="00EF6F8B"/>
    <w:rsid w:val="00F03898"/>
    <w:rsid w:val="00F1527A"/>
    <w:rsid w:val="00F15D3A"/>
    <w:rsid w:val="00F2696B"/>
    <w:rsid w:val="00F27821"/>
    <w:rsid w:val="00F4092A"/>
    <w:rsid w:val="00F417C6"/>
    <w:rsid w:val="00F41F69"/>
    <w:rsid w:val="00F43E41"/>
    <w:rsid w:val="00F4790C"/>
    <w:rsid w:val="00F50C4B"/>
    <w:rsid w:val="00F54C08"/>
    <w:rsid w:val="00F553A2"/>
    <w:rsid w:val="00F6068C"/>
    <w:rsid w:val="00F62F33"/>
    <w:rsid w:val="00F63A52"/>
    <w:rsid w:val="00F730BA"/>
    <w:rsid w:val="00F80E20"/>
    <w:rsid w:val="00F903BE"/>
    <w:rsid w:val="00F95D04"/>
    <w:rsid w:val="00FA16EC"/>
    <w:rsid w:val="00FA2811"/>
    <w:rsid w:val="00FA2CFB"/>
    <w:rsid w:val="00FA4837"/>
    <w:rsid w:val="00FB1D33"/>
    <w:rsid w:val="00FB5E96"/>
    <w:rsid w:val="00FC008C"/>
    <w:rsid w:val="00FC05A0"/>
    <w:rsid w:val="00FC675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99"/>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7A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f5eefb00-5952-4f7e-8cf8-96f81cfadd01"/>
    <ds:schemaRef ds:uri="aba01ddc-ae9a-4c9e-819c-7140b4239cde"/>
    <ds:schemaRef ds:uri="http://www.w3.org/XML/1998/namespace"/>
    <ds:schemaRef ds:uri="http://purl.org/dc/dcmitype/"/>
  </ds:schemaRefs>
</ds:datastoreItem>
</file>

<file path=customXml/itemProps2.xml><?xml version="1.0" encoding="utf-8"?>
<ds:datastoreItem xmlns:ds="http://schemas.openxmlformats.org/officeDocument/2006/customXml" ds:itemID="{C98EBAA3-EB85-4E1D-8E8A-B9FD6760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3017</Characters>
  <Application>Microsoft Office Word</Application>
  <DocSecurity>10</DocSecurity>
  <Lines>25</Lines>
  <Paragraphs>6</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creator>DMS</dc:creator>
  <cp:lastModifiedBy>Heriford, Katherine</cp:lastModifiedBy>
  <cp:revision>3</cp:revision>
  <cp:lastPrinted>2018-10-31T20:17:00Z</cp:lastPrinted>
  <dcterms:created xsi:type="dcterms:W3CDTF">2026-05-27T20:05:00Z</dcterms:created>
  <dcterms:modified xsi:type="dcterms:W3CDTF">2026-05-27T20:06:00Z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