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B9E9" w14:textId="540F29A1" w:rsidR="003F229C" w:rsidRDefault="001E698B" w:rsidP="00964C9E">
      <w:pPr>
        <w:pStyle w:val="Heading1"/>
      </w:pPr>
      <w:r>
        <w:rPr>
          <w:noProof/>
        </w:rPr>
        <w:drawing>
          <wp:anchor distT="0" distB="0" distL="114300" distR="114300" simplePos="0" relativeHeight="251660288" behindDoc="1" locked="0" layoutInCell="1" allowOverlap="1" wp14:anchorId="116C92A8" wp14:editId="774B8F00">
            <wp:simplePos x="0" y="0"/>
            <wp:positionH relativeFrom="page">
              <wp:posOffset>0</wp:posOffset>
            </wp:positionH>
            <wp:positionV relativeFrom="paragraph">
              <wp:posOffset>-785889</wp:posOffset>
            </wp:positionV>
            <wp:extent cx="7762875" cy="10049028"/>
            <wp:effectExtent l="0" t="0" r="0" b="9525"/>
            <wp:wrapNone/>
            <wp:docPr id="1086251640" name="Picture 1" descr="MO HealthNet Independent Living Waiver Provider Manua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51640" name="Picture 1" descr="MO HealthNet Independent Living Waiver Provider Manual">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62875" cy="10049028"/>
                    </a:xfrm>
                    <a:prstGeom prst="rect">
                      <a:avLst/>
                    </a:prstGeom>
                  </pic:spPr>
                </pic:pic>
              </a:graphicData>
            </a:graphic>
            <wp14:sizeRelH relativeFrom="page">
              <wp14:pctWidth>0</wp14:pctWidth>
            </wp14:sizeRelH>
            <wp14:sizeRelV relativeFrom="page">
              <wp14:pctHeight>0</wp14:pctHeight>
            </wp14:sizeRelV>
          </wp:anchor>
        </w:drawing>
      </w:r>
      <w:r w:rsidR="00964C9E">
        <w:t>I</w:t>
      </w:r>
      <w:r w:rsidR="003F229C" w:rsidRPr="00EB16D9">
        <w:t>ndependent Living Waiver Provider Manual</w:t>
      </w:r>
    </w:p>
    <w:p w14:paraId="3E3A0639" w14:textId="77777777" w:rsidR="003F229C" w:rsidRDefault="003F229C" w:rsidP="003F229C">
      <w:pPr>
        <w:ind w:firstLine="720"/>
        <w:jc w:val="center"/>
      </w:pPr>
    </w:p>
    <w:p w14:paraId="530D85CF" w14:textId="46CAB6D4" w:rsidR="003F229C" w:rsidRDefault="00964C9E" w:rsidP="00964C9E">
      <w:pPr>
        <w:tabs>
          <w:tab w:val="left" w:pos="8490"/>
        </w:tabs>
        <w:ind w:firstLine="720"/>
        <w:jc w:val="left"/>
      </w:pPr>
      <w:r>
        <w:tab/>
      </w:r>
    </w:p>
    <w:p w14:paraId="685FA761" w14:textId="5132EC72" w:rsidR="003F229C" w:rsidRDefault="00964C9E" w:rsidP="00964C9E">
      <w:pPr>
        <w:pStyle w:val="Introduction"/>
        <w:tabs>
          <w:tab w:val="left" w:pos="1815"/>
          <w:tab w:val="right" w:pos="10080"/>
        </w:tabs>
      </w:pPr>
      <w:r>
        <w:lastRenderedPageBreak/>
        <w:tab/>
      </w:r>
    </w:p>
    <w:sdt>
      <w:sdtPr>
        <w:rPr>
          <w:rFonts w:asciiTheme="minorHAnsi" w:eastAsiaTheme="minorHAnsi" w:hAnsiTheme="minorHAnsi" w:cstheme="minorBidi"/>
          <w:b w:val="0"/>
          <w:sz w:val="22"/>
          <w:szCs w:val="22"/>
        </w:rPr>
        <w:id w:val="241067767"/>
        <w:docPartObj>
          <w:docPartGallery w:val="Table of Contents"/>
          <w:docPartUnique/>
        </w:docPartObj>
      </w:sdtPr>
      <w:sdtEndPr>
        <w:rPr>
          <w:rFonts w:ascii="Tahoma" w:hAnsi="Tahoma"/>
          <w:bCs/>
          <w:noProof/>
          <w:sz w:val="23"/>
        </w:rPr>
      </w:sdtEndPr>
      <w:sdtContent>
        <w:p w14:paraId="1BD63A42" w14:textId="3E2E097F" w:rsidR="008F0899" w:rsidRPr="00D9059E" w:rsidRDefault="008F0899" w:rsidP="00964C9E">
          <w:pPr>
            <w:pStyle w:val="TOCHeading"/>
          </w:pPr>
          <w:r w:rsidRPr="00D9059E">
            <w:t>Table of Contents</w:t>
          </w:r>
        </w:p>
        <w:p w14:paraId="62FE880B" w14:textId="0DBB3B24" w:rsidR="00964C9E" w:rsidRDefault="00E93663">
          <w:pPr>
            <w:pStyle w:val="TOC1"/>
            <w:rPr>
              <w:rFonts w:asciiTheme="minorHAnsi" w:eastAsiaTheme="minorEastAsia" w:hAnsiTheme="minorHAnsi" w:cstheme="minorBidi"/>
              <w:b w:val="0"/>
              <w:kern w:val="2"/>
              <w:sz w:val="24"/>
              <w:szCs w:val="24"/>
              <w14:ligatures w14:val="standardContextual"/>
            </w:rPr>
          </w:pPr>
          <w:r>
            <w:fldChar w:fldCharType="begin"/>
          </w:r>
          <w:r>
            <w:instrText xml:space="preserve"> TOC \h \z \t "Heading 2,1,Heading 3,2,Heading 4,3" </w:instrText>
          </w:r>
          <w:r>
            <w:fldChar w:fldCharType="separate"/>
          </w:r>
          <w:hyperlink w:anchor="_Toc228793560" w:history="1">
            <w:r w:rsidR="00964C9E" w:rsidRPr="00133D63">
              <w:rPr>
                <w:rStyle w:val="Hyperlink"/>
              </w:rPr>
              <w:t>Section 1: Reimbursement Methodology</w:t>
            </w:r>
            <w:r w:rsidR="00964C9E">
              <w:rPr>
                <w:webHidden/>
              </w:rPr>
              <w:tab/>
            </w:r>
            <w:r w:rsidR="00964C9E">
              <w:rPr>
                <w:webHidden/>
              </w:rPr>
              <w:fldChar w:fldCharType="begin"/>
            </w:r>
            <w:r w:rsidR="00964C9E">
              <w:rPr>
                <w:webHidden/>
              </w:rPr>
              <w:instrText xml:space="preserve"> PAGEREF _Toc228793560 \h </w:instrText>
            </w:r>
            <w:r w:rsidR="00964C9E">
              <w:rPr>
                <w:webHidden/>
              </w:rPr>
            </w:r>
            <w:r w:rsidR="00964C9E">
              <w:rPr>
                <w:webHidden/>
              </w:rPr>
              <w:fldChar w:fldCharType="separate"/>
            </w:r>
            <w:r w:rsidR="00964C9E">
              <w:rPr>
                <w:webHidden/>
              </w:rPr>
              <w:t>4</w:t>
            </w:r>
            <w:r w:rsidR="00964C9E">
              <w:rPr>
                <w:webHidden/>
              </w:rPr>
              <w:fldChar w:fldCharType="end"/>
            </w:r>
          </w:hyperlink>
        </w:p>
        <w:p w14:paraId="59B5FEB0" w14:textId="2AD4A1BB"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61" w:history="1">
            <w:r w:rsidRPr="00133D63">
              <w:rPr>
                <w:rStyle w:val="Hyperlink"/>
              </w:rPr>
              <w:t>1.1 Independent Living Waiver Services</w:t>
            </w:r>
            <w:r>
              <w:rPr>
                <w:webHidden/>
              </w:rPr>
              <w:tab/>
            </w:r>
            <w:r>
              <w:rPr>
                <w:webHidden/>
              </w:rPr>
              <w:fldChar w:fldCharType="begin"/>
            </w:r>
            <w:r>
              <w:rPr>
                <w:webHidden/>
              </w:rPr>
              <w:instrText xml:space="preserve"> PAGEREF _Toc228793561 \h </w:instrText>
            </w:r>
            <w:r>
              <w:rPr>
                <w:webHidden/>
              </w:rPr>
            </w:r>
            <w:r>
              <w:rPr>
                <w:webHidden/>
              </w:rPr>
              <w:fldChar w:fldCharType="separate"/>
            </w:r>
            <w:r>
              <w:rPr>
                <w:webHidden/>
              </w:rPr>
              <w:t>4</w:t>
            </w:r>
            <w:r>
              <w:rPr>
                <w:webHidden/>
              </w:rPr>
              <w:fldChar w:fldCharType="end"/>
            </w:r>
          </w:hyperlink>
        </w:p>
        <w:p w14:paraId="35F886F8" w14:textId="40F07783"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62" w:history="1">
            <w:r w:rsidRPr="00133D63">
              <w:rPr>
                <w:rStyle w:val="Hyperlink"/>
              </w:rPr>
              <w:t>1.2 Fee Schedule</w:t>
            </w:r>
            <w:r>
              <w:rPr>
                <w:webHidden/>
              </w:rPr>
              <w:tab/>
            </w:r>
            <w:r>
              <w:rPr>
                <w:webHidden/>
              </w:rPr>
              <w:fldChar w:fldCharType="begin"/>
            </w:r>
            <w:r>
              <w:rPr>
                <w:webHidden/>
              </w:rPr>
              <w:instrText xml:space="preserve"> PAGEREF _Toc228793562 \h </w:instrText>
            </w:r>
            <w:r>
              <w:rPr>
                <w:webHidden/>
              </w:rPr>
            </w:r>
            <w:r>
              <w:rPr>
                <w:webHidden/>
              </w:rPr>
              <w:fldChar w:fldCharType="separate"/>
            </w:r>
            <w:r>
              <w:rPr>
                <w:webHidden/>
              </w:rPr>
              <w:t>4</w:t>
            </w:r>
            <w:r>
              <w:rPr>
                <w:webHidden/>
              </w:rPr>
              <w:fldChar w:fldCharType="end"/>
            </w:r>
          </w:hyperlink>
        </w:p>
        <w:p w14:paraId="1A5EBA8D" w14:textId="1689837D" w:rsidR="00964C9E" w:rsidRDefault="00964C9E">
          <w:pPr>
            <w:pStyle w:val="TOC1"/>
            <w:rPr>
              <w:rFonts w:asciiTheme="minorHAnsi" w:eastAsiaTheme="minorEastAsia" w:hAnsiTheme="minorHAnsi" w:cstheme="minorBidi"/>
              <w:b w:val="0"/>
              <w:kern w:val="2"/>
              <w:sz w:val="24"/>
              <w:szCs w:val="24"/>
              <w14:ligatures w14:val="standardContextual"/>
            </w:rPr>
          </w:pPr>
          <w:hyperlink w:anchor="_Toc228793563" w:history="1">
            <w:r w:rsidRPr="00133D63">
              <w:rPr>
                <w:rStyle w:val="Hyperlink"/>
              </w:rPr>
              <w:t>Section 2: Benefits and Limitations</w:t>
            </w:r>
            <w:r>
              <w:rPr>
                <w:webHidden/>
              </w:rPr>
              <w:tab/>
            </w:r>
            <w:r>
              <w:rPr>
                <w:webHidden/>
              </w:rPr>
              <w:fldChar w:fldCharType="begin"/>
            </w:r>
            <w:r>
              <w:rPr>
                <w:webHidden/>
              </w:rPr>
              <w:instrText xml:space="preserve"> PAGEREF _Toc228793563 \h </w:instrText>
            </w:r>
            <w:r>
              <w:rPr>
                <w:webHidden/>
              </w:rPr>
            </w:r>
            <w:r>
              <w:rPr>
                <w:webHidden/>
              </w:rPr>
              <w:fldChar w:fldCharType="separate"/>
            </w:r>
            <w:r>
              <w:rPr>
                <w:webHidden/>
              </w:rPr>
              <w:t>5</w:t>
            </w:r>
            <w:r>
              <w:rPr>
                <w:webHidden/>
              </w:rPr>
              <w:fldChar w:fldCharType="end"/>
            </w:r>
          </w:hyperlink>
        </w:p>
        <w:p w14:paraId="3F2780A0" w14:textId="15E17887"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64" w:history="1">
            <w:r w:rsidRPr="00133D63">
              <w:rPr>
                <w:rStyle w:val="Hyperlink"/>
              </w:rPr>
              <w:t>2.1 Independent Living Waiver Services</w:t>
            </w:r>
            <w:r>
              <w:rPr>
                <w:webHidden/>
              </w:rPr>
              <w:tab/>
            </w:r>
            <w:r>
              <w:rPr>
                <w:webHidden/>
              </w:rPr>
              <w:fldChar w:fldCharType="begin"/>
            </w:r>
            <w:r>
              <w:rPr>
                <w:webHidden/>
              </w:rPr>
              <w:instrText xml:space="preserve"> PAGEREF _Toc228793564 \h </w:instrText>
            </w:r>
            <w:r>
              <w:rPr>
                <w:webHidden/>
              </w:rPr>
            </w:r>
            <w:r>
              <w:rPr>
                <w:webHidden/>
              </w:rPr>
              <w:fldChar w:fldCharType="separate"/>
            </w:r>
            <w:r>
              <w:rPr>
                <w:webHidden/>
              </w:rPr>
              <w:t>5</w:t>
            </w:r>
            <w:r>
              <w:rPr>
                <w:webHidden/>
              </w:rPr>
              <w:fldChar w:fldCharType="end"/>
            </w:r>
          </w:hyperlink>
        </w:p>
        <w:p w14:paraId="697E45F3" w14:textId="042D17F3"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65" w:history="1">
            <w:r w:rsidRPr="00133D63">
              <w:rPr>
                <w:rStyle w:val="Hyperlink"/>
              </w:rPr>
              <w:t>2.2 Service Limitations</w:t>
            </w:r>
            <w:r>
              <w:rPr>
                <w:webHidden/>
              </w:rPr>
              <w:tab/>
            </w:r>
            <w:r>
              <w:rPr>
                <w:webHidden/>
              </w:rPr>
              <w:fldChar w:fldCharType="begin"/>
            </w:r>
            <w:r>
              <w:rPr>
                <w:webHidden/>
              </w:rPr>
              <w:instrText xml:space="preserve"> PAGEREF _Toc228793565 \h </w:instrText>
            </w:r>
            <w:r>
              <w:rPr>
                <w:webHidden/>
              </w:rPr>
            </w:r>
            <w:r>
              <w:rPr>
                <w:webHidden/>
              </w:rPr>
              <w:fldChar w:fldCharType="separate"/>
            </w:r>
            <w:r>
              <w:rPr>
                <w:webHidden/>
              </w:rPr>
              <w:t>9</w:t>
            </w:r>
            <w:r>
              <w:rPr>
                <w:webHidden/>
              </w:rPr>
              <w:fldChar w:fldCharType="end"/>
            </w:r>
          </w:hyperlink>
        </w:p>
        <w:p w14:paraId="2C4E7496" w14:textId="022FA497"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66" w:history="1">
            <w:r w:rsidRPr="00133D63">
              <w:rPr>
                <w:rStyle w:val="Hyperlink"/>
              </w:rPr>
              <w:t>2.3 Provider Conditions of Participation</w:t>
            </w:r>
            <w:r>
              <w:rPr>
                <w:webHidden/>
              </w:rPr>
              <w:tab/>
            </w:r>
            <w:r>
              <w:rPr>
                <w:webHidden/>
              </w:rPr>
              <w:fldChar w:fldCharType="begin"/>
            </w:r>
            <w:r>
              <w:rPr>
                <w:webHidden/>
              </w:rPr>
              <w:instrText xml:space="preserve"> PAGEREF _Toc228793566 \h </w:instrText>
            </w:r>
            <w:r>
              <w:rPr>
                <w:webHidden/>
              </w:rPr>
            </w:r>
            <w:r>
              <w:rPr>
                <w:webHidden/>
              </w:rPr>
              <w:fldChar w:fldCharType="separate"/>
            </w:r>
            <w:r>
              <w:rPr>
                <w:webHidden/>
              </w:rPr>
              <w:t>10</w:t>
            </w:r>
            <w:r>
              <w:rPr>
                <w:webHidden/>
              </w:rPr>
              <w:fldChar w:fldCharType="end"/>
            </w:r>
          </w:hyperlink>
        </w:p>
        <w:p w14:paraId="58DB7B41" w14:textId="732B0A56" w:rsidR="00964C9E" w:rsidRDefault="00964C9E">
          <w:pPr>
            <w:pStyle w:val="TOC3"/>
            <w:tabs>
              <w:tab w:val="right" w:leader="dot" w:pos="10070"/>
            </w:tabs>
            <w:rPr>
              <w:rFonts w:asciiTheme="minorHAnsi" w:eastAsiaTheme="minorEastAsia" w:hAnsiTheme="minorHAnsi"/>
              <w:noProof/>
              <w:kern w:val="2"/>
              <w:sz w:val="24"/>
              <w:szCs w:val="24"/>
              <w14:ligatures w14:val="standardContextual"/>
            </w:rPr>
          </w:pPr>
          <w:hyperlink w:anchor="_Toc228793567" w:history="1">
            <w:r w:rsidRPr="00133D63">
              <w:rPr>
                <w:rStyle w:val="Hyperlink"/>
                <w:noProof/>
              </w:rPr>
              <w:t>Electronic Visit Verification</w:t>
            </w:r>
            <w:r>
              <w:rPr>
                <w:noProof/>
                <w:webHidden/>
              </w:rPr>
              <w:tab/>
            </w:r>
            <w:r>
              <w:rPr>
                <w:noProof/>
                <w:webHidden/>
              </w:rPr>
              <w:fldChar w:fldCharType="begin"/>
            </w:r>
            <w:r>
              <w:rPr>
                <w:noProof/>
                <w:webHidden/>
              </w:rPr>
              <w:instrText xml:space="preserve"> PAGEREF _Toc228793567 \h </w:instrText>
            </w:r>
            <w:r>
              <w:rPr>
                <w:noProof/>
                <w:webHidden/>
              </w:rPr>
            </w:r>
            <w:r>
              <w:rPr>
                <w:noProof/>
                <w:webHidden/>
              </w:rPr>
              <w:fldChar w:fldCharType="separate"/>
            </w:r>
            <w:r>
              <w:rPr>
                <w:noProof/>
                <w:webHidden/>
              </w:rPr>
              <w:t>10</w:t>
            </w:r>
            <w:r>
              <w:rPr>
                <w:noProof/>
                <w:webHidden/>
              </w:rPr>
              <w:fldChar w:fldCharType="end"/>
            </w:r>
          </w:hyperlink>
        </w:p>
        <w:p w14:paraId="77144181" w14:textId="7486B69B"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68" w:history="1">
            <w:r w:rsidRPr="00133D63">
              <w:rPr>
                <w:rStyle w:val="Hyperlink"/>
              </w:rPr>
              <w:t>2.5 Participant Eligibility</w:t>
            </w:r>
            <w:r>
              <w:rPr>
                <w:webHidden/>
              </w:rPr>
              <w:tab/>
            </w:r>
            <w:r>
              <w:rPr>
                <w:webHidden/>
              </w:rPr>
              <w:fldChar w:fldCharType="begin"/>
            </w:r>
            <w:r>
              <w:rPr>
                <w:webHidden/>
              </w:rPr>
              <w:instrText xml:space="preserve"> PAGEREF _Toc228793568 \h </w:instrText>
            </w:r>
            <w:r>
              <w:rPr>
                <w:webHidden/>
              </w:rPr>
            </w:r>
            <w:r>
              <w:rPr>
                <w:webHidden/>
              </w:rPr>
              <w:fldChar w:fldCharType="separate"/>
            </w:r>
            <w:r>
              <w:rPr>
                <w:webHidden/>
              </w:rPr>
              <w:t>10</w:t>
            </w:r>
            <w:r>
              <w:rPr>
                <w:webHidden/>
              </w:rPr>
              <w:fldChar w:fldCharType="end"/>
            </w:r>
          </w:hyperlink>
        </w:p>
        <w:p w14:paraId="5F21EA59" w14:textId="1359134E"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69" w:history="1">
            <w:r w:rsidRPr="00133D63">
              <w:rPr>
                <w:rStyle w:val="Hyperlink"/>
              </w:rPr>
              <w:t>2.6 Authorization of Services</w:t>
            </w:r>
            <w:r>
              <w:rPr>
                <w:webHidden/>
              </w:rPr>
              <w:tab/>
            </w:r>
            <w:r>
              <w:rPr>
                <w:webHidden/>
              </w:rPr>
              <w:fldChar w:fldCharType="begin"/>
            </w:r>
            <w:r>
              <w:rPr>
                <w:webHidden/>
              </w:rPr>
              <w:instrText xml:space="preserve"> PAGEREF _Toc228793569 \h </w:instrText>
            </w:r>
            <w:r>
              <w:rPr>
                <w:webHidden/>
              </w:rPr>
            </w:r>
            <w:r>
              <w:rPr>
                <w:webHidden/>
              </w:rPr>
              <w:fldChar w:fldCharType="separate"/>
            </w:r>
            <w:r>
              <w:rPr>
                <w:webHidden/>
              </w:rPr>
              <w:t>11</w:t>
            </w:r>
            <w:r>
              <w:rPr>
                <w:webHidden/>
              </w:rPr>
              <w:fldChar w:fldCharType="end"/>
            </w:r>
          </w:hyperlink>
        </w:p>
        <w:p w14:paraId="3328352B" w14:textId="3226E571"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70" w:history="1">
            <w:r w:rsidRPr="00133D63">
              <w:rPr>
                <w:rStyle w:val="Hyperlink"/>
              </w:rPr>
              <w:t>2.7 Records</w:t>
            </w:r>
            <w:r>
              <w:rPr>
                <w:webHidden/>
              </w:rPr>
              <w:tab/>
            </w:r>
            <w:r>
              <w:rPr>
                <w:webHidden/>
              </w:rPr>
              <w:fldChar w:fldCharType="begin"/>
            </w:r>
            <w:r>
              <w:rPr>
                <w:webHidden/>
              </w:rPr>
              <w:instrText xml:space="preserve"> PAGEREF _Toc228793570 \h </w:instrText>
            </w:r>
            <w:r>
              <w:rPr>
                <w:webHidden/>
              </w:rPr>
            </w:r>
            <w:r>
              <w:rPr>
                <w:webHidden/>
              </w:rPr>
              <w:fldChar w:fldCharType="separate"/>
            </w:r>
            <w:r>
              <w:rPr>
                <w:webHidden/>
              </w:rPr>
              <w:t>12</w:t>
            </w:r>
            <w:r>
              <w:rPr>
                <w:webHidden/>
              </w:rPr>
              <w:fldChar w:fldCharType="end"/>
            </w:r>
          </w:hyperlink>
        </w:p>
        <w:p w14:paraId="288C8E7C" w14:textId="542027EE"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71" w:history="1">
            <w:r w:rsidRPr="00133D63">
              <w:rPr>
                <w:rStyle w:val="Hyperlink"/>
              </w:rPr>
              <w:t>2.8 Training</w:t>
            </w:r>
            <w:r>
              <w:rPr>
                <w:webHidden/>
              </w:rPr>
              <w:tab/>
            </w:r>
            <w:r>
              <w:rPr>
                <w:webHidden/>
              </w:rPr>
              <w:fldChar w:fldCharType="begin"/>
            </w:r>
            <w:r>
              <w:rPr>
                <w:webHidden/>
              </w:rPr>
              <w:instrText xml:space="preserve"> PAGEREF _Toc228793571 \h </w:instrText>
            </w:r>
            <w:r>
              <w:rPr>
                <w:webHidden/>
              </w:rPr>
            </w:r>
            <w:r>
              <w:rPr>
                <w:webHidden/>
              </w:rPr>
              <w:fldChar w:fldCharType="separate"/>
            </w:r>
            <w:r>
              <w:rPr>
                <w:webHidden/>
              </w:rPr>
              <w:t>13</w:t>
            </w:r>
            <w:r>
              <w:rPr>
                <w:webHidden/>
              </w:rPr>
              <w:fldChar w:fldCharType="end"/>
            </w:r>
          </w:hyperlink>
        </w:p>
        <w:p w14:paraId="3342F90C" w14:textId="12936C10"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72" w:history="1">
            <w:r w:rsidRPr="00133D63">
              <w:rPr>
                <w:rStyle w:val="Hyperlink"/>
              </w:rPr>
              <w:t>2.9 Discharge Policies and Procedures</w:t>
            </w:r>
            <w:r>
              <w:rPr>
                <w:webHidden/>
              </w:rPr>
              <w:tab/>
            </w:r>
            <w:r>
              <w:rPr>
                <w:webHidden/>
              </w:rPr>
              <w:fldChar w:fldCharType="begin"/>
            </w:r>
            <w:r>
              <w:rPr>
                <w:webHidden/>
              </w:rPr>
              <w:instrText xml:space="preserve"> PAGEREF _Toc228793572 \h </w:instrText>
            </w:r>
            <w:r>
              <w:rPr>
                <w:webHidden/>
              </w:rPr>
            </w:r>
            <w:r>
              <w:rPr>
                <w:webHidden/>
              </w:rPr>
              <w:fldChar w:fldCharType="separate"/>
            </w:r>
            <w:r>
              <w:rPr>
                <w:webHidden/>
              </w:rPr>
              <w:t>13</w:t>
            </w:r>
            <w:r>
              <w:rPr>
                <w:webHidden/>
              </w:rPr>
              <w:fldChar w:fldCharType="end"/>
            </w:r>
          </w:hyperlink>
        </w:p>
        <w:p w14:paraId="2B591E92" w14:textId="2CDFD3E7"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73" w:history="1">
            <w:r w:rsidRPr="00133D63">
              <w:rPr>
                <w:rStyle w:val="Hyperlink"/>
              </w:rPr>
              <w:t>2.10 Provider Reassessments</w:t>
            </w:r>
            <w:r>
              <w:rPr>
                <w:webHidden/>
              </w:rPr>
              <w:tab/>
            </w:r>
            <w:r>
              <w:rPr>
                <w:webHidden/>
              </w:rPr>
              <w:fldChar w:fldCharType="begin"/>
            </w:r>
            <w:r>
              <w:rPr>
                <w:webHidden/>
              </w:rPr>
              <w:instrText xml:space="preserve"> PAGEREF _Toc228793573 \h </w:instrText>
            </w:r>
            <w:r>
              <w:rPr>
                <w:webHidden/>
              </w:rPr>
            </w:r>
            <w:r>
              <w:rPr>
                <w:webHidden/>
              </w:rPr>
              <w:fldChar w:fldCharType="separate"/>
            </w:r>
            <w:r>
              <w:rPr>
                <w:webHidden/>
              </w:rPr>
              <w:t>14</w:t>
            </w:r>
            <w:r>
              <w:rPr>
                <w:webHidden/>
              </w:rPr>
              <w:fldChar w:fldCharType="end"/>
            </w:r>
          </w:hyperlink>
        </w:p>
        <w:p w14:paraId="14F69F62" w14:textId="6C2EA5D2"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74" w:history="1">
            <w:r w:rsidRPr="00133D63">
              <w:rPr>
                <w:rStyle w:val="Hyperlink"/>
              </w:rPr>
              <w:t>2.11 Home and Community-Based Services Setting Requirements</w:t>
            </w:r>
            <w:r>
              <w:rPr>
                <w:webHidden/>
              </w:rPr>
              <w:tab/>
            </w:r>
            <w:r>
              <w:rPr>
                <w:webHidden/>
              </w:rPr>
              <w:fldChar w:fldCharType="begin"/>
            </w:r>
            <w:r>
              <w:rPr>
                <w:webHidden/>
              </w:rPr>
              <w:instrText xml:space="preserve"> PAGEREF _Toc228793574 \h </w:instrText>
            </w:r>
            <w:r>
              <w:rPr>
                <w:webHidden/>
              </w:rPr>
            </w:r>
            <w:r>
              <w:rPr>
                <w:webHidden/>
              </w:rPr>
              <w:fldChar w:fldCharType="separate"/>
            </w:r>
            <w:r>
              <w:rPr>
                <w:webHidden/>
              </w:rPr>
              <w:t>14</w:t>
            </w:r>
            <w:r>
              <w:rPr>
                <w:webHidden/>
              </w:rPr>
              <w:fldChar w:fldCharType="end"/>
            </w:r>
          </w:hyperlink>
        </w:p>
        <w:p w14:paraId="544D2BFF" w14:textId="0F655A13" w:rsidR="00964C9E" w:rsidRDefault="00964C9E">
          <w:pPr>
            <w:pStyle w:val="TOC1"/>
            <w:rPr>
              <w:rFonts w:asciiTheme="minorHAnsi" w:eastAsiaTheme="minorEastAsia" w:hAnsiTheme="minorHAnsi" w:cstheme="minorBidi"/>
              <w:b w:val="0"/>
              <w:kern w:val="2"/>
              <w:sz w:val="24"/>
              <w:szCs w:val="24"/>
              <w14:ligatures w14:val="standardContextual"/>
            </w:rPr>
          </w:pPr>
          <w:hyperlink w:anchor="_Toc228793575" w:history="1">
            <w:r w:rsidRPr="00133D63">
              <w:rPr>
                <w:rStyle w:val="Hyperlink"/>
              </w:rPr>
              <w:t>Section 3: Special Documentation Requirements</w:t>
            </w:r>
            <w:r>
              <w:rPr>
                <w:webHidden/>
              </w:rPr>
              <w:tab/>
            </w:r>
            <w:r>
              <w:rPr>
                <w:webHidden/>
              </w:rPr>
              <w:fldChar w:fldCharType="begin"/>
            </w:r>
            <w:r>
              <w:rPr>
                <w:webHidden/>
              </w:rPr>
              <w:instrText xml:space="preserve"> PAGEREF _Toc228793575 \h </w:instrText>
            </w:r>
            <w:r>
              <w:rPr>
                <w:webHidden/>
              </w:rPr>
            </w:r>
            <w:r>
              <w:rPr>
                <w:webHidden/>
              </w:rPr>
              <w:fldChar w:fldCharType="separate"/>
            </w:r>
            <w:r>
              <w:rPr>
                <w:webHidden/>
              </w:rPr>
              <w:t>14</w:t>
            </w:r>
            <w:r>
              <w:rPr>
                <w:webHidden/>
              </w:rPr>
              <w:fldChar w:fldCharType="end"/>
            </w:r>
          </w:hyperlink>
        </w:p>
        <w:p w14:paraId="2F9DB4B9" w14:textId="51326285"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76" w:history="1">
            <w:r w:rsidRPr="00133D63">
              <w:rPr>
                <w:rStyle w:val="Hyperlink"/>
              </w:rPr>
              <w:t>3.1 Prior Authorization</w:t>
            </w:r>
            <w:r>
              <w:rPr>
                <w:webHidden/>
              </w:rPr>
              <w:tab/>
            </w:r>
            <w:r>
              <w:rPr>
                <w:webHidden/>
              </w:rPr>
              <w:fldChar w:fldCharType="begin"/>
            </w:r>
            <w:r>
              <w:rPr>
                <w:webHidden/>
              </w:rPr>
              <w:instrText xml:space="preserve"> PAGEREF _Toc228793576 \h </w:instrText>
            </w:r>
            <w:r>
              <w:rPr>
                <w:webHidden/>
              </w:rPr>
            </w:r>
            <w:r>
              <w:rPr>
                <w:webHidden/>
              </w:rPr>
              <w:fldChar w:fldCharType="separate"/>
            </w:r>
            <w:r>
              <w:rPr>
                <w:webHidden/>
              </w:rPr>
              <w:t>14</w:t>
            </w:r>
            <w:r>
              <w:rPr>
                <w:webHidden/>
              </w:rPr>
              <w:fldChar w:fldCharType="end"/>
            </w:r>
          </w:hyperlink>
        </w:p>
        <w:p w14:paraId="502AE3F0" w14:textId="631BDB25"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77" w:history="1">
            <w:r w:rsidRPr="00133D63">
              <w:rPr>
                <w:rStyle w:val="Hyperlink"/>
              </w:rPr>
              <w:t>3.2 Home and Community-Based Services Referral</w:t>
            </w:r>
            <w:r>
              <w:rPr>
                <w:webHidden/>
              </w:rPr>
              <w:tab/>
            </w:r>
            <w:r>
              <w:rPr>
                <w:webHidden/>
              </w:rPr>
              <w:fldChar w:fldCharType="begin"/>
            </w:r>
            <w:r>
              <w:rPr>
                <w:webHidden/>
              </w:rPr>
              <w:instrText xml:space="preserve"> PAGEREF _Toc228793577 \h </w:instrText>
            </w:r>
            <w:r>
              <w:rPr>
                <w:webHidden/>
              </w:rPr>
            </w:r>
            <w:r>
              <w:rPr>
                <w:webHidden/>
              </w:rPr>
              <w:fldChar w:fldCharType="separate"/>
            </w:r>
            <w:r>
              <w:rPr>
                <w:webHidden/>
              </w:rPr>
              <w:t>15</w:t>
            </w:r>
            <w:r>
              <w:rPr>
                <w:webHidden/>
              </w:rPr>
              <w:fldChar w:fldCharType="end"/>
            </w:r>
          </w:hyperlink>
        </w:p>
        <w:p w14:paraId="18775A03" w14:textId="72AB5BD1"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78" w:history="1">
            <w:r w:rsidRPr="00133D63">
              <w:rPr>
                <w:rStyle w:val="Hyperlink"/>
              </w:rPr>
              <w:t>3.3 Participant Choice Statement</w:t>
            </w:r>
            <w:r>
              <w:rPr>
                <w:webHidden/>
              </w:rPr>
              <w:tab/>
            </w:r>
            <w:r>
              <w:rPr>
                <w:webHidden/>
              </w:rPr>
              <w:fldChar w:fldCharType="begin"/>
            </w:r>
            <w:r>
              <w:rPr>
                <w:webHidden/>
              </w:rPr>
              <w:instrText xml:space="preserve"> PAGEREF _Toc228793578 \h </w:instrText>
            </w:r>
            <w:r>
              <w:rPr>
                <w:webHidden/>
              </w:rPr>
            </w:r>
            <w:r>
              <w:rPr>
                <w:webHidden/>
              </w:rPr>
              <w:fldChar w:fldCharType="separate"/>
            </w:r>
            <w:r>
              <w:rPr>
                <w:webHidden/>
              </w:rPr>
              <w:t>16</w:t>
            </w:r>
            <w:r>
              <w:rPr>
                <w:webHidden/>
              </w:rPr>
              <w:fldChar w:fldCharType="end"/>
            </w:r>
          </w:hyperlink>
        </w:p>
        <w:p w14:paraId="35C4E72D" w14:textId="7C19F74A" w:rsidR="00964C9E" w:rsidRDefault="00964C9E">
          <w:pPr>
            <w:pStyle w:val="TOC1"/>
            <w:rPr>
              <w:rFonts w:asciiTheme="minorHAnsi" w:eastAsiaTheme="minorEastAsia" w:hAnsiTheme="minorHAnsi" w:cstheme="minorBidi"/>
              <w:b w:val="0"/>
              <w:kern w:val="2"/>
              <w:sz w:val="24"/>
              <w:szCs w:val="24"/>
              <w14:ligatures w14:val="standardContextual"/>
            </w:rPr>
          </w:pPr>
          <w:hyperlink w:anchor="_Toc228793579" w:history="1">
            <w:r w:rsidRPr="00133D63">
              <w:rPr>
                <w:rStyle w:val="Hyperlink"/>
              </w:rPr>
              <w:t>Section 4: Billing Instructions</w:t>
            </w:r>
            <w:r>
              <w:rPr>
                <w:webHidden/>
              </w:rPr>
              <w:tab/>
            </w:r>
            <w:r>
              <w:rPr>
                <w:webHidden/>
              </w:rPr>
              <w:fldChar w:fldCharType="begin"/>
            </w:r>
            <w:r>
              <w:rPr>
                <w:webHidden/>
              </w:rPr>
              <w:instrText xml:space="preserve"> PAGEREF _Toc228793579 \h </w:instrText>
            </w:r>
            <w:r>
              <w:rPr>
                <w:webHidden/>
              </w:rPr>
            </w:r>
            <w:r>
              <w:rPr>
                <w:webHidden/>
              </w:rPr>
              <w:fldChar w:fldCharType="separate"/>
            </w:r>
            <w:r>
              <w:rPr>
                <w:webHidden/>
              </w:rPr>
              <w:t>17</w:t>
            </w:r>
            <w:r>
              <w:rPr>
                <w:webHidden/>
              </w:rPr>
              <w:fldChar w:fldCharType="end"/>
            </w:r>
          </w:hyperlink>
        </w:p>
        <w:p w14:paraId="5DE58B21" w14:textId="69BF15E8"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80" w:history="1">
            <w:r w:rsidRPr="00133D63">
              <w:rPr>
                <w:rStyle w:val="Hyperlink"/>
              </w:rPr>
              <w:t>4.1 Electronic Data Interchange</w:t>
            </w:r>
            <w:r>
              <w:rPr>
                <w:webHidden/>
              </w:rPr>
              <w:tab/>
            </w:r>
            <w:r>
              <w:rPr>
                <w:webHidden/>
              </w:rPr>
              <w:fldChar w:fldCharType="begin"/>
            </w:r>
            <w:r>
              <w:rPr>
                <w:webHidden/>
              </w:rPr>
              <w:instrText xml:space="preserve"> PAGEREF _Toc228793580 \h </w:instrText>
            </w:r>
            <w:r>
              <w:rPr>
                <w:webHidden/>
              </w:rPr>
            </w:r>
            <w:r>
              <w:rPr>
                <w:webHidden/>
              </w:rPr>
              <w:fldChar w:fldCharType="separate"/>
            </w:r>
            <w:r>
              <w:rPr>
                <w:webHidden/>
              </w:rPr>
              <w:t>17</w:t>
            </w:r>
            <w:r>
              <w:rPr>
                <w:webHidden/>
              </w:rPr>
              <w:fldChar w:fldCharType="end"/>
            </w:r>
          </w:hyperlink>
        </w:p>
        <w:p w14:paraId="4A174C67" w14:textId="577333B5"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81" w:history="1">
            <w:r w:rsidRPr="00133D63">
              <w:rPr>
                <w:rStyle w:val="Hyperlink"/>
              </w:rPr>
              <w:t>4.2 Electronic Claim Submission</w:t>
            </w:r>
            <w:r>
              <w:rPr>
                <w:webHidden/>
              </w:rPr>
              <w:tab/>
            </w:r>
            <w:r>
              <w:rPr>
                <w:webHidden/>
              </w:rPr>
              <w:fldChar w:fldCharType="begin"/>
            </w:r>
            <w:r>
              <w:rPr>
                <w:webHidden/>
              </w:rPr>
              <w:instrText xml:space="preserve"> PAGEREF _Toc228793581 \h </w:instrText>
            </w:r>
            <w:r>
              <w:rPr>
                <w:webHidden/>
              </w:rPr>
            </w:r>
            <w:r>
              <w:rPr>
                <w:webHidden/>
              </w:rPr>
              <w:fldChar w:fldCharType="separate"/>
            </w:r>
            <w:r>
              <w:rPr>
                <w:webHidden/>
              </w:rPr>
              <w:t>17</w:t>
            </w:r>
            <w:r>
              <w:rPr>
                <w:webHidden/>
              </w:rPr>
              <w:fldChar w:fldCharType="end"/>
            </w:r>
          </w:hyperlink>
        </w:p>
        <w:p w14:paraId="7ADAD5F8" w14:textId="2E81CD4F"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82" w:history="1">
            <w:r w:rsidRPr="00133D63">
              <w:rPr>
                <w:rStyle w:val="Hyperlink"/>
              </w:rPr>
              <w:t>4.3 CMS-1500 Claim Form</w:t>
            </w:r>
            <w:r>
              <w:rPr>
                <w:webHidden/>
              </w:rPr>
              <w:tab/>
            </w:r>
            <w:r>
              <w:rPr>
                <w:webHidden/>
              </w:rPr>
              <w:fldChar w:fldCharType="begin"/>
            </w:r>
            <w:r>
              <w:rPr>
                <w:webHidden/>
              </w:rPr>
              <w:instrText xml:space="preserve"> PAGEREF _Toc228793582 \h </w:instrText>
            </w:r>
            <w:r>
              <w:rPr>
                <w:webHidden/>
              </w:rPr>
            </w:r>
            <w:r>
              <w:rPr>
                <w:webHidden/>
              </w:rPr>
              <w:fldChar w:fldCharType="separate"/>
            </w:r>
            <w:r>
              <w:rPr>
                <w:webHidden/>
              </w:rPr>
              <w:t>18</w:t>
            </w:r>
            <w:r>
              <w:rPr>
                <w:webHidden/>
              </w:rPr>
              <w:fldChar w:fldCharType="end"/>
            </w:r>
          </w:hyperlink>
        </w:p>
        <w:p w14:paraId="384F8108" w14:textId="6745F2C5"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83" w:history="1">
            <w:r w:rsidRPr="00133D63">
              <w:rPr>
                <w:rStyle w:val="Hyperlink"/>
              </w:rPr>
              <w:t>4.4 Resubmission of Claims</w:t>
            </w:r>
            <w:r>
              <w:rPr>
                <w:webHidden/>
              </w:rPr>
              <w:tab/>
            </w:r>
            <w:r>
              <w:rPr>
                <w:webHidden/>
              </w:rPr>
              <w:fldChar w:fldCharType="begin"/>
            </w:r>
            <w:r>
              <w:rPr>
                <w:webHidden/>
              </w:rPr>
              <w:instrText xml:space="preserve"> PAGEREF _Toc228793583 \h </w:instrText>
            </w:r>
            <w:r>
              <w:rPr>
                <w:webHidden/>
              </w:rPr>
            </w:r>
            <w:r>
              <w:rPr>
                <w:webHidden/>
              </w:rPr>
              <w:fldChar w:fldCharType="separate"/>
            </w:r>
            <w:r>
              <w:rPr>
                <w:webHidden/>
              </w:rPr>
              <w:t>24</w:t>
            </w:r>
            <w:r>
              <w:rPr>
                <w:webHidden/>
              </w:rPr>
              <w:fldChar w:fldCharType="end"/>
            </w:r>
          </w:hyperlink>
        </w:p>
        <w:p w14:paraId="5D15E626" w14:textId="0E940566"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84" w:history="1">
            <w:r w:rsidRPr="00133D63">
              <w:rPr>
                <w:rStyle w:val="Hyperlink"/>
              </w:rPr>
              <w:t>4.5 Place of Service Codes</w:t>
            </w:r>
            <w:r>
              <w:rPr>
                <w:webHidden/>
              </w:rPr>
              <w:tab/>
            </w:r>
            <w:r>
              <w:rPr>
                <w:webHidden/>
              </w:rPr>
              <w:fldChar w:fldCharType="begin"/>
            </w:r>
            <w:r>
              <w:rPr>
                <w:webHidden/>
              </w:rPr>
              <w:instrText xml:space="preserve"> PAGEREF _Toc228793584 \h </w:instrText>
            </w:r>
            <w:r>
              <w:rPr>
                <w:webHidden/>
              </w:rPr>
            </w:r>
            <w:r>
              <w:rPr>
                <w:webHidden/>
              </w:rPr>
              <w:fldChar w:fldCharType="separate"/>
            </w:r>
            <w:r>
              <w:rPr>
                <w:webHidden/>
              </w:rPr>
              <w:t>24</w:t>
            </w:r>
            <w:r>
              <w:rPr>
                <w:webHidden/>
              </w:rPr>
              <w:fldChar w:fldCharType="end"/>
            </w:r>
          </w:hyperlink>
        </w:p>
        <w:p w14:paraId="2C2B1C45" w14:textId="13C1935F"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85" w:history="1">
            <w:r w:rsidRPr="00133D63">
              <w:rPr>
                <w:rStyle w:val="Hyperlink"/>
              </w:rPr>
              <w:t>4.6 Insurance Coverage</w:t>
            </w:r>
            <w:r>
              <w:rPr>
                <w:webHidden/>
              </w:rPr>
              <w:tab/>
            </w:r>
            <w:r>
              <w:rPr>
                <w:webHidden/>
              </w:rPr>
              <w:fldChar w:fldCharType="begin"/>
            </w:r>
            <w:r>
              <w:rPr>
                <w:webHidden/>
              </w:rPr>
              <w:instrText xml:space="preserve"> PAGEREF _Toc228793585 \h </w:instrText>
            </w:r>
            <w:r>
              <w:rPr>
                <w:webHidden/>
              </w:rPr>
            </w:r>
            <w:r>
              <w:rPr>
                <w:webHidden/>
              </w:rPr>
              <w:fldChar w:fldCharType="separate"/>
            </w:r>
            <w:r>
              <w:rPr>
                <w:webHidden/>
              </w:rPr>
              <w:t>24</w:t>
            </w:r>
            <w:r>
              <w:rPr>
                <w:webHidden/>
              </w:rPr>
              <w:fldChar w:fldCharType="end"/>
            </w:r>
          </w:hyperlink>
        </w:p>
        <w:p w14:paraId="0CE83C17" w14:textId="0EA54651" w:rsidR="00964C9E" w:rsidRDefault="00964C9E">
          <w:pPr>
            <w:pStyle w:val="TOC2"/>
            <w:rPr>
              <w:rFonts w:asciiTheme="minorHAnsi" w:eastAsiaTheme="minorEastAsia" w:hAnsiTheme="minorHAnsi" w:cstheme="minorBidi"/>
              <w:b w:val="0"/>
              <w:kern w:val="2"/>
              <w:sz w:val="24"/>
              <w:szCs w:val="24"/>
              <w14:ligatures w14:val="standardContextual"/>
            </w:rPr>
          </w:pPr>
          <w:hyperlink w:anchor="_Toc228793586" w:history="1">
            <w:r w:rsidRPr="00133D63">
              <w:rPr>
                <w:rStyle w:val="Hyperlink"/>
              </w:rPr>
              <w:t>4.7 Diagnosis Codes</w:t>
            </w:r>
            <w:r>
              <w:rPr>
                <w:webHidden/>
              </w:rPr>
              <w:tab/>
            </w:r>
            <w:r>
              <w:rPr>
                <w:webHidden/>
              </w:rPr>
              <w:fldChar w:fldCharType="begin"/>
            </w:r>
            <w:r>
              <w:rPr>
                <w:webHidden/>
              </w:rPr>
              <w:instrText xml:space="preserve"> PAGEREF _Toc228793586 \h </w:instrText>
            </w:r>
            <w:r>
              <w:rPr>
                <w:webHidden/>
              </w:rPr>
            </w:r>
            <w:r>
              <w:rPr>
                <w:webHidden/>
              </w:rPr>
              <w:fldChar w:fldCharType="separate"/>
            </w:r>
            <w:r>
              <w:rPr>
                <w:webHidden/>
              </w:rPr>
              <w:t>25</w:t>
            </w:r>
            <w:r>
              <w:rPr>
                <w:webHidden/>
              </w:rPr>
              <w:fldChar w:fldCharType="end"/>
            </w:r>
          </w:hyperlink>
        </w:p>
        <w:p w14:paraId="4455FA99" w14:textId="615144C1" w:rsidR="00964C9E" w:rsidRDefault="00964C9E">
          <w:pPr>
            <w:pStyle w:val="TOC1"/>
            <w:rPr>
              <w:rFonts w:asciiTheme="minorHAnsi" w:eastAsiaTheme="minorEastAsia" w:hAnsiTheme="minorHAnsi" w:cstheme="minorBidi"/>
              <w:b w:val="0"/>
              <w:kern w:val="2"/>
              <w:sz w:val="24"/>
              <w:szCs w:val="24"/>
              <w14:ligatures w14:val="standardContextual"/>
            </w:rPr>
          </w:pPr>
          <w:hyperlink w:anchor="_Toc228793587" w:history="1">
            <w:r w:rsidRPr="00133D63">
              <w:rPr>
                <w:rStyle w:val="Hyperlink"/>
              </w:rPr>
              <w:t>Section 5: Procedure Codes</w:t>
            </w:r>
            <w:r>
              <w:rPr>
                <w:webHidden/>
              </w:rPr>
              <w:tab/>
            </w:r>
            <w:r>
              <w:rPr>
                <w:webHidden/>
              </w:rPr>
              <w:fldChar w:fldCharType="begin"/>
            </w:r>
            <w:r>
              <w:rPr>
                <w:webHidden/>
              </w:rPr>
              <w:instrText xml:space="preserve"> PAGEREF _Toc228793587 \h </w:instrText>
            </w:r>
            <w:r>
              <w:rPr>
                <w:webHidden/>
              </w:rPr>
            </w:r>
            <w:r>
              <w:rPr>
                <w:webHidden/>
              </w:rPr>
              <w:fldChar w:fldCharType="separate"/>
            </w:r>
            <w:r>
              <w:rPr>
                <w:webHidden/>
              </w:rPr>
              <w:t>25</w:t>
            </w:r>
            <w:r>
              <w:rPr>
                <w:webHidden/>
              </w:rPr>
              <w:fldChar w:fldCharType="end"/>
            </w:r>
          </w:hyperlink>
        </w:p>
        <w:p w14:paraId="0485B359" w14:textId="317B9AEC" w:rsidR="008F0899" w:rsidRDefault="00E93663">
          <w:r>
            <w:fldChar w:fldCharType="end"/>
          </w:r>
        </w:p>
      </w:sdtContent>
    </w:sdt>
    <w:p w14:paraId="4C9A2891" w14:textId="77777777" w:rsidR="00E9415C" w:rsidRDefault="00E9415C" w:rsidP="00E9415C"/>
    <w:p w14:paraId="10DD1FA6" w14:textId="77777777" w:rsidR="00E9415C" w:rsidRDefault="00E9415C" w:rsidP="00E9415C"/>
    <w:p w14:paraId="5EEA13B2" w14:textId="77777777" w:rsidR="00E9415C" w:rsidRDefault="00E9415C" w:rsidP="00E9415C"/>
    <w:p w14:paraId="7BFBD545" w14:textId="77777777" w:rsidR="00E9415C" w:rsidRDefault="00E9415C" w:rsidP="00E9415C"/>
    <w:p w14:paraId="1DDA6154" w14:textId="77777777" w:rsidR="00E9415C" w:rsidRDefault="00E9415C" w:rsidP="00E9415C"/>
    <w:p w14:paraId="0A4321C7" w14:textId="77777777" w:rsidR="00E9415C" w:rsidRDefault="00E9415C" w:rsidP="00E9415C"/>
    <w:p w14:paraId="6DC1A94D" w14:textId="77777777" w:rsidR="00E9415C" w:rsidRDefault="00E9415C" w:rsidP="00E9415C"/>
    <w:p w14:paraId="37E2EF34" w14:textId="77777777" w:rsidR="00E9415C" w:rsidRDefault="00E9415C" w:rsidP="00E9415C"/>
    <w:p w14:paraId="5D721A0A" w14:textId="77777777" w:rsidR="00E9415C" w:rsidRDefault="00E9415C" w:rsidP="00E9415C"/>
    <w:p w14:paraId="430C3D5E" w14:textId="77777777" w:rsidR="00E9415C" w:rsidRDefault="00E9415C" w:rsidP="00E9415C"/>
    <w:p w14:paraId="52D49A87" w14:textId="77777777" w:rsidR="00E9415C" w:rsidRDefault="00E9415C" w:rsidP="00E9415C"/>
    <w:p w14:paraId="77C06EBF" w14:textId="77777777" w:rsidR="00E9415C" w:rsidRDefault="00E9415C" w:rsidP="00E9415C"/>
    <w:p w14:paraId="3BF59FB3" w14:textId="77777777" w:rsidR="00E9415C" w:rsidRDefault="00E9415C" w:rsidP="00E9415C"/>
    <w:p w14:paraId="6DEED559" w14:textId="77777777" w:rsidR="00E9415C" w:rsidRDefault="00E9415C" w:rsidP="00E9415C"/>
    <w:p w14:paraId="41323BA1" w14:textId="77777777" w:rsidR="00E9415C" w:rsidRDefault="00E9415C" w:rsidP="00E9415C"/>
    <w:p w14:paraId="39A2760F" w14:textId="77777777" w:rsidR="00E9415C" w:rsidRDefault="00E9415C" w:rsidP="00E9415C"/>
    <w:p w14:paraId="5AA3A523" w14:textId="77777777" w:rsidR="00E9415C" w:rsidRDefault="00E9415C" w:rsidP="00E9415C"/>
    <w:p w14:paraId="55EEA8D1" w14:textId="77777777" w:rsidR="00902054" w:rsidRDefault="00902054" w:rsidP="00E9415C"/>
    <w:p w14:paraId="7D8CCD59" w14:textId="77777777" w:rsidR="00E9415C" w:rsidRPr="00EB16D9" w:rsidRDefault="00E9415C" w:rsidP="00E9415C"/>
    <w:p w14:paraId="6C1507DC" w14:textId="0CE97D2F" w:rsidR="003F229C" w:rsidRPr="00E93663" w:rsidRDefault="003F229C" w:rsidP="00E93663">
      <w:pPr>
        <w:pStyle w:val="Introduction"/>
      </w:pPr>
      <w:r w:rsidRPr="00E93663">
        <w:t xml:space="preserve">Introduction </w:t>
      </w:r>
    </w:p>
    <w:p w14:paraId="7DDB67B2" w14:textId="2B32E79D" w:rsidR="003F229C" w:rsidRPr="003F229C" w:rsidRDefault="003F229C" w:rsidP="002433EC">
      <w:r w:rsidRPr="003F229C">
        <w:t xml:space="preserve">The Independent Living Waiver (ILW) is administered by the Missouri Department of Social Services (DSS), MO HealthNet Division (MHD), and operated by the Department of Health and Senior Services (DHSS), Division of Senior and Disability Services (DSDS), Bureau </w:t>
      </w:r>
      <w:r w:rsidR="00EB16D9">
        <w:t>of Federal Programs (BFP)</w:t>
      </w:r>
      <w:r w:rsidR="00EB16D9" w:rsidRPr="003F229C" w:rsidDel="00EB16D9">
        <w:t xml:space="preserve"> </w:t>
      </w:r>
      <w:r w:rsidRPr="003F229C">
        <w:t xml:space="preserve">The authority for this program is a </w:t>
      </w:r>
      <w:r w:rsidR="00682952" w:rsidRPr="003F229C">
        <w:t>federally</w:t>
      </w:r>
      <w:r w:rsidR="00682952">
        <w:t xml:space="preserve"> approved</w:t>
      </w:r>
      <w:r w:rsidRPr="003F229C">
        <w:t xml:space="preserve"> waiver under Section </w:t>
      </w:r>
      <w:hyperlink r:id="rId9" w:history="1">
        <w:r w:rsidRPr="00E93663">
          <w:rPr>
            <w:rStyle w:val="Hyperlink"/>
          </w:rPr>
          <w:t>1915(c) of the Social Security Act</w:t>
        </w:r>
      </w:hyperlink>
      <w:r w:rsidR="00856F04" w:rsidRPr="00E93663">
        <w:rPr>
          <w:rStyle w:val="Hyperlink"/>
        </w:rPr>
        <w:t>.</w:t>
      </w:r>
      <w:r w:rsidR="00856F04">
        <w:t xml:space="preserve"> </w:t>
      </w:r>
      <w:r w:rsidRPr="003F229C">
        <w:t>Under this section, the Secretary of Health and Human Services</w:t>
      </w:r>
      <w:r w:rsidR="00D5030F">
        <w:t xml:space="preserve"> (HHS)</w:t>
      </w:r>
      <w:r w:rsidRPr="003F229C">
        <w:t xml:space="preserve"> may approve by waiver the </w:t>
      </w:r>
      <w:r w:rsidR="00F10C49">
        <w:t xml:space="preserve">inclusion of </w:t>
      </w:r>
      <w:r w:rsidR="00D5030F">
        <w:t>H</w:t>
      </w:r>
      <w:r w:rsidR="00F10C49">
        <w:t xml:space="preserve">ome and </w:t>
      </w:r>
      <w:r w:rsidR="00D5030F">
        <w:t>C</w:t>
      </w:r>
      <w:r w:rsidR="00F10C49">
        <w:t>ommunity</w:t>
      </w:r>
      <w:r w:rsidR="009C5916">
        <w:t>-</w:t>
      </w:r>
      <w:r w:rsidR="00D5030F">
        <w:t>B</w:t>
      </w:r>
      <w:r w:rsidRPr="003F229C">
        <w:t xml:space="preserve">ased </w:t>
      </w:r>
      <w:r w:rsidR="00D5030F">
        <w:t>S</w:t>
      </w:r>
      <w:r w:rsidRPr="003F229C">
        <w:t>ervices</w:t>
      </w:r>
      <w:r w:rsidR="00D5030F">
        <w:t xml:space="preserve"> (HCBS)</w:t>
      </w:r>
      <w:r w:rsidRPr="003F229C">
        <w:t xml:space="preserve"> not otherwise covered by a state’s Medicaid Plan.</w:t>
      </w:r>
    </w:p>
    <w:p w14:paraId="652623B4" w14:textId="61680C08" w:rsidR="003F229C" w:rsidRPr="003F229C" w:rsidRDefault="003F229C" w:rsidP="002433EC">
      <w:r w:rsidRPr="003F229C">
        <w:t xml:space="preserve">ILW </w:t>
      </w:r>
      <w:r w:rsidR="009C5916">
        <w:t>was developed to</w:t>
      </w:r>
      <w:r w:rsidR="004E6D86">
        <w:t xml:space="preserve"> </w:t>
      </w:r>
      <w:r w:rsidRPr="003F229C">
        <w:t xml:space="preserve">provide </w:t>
      </w:r>
      <w:r w:rsidR="004E6D86">
        <w:t xml:space="preserve">a </w:t>
      </w:r>
      <w:r w:rsidR="00044957" w:rsidRPr="003F229C">
        <w:t>community-based</w:t>
      </w:r>
      <w:r w:rsidRPr="003F229C">
        <w:t xml:space="preserve"> alternative to individuals 18 through 64 years of age with a cognitive or physical disability who otherwise would be institutionalized in a nursing facility</w:t>
      </w:r>
      <w:r w:rsidR="00856F04">
        <w:t xml:space="preserve">. </w:t>
      </w:r>
      <w:r w:rsidRPr="003F229C">
        <w:t xml:space="preserve">Individuals who have </w:t>
      </w:r>
      <w:r w:rsidR="00873248" w:rsidRPr="003F229C">
        <w:t>cognitive</w:t>
      </w:r>
      <w:r w:rsidRPr="003F229C">
        <w:t xml:space="preserve"> impairment must have had the onset of the cognitive impairment on or after age 22</w:t>
      </w:r>
      <w:r w:rsidR="00856F04">
        <w:t xml:space="preserve">. </w:t>
      </w:r>
      <w:r w:rsidRPr="003F229C">
        <w:t>Participants must be able to self-direct their personal care services to be enrolled in ILW</w:t>
      </w:r>
      <w:r w:rsidR="00856F04">
        <w:t xml:space="preserve">. </w:t>
      </w:r>
      <w:r w:rsidRPr="003F229C">
        <w:t xml:space="preserve">Participants who are receiving ILW services when they turn 65 may choose to continue to participate in ILW for as long as they maintain the ability and desire to self-direct their personal care. </w:t>
      </w:r>
    </w:p>
    <w:p w14:paraId="03349CF7" w14:textId="5AEC4787" w:rsidR="003F229C" w:rsidDel="00E9415C" w:rsidRDefault="003F229C" w:rsidP="001C72C6">
      <w:pPr>
        <w:rPr>
          <w:rFonts w:cs="Tahoma"/>
          <w:szCs w:val="23"/>
        </w:rPr>
      </w:pPr>
      <w:r w:rsidRPr="003F229C" w:rsidDel="00E9415C">
        <w:rPr>
          <w:rFonts w:cs="Tahoma"/>
          <w:szCs w:val="23"/>
        </w:rPr>
        <w:t xml:space="preserve">The approval and continued operation of the waiver </w:t>
      </w:r>
      <w:r w:rsidR="00D1131E" w:rsidDel="00E9415C">
        <w:rPr>
          <w:rFonts w:cs="Tahoma"/>
          <w:szCs w:val="23"/>
        </w:rPr>
        <w:t>is</w:t>
      </w:r>
      <w:r w:rsidRPr="003F229C" w:rsidDel="00E9415C">
        <w:rPr>
          <w:rFonts w:cs="Tahoma"/>
          <w:szCs w:val="23"/>
        </w:rPr>
        <w:t xml:space="preserve"> contingent upon a yearly demonstration that the average annual per capita </w:t>
      </w:r>
      <w:r w:rsidR="008E5588" w:rsidDel="00E9415C">
        <w:rPr>
          <w:rFonts w:cs="Tahoma"/>
          <w:szCs w:val="23"/>
        </w:rPr>
        <w:t xml:space="preserve">ILW </w:t>
      </w:r>
      <w:r w:rsidRPr="003F229C" w:rsidDel="00E9415C">
        <w:rPr>
          <w:rFonts w:cs="Tahoma"/>
          <w:szCs w:val="23"/>
        </w:rPr>
        <w:t>expenditure</w:t>
      </w:r>
      <w:r w:rsidR="008E5588" w:rsidDel="00E9415C">
        <w:rPr>
          <w:rFonts w:cs="Tahoma"/>
          <w:szCs w:val="23"/>
        </w:rPr>
        <w:t>s</w:t>
      </w:r>
      <w:r w:rsidRPr="003F229C" w:rsidDel="00E9415C">
        <w:rPr>
          <w:rFonts w:cs="Tahoma"/>
          <w:szCs w:val="23"/>
        </w:rPr>
        <w:t xml:space="preserve"> </w:t>
      </w:r>
      <w:r w:rsidR="008E5588" w:rsidDel="00E9415C">
        <w:rPr>
          <w:rFonts w:cs="Tahoma"/>
          <w:szCs w:val="23"/>
        </w:rPr>
        <w:t>do</w:t>
      </w:r>
      <w:r w:rsidR="008E5588" w:rsidRPr="003F229C" w:rsidDel="00E9415C">
        <w:rPr>
          <w:rFonts w:cs="Tahoma"/>
          <w:szCs w:val="23"/>
        </w:rPr>
        <w:t xml:space="preserve"> </w:t>
      </w:r>
      <w:r w:rsidRPr="003F229C" w:rsidDel="00E9415C">
        <w:rPr>
          <w:rFonts w:cs="Tahoma"/>
          <w:szCs w:val="23"/>
        </w:rPr>
        <w:t xml:space="preserve">not exceed the average </w:t>
      </w:r>
      <w:r w:rsidR="00BE51E7" w:rsidDel="00E9415C">
        <w:rPr>
          <w:rFonts w:cs="Tahoma"/>
          <w:szCs w:val="23"/>
        </w:rPr>
        <w:t xml:space="preserve">annual </w:t>
      </w:r>
      <w:r w:rsidRPr="003F229C" w:rsidDel="00E9415C">
        <w:rPr>
          <w:rFonts w:cs="Tahoma"/>
          <w:szCs w:val="23"/>
        </w:rPr>
        <w:t>per capita expenditure</w:t>
      </w:r>
      <w:r w:rsidR="00BE51E7" w:rsidDel="00E9415C">
        <w:rPr>
          <w:rFonts w:cs="Tahoma"/>
          <w:szCs w:val="23"/>
        </w:rPr>
        <w:t>s</w:t>
      </w:r>
      <w:r w:rsidRPr="003F229C" w:rsidDel="00E9415C">
        <w:rPr>
          <w:rFonts w:cs="Tahoma"/>
          <w:szCs w:val="23"/>
        </w:rPr>
        <w:t xml:space="preserve"> that would have been made under the State Medicaid Program had ILW not been implemented</w:t>
      </w:r>
      <w:r w:rsidR="00856F04" w:rsidDel="00E9415C">
        <w:rPr>
          <w:rFonts w:cs="Tahoma"/>
          <w:szCs w:val="23"/>
        </w:rPr>
        <w:t xml:space="preserve">. </w:t>
      </w:r>
      <w:r w:rsidRPr="003F229C" w:rsidDel="00E9415C">
        <w:rPr>
          <w:rFonts w:cs="Tahoma"/>
          <w:szCs w:val="23"/>
        </w:rPr>
        <w:t>To prove cost effectiveness, DSDS/</w:t>
      </w:r>
      <w:r w:rsidR="00626D98">
        <w:rPr>
          <w:rFonts w:cs="Tahoma"/>
          <w:szCs w:val="23"/>
        </w:rPr>
        <w:t>BFP</w:t>
      </w:r>
      <w:r w:rsidR="00626D98" w:rsidRPr="003F229C" w:rsidDel="00E9415C">
        <w:rPr>
          <w:rFonts w:cs="Tahoma"/>
          <w:szCs w:val="23"/>
        </w:rPr>
        <w:t xml:space="preserve"> </w:t>
      </w:r>
      <w:r w:rsidRPr="003F229C" w:rsidDel="00E9415C">
        <w:rPr>
          <w:rFonts w:cs="Tahoma"/>
          <w:szCs w:val="23"/>
        </w:rPr>
        <w:t>and MHD must demonstrate that the cumula</w:t>
      </w:r>
      <w:r w:rsidR="00F10C49" w:rsidDel="00E9415C">
        <w:rPr>
          <w:rFonts w:cs="Tahoma"/>
          <w:szCs w:val="23"/>
        </w:rPr>
        <w:t xml:space="preserve">tive cost of </w:t>
      </w:r>
      <w:r w:rsidR="00D1131E" w:rsidDel="00E9415C">
        <w:rPr>
          <w:rFonts w:cs="Tahoma"/>
          <w:szCs w:val="23"/>
        </w:rPr>
        <w:t>HCBS</w:t>
      </w:r>
      <w:r w:rsidRPr="003F229C" w:rsidDel="00E9415C">
        <w:rPr>
          <w:rFonts w:cs="Tahoma"/>
          <w:szCs w:val="23"/>
        </w:rPr>
        <w:t xml:space="preserve"> for participants does not exceed the cost</w:t>
      </w:r>
      <w:r w:rsidDel="00E9415C">
        <w:rPr>
          <w:rFonts w:cs="Tahoma"/>
          <w:szCs w:val="23"/>
        </w:rPr>
        <w:t xml:space="preserve"> </w:t>
      </w:r>
      <w:r w:rsidRPr="003F229C" w:rsidDel="00E9415C">
        <w:rPr>
          <w:rFonts w:cs="Tahoma"/>
          <w:szCs w:val="23"/>
        </w:rPr>
        <w:t>of the institutional care that participants would require in the absence of the waiver.</w:t>
      </w:r>
    </w:p>
    <w:p w14:paraId="14766AC7" w14:textId="3F78FACE" w:rsidR="003F229C" w:rsidRPr="00EB16D9" w:rsidRDefault="003F229C" w:rsidP="00EB16D9">
      <w:pPr>
        <w:pStyle w:val="Heading2"/>
      </w:pPr>
      <w:bookmarkStart w:id="0" w:name="_Toc228793560"/>
      <w:r w:rsidRPr="00EB16D9">
        <w:t>Section 1</w:t>
      </w:r>
      <w:r w:rsidR="00F10C49" w:rsidRPr="00EB16D9">
        <w:t>:</w:t>
      </w:r>
      <w:r w:rsidR="00AB3F22">
        <w:t xml:space="preserve"> </w:t>
      </w:r>
      <w:r w:rsidRPr="007D542B">
        <w:t>Reimbursement Methodology</w:t>
      </w:r>
      <w:bookmarkEnd w:id="0"/>
      <w:r w:rsidRPr="007D542B">
        <w:t xml:space="preserve"> </w:t>
      </w:r>
    </w:p>
    <w:p w14:paraId="66C8EDE7" w14:textId="3299E4CA" w:rsidR="003F229C" w:rsidRPr="00EB16D9" w:rsidRDefault="00677B0C" w:rsidP="00EB16D9">
      <w:pPr>
        <w:pStyle w:val="Heading3"/>
        <w:rPr>
          <w:bCs/>
        </w:rPr>
      </w:pPr>
      <w:bookmarkStart w:id="1" w:name="_Toc228793561"/>
      <w:r>
        <w:t>1</w:t>
      </w:r>
      <w:r w:rsidRPr="00EB16D9">
        <w:t>.</w:t>
      </w:r>
      <w:r w:rsidR="00D847C5" w:rsidRPr="00EB16D9">
        <w:t>1</w:t>
      </w:r>
      <w:r w:rsidR="00AB3F22">
        <w:t xml:space="preserve"> </w:t>
      </w:r>
      <w:r w:rsidR="003F229C" w:rsidRPr="00EB16D9">
        <w:t>Independent Living Waiver Services</w:t>
      </w:r>
      <w:bookmarkEnd w:id="1"/>
    </w:p>
    <w:p w14:paraId="455B9866" w14:textId="76F35472" w:rsidR="003F229C" w:rsidRDefault="003F229C" w:rsidP="002A73B2">
      <w:r w:rsidRPr="00725467">
        <w:t xml:space="preserve">Reimbursement for </w:t>
      </w:r>
      <w:r w:rsidR="00E96023" w:rsidRPr="00725467">
        <w:t>Independent Living Waiver (</w:t>
      </w:r>
      <w:r w:rsidR="00327653" w:rsidRPr="00725467">
        <w:t>ILW</w:t>
      </w:r>
      <w:r w:rsidR="00E96023" w:rsidRPr="00725467">
        <w:t>)</w:t>
      </w:r>
      <w:r w:rsidRPr="00725467">
        <w:t xml:space="preserve"> services is made on a </w:t>
      </w:r>
      <w:r w:rsidR="00E9415C">
        <w:t>F</w:t>
      </w:r>
      <w:r w:rsidRPr="00725467">
        <w:t>ee</w:t>
      </w:r>
      <w:r w:rsidR="00E84B8C" w:rsidRPr="00725467">
        <w:t>-</w:t>
      </w:r>
      <w:r w:rsidR="00E9415C">
        <w:t>F</w:t>
      </w:r>
      <w:r w:rsidR="00C6537C" w:rsidRPr="00725467">
        <w:t>or-</w:t>
      </w:r>
      <w:r w:rsidR="00E9415C">
        <w:t>S</w:t>
      </w:r>
      <w:r w:rsidRPr="00725467">
        <w:t>ervice</w:t>
      </w:r>
      <w:r w:rsidR="00F914E5" w:rsidRPr="00725467">
        <w:t xml:space="preserve"> (FFS)</w:t>
      </w:r>
      <w:r w:rsidRPr="00725467">
        <w:t xml:space="preserve"> basis. The maximum allowable fee for a unit of service has been determined by the State Medicaid Agency to be a reasonable fee, consistent with efficiency, economy</w:t>
      </w:r>
      <w:r w:rsidR="000B0CDF" w:rsidRPr="00725467">
        <w:t>,</w:t>
      </w:r>
      <w:r w:rsidRPr="00725467">
        <w:t xml:space="preserve"> and quality of care. Payment for covered services is the lower of the provider’s actual billed charge or the maximum allowable per unit of service. </w:t>
      </w:r>
    </w:p>
    <w:p w14:paraId="65F266F5" w14:textId="6FFBA3A7" w:rsidR="003F229C" w:rsidRPr="00EB16D9" w:rsidRDefault="003F229C" w:rsidP="00EB16D9">
      <w:pPr>
        <w:pStyle w:val="Heading3"/>
        <w:rPr>
          <w:bCs/>
        </w:rPr>
      </w:pPr>
      <w:bookmarkStart w:id="2" w:name="_Toc228793562"/>
      <w:r w:rsidRPr="00EB16D9">
        <w:t>1.</w:t>
      </w:r>
      <w:r w:rsidR="00D847C5" w:rsidRPr="00EB16D9">
        <w:t xml:space="preserve">2 </w:t>
      </w:r>
      <w:r w:rsidRPr="00EB16D9">
        <w:t>Fee Schedule</w:t>
      </w:r>
      <w:bookmarkEnd w:id="2"/>
    </w:p>
    <w:p w14:paraId="7B244295" w14:textId="68A83186" w:rsidR="00F94491" w:rsidRPr="00F94491" w:rsidRDefault="00F94491" w:rsidP="002A73B2">
      <w:r w:rsidRPr="00725467">
        <w:t>Under a fee schedule, each procedure, service, medical supply, and equipment covered under a specific program has a maximum allowable fee established. MHD determines a maximum allowable fee for the services based upon current appropriated funds</w:t>
      </w:r>
      <w:r w:rsidR="00465323">
        <w:t>.</w:t>
      </w:r>
      <w:r w:rsidR="001D4FCC">
        <w:t xml:space="preserve"> </w:t>
      </w:r>
      <w:r w:rsidRPr="00F94491">
        <w:t xml:space="preserve"> </w:t>
      </w:r>
    </w:p>
    <w:p w14:paraId="1F64A00B" w14:textId="375857C2" w:rsidR="003F229C" w:rsidRPr="003F229C" w:rsidRDefault="003F229C" w:rsidP="002A73B2">
      <w:r w:rsidRPr="003F229C">
        <w:t xml:space="preserve">The </w:t>
      </w:r>
      <w:hyperlink r:id="rId10" w:history="1">
        <w:r w:rsidR="00E9415C" w:rsidRPr="00E93663">
          <w:rPr>
            <w:rStyle w:val="Hyperlink"/>
          </w:rPr>
          <w:t xml:space="preserve">MHD </w:t>
        </w:r>
        <w:r w:rsidR="00B3499D" w:rsidRPr="00E93663">
          <w:rPr>
            <w:rStyle w:val="Hyperlink"/>
          </w:rPr>
          <w:t>Fee Schedule</w:t>
        </w:r>
      </w:hyperlink>
      <w:r w:rsidR="00B3499D" w:rsidRPr="00605289">
        <w:rPr>
          <w:rStyle w:val="Hyperlink"/>
          <w:rFonts w:cs="Tahoma"/>
          <w:color w:val="F79646" w:themeColor="accent6"/>
          <w:szCs w:val="23"/>
          <w:u w:val="none"/>
        </w:rPr>
        <w:t xml:space="preserve"> </w:t>
      </w:r>
      <w:r w:rsidRPr="003F229C">
        <w:t>identifies covered and non-covered procedure codes, restrictions, allowed units</w:t>
      </w:r>
      <w:r w:rsidR="00E9415C">
        <w:t>,</w:t>
      </w:r>
      <w:r w:rsidRPr="003F229C">
        <w:t xml:space="preserve"> and the </w:t>
      </w:r>
      <w:r w:rsidR="008D7009">
        <w:t>MHD</w:t>
      </w:r>
      <w:r w:rsidRPr="003F229C">
        <w:t xml:space="preserve"> allowable fee per unit. The </w:t>
      </w:r>
      <w:r w:rsidR="00E9415C">
        <w:t>F</w:t>
      </w:r>
      <w:r w:rsidRPr="003F229C">
        <w:t xml:space="preserve">ee </w:t>
      </w:r>
      <w:r w:rsidR="00E9415C">
        <w:t>S</w:t>
      </w:r>
      <w:r w:rsidRPr="003F229C">
        <w:t xml:space="preserve">chedule is updated </w:t>
      </w:r>
      <w:r w:rsidR="00492DB7">
        <w:t>monthly</w:t>
      </w:r>
      <w:r w:rsidRPr="003F229C">
        <w:t xml:space="preserve"> and is intended as a referenc</w:t>
      </w:r>
      <w:r w:rsidR="00B3499D">
        <w:t>e, not a guarantee for payment.</w:t>
      </w:r>
    </w:p>
    <w:p w14:paraId="725C9412" w14:textId="0502E7A2" w:rsidR="003F229C" w:rsidRDefault="003F229C" w:rsidP="002433EC">
      <w:r w:rsidRPr="003F229C">
        <w:t xml:space="preserve">The </w:t>
      </w:r>
      <w:hyperlink r:id="rId11" w:history="1">
        <w:r w:rsidR="00B3499D" w:rsidRPr="007D542B">
          <w:rPr>
            <w:rStyle w:val="Hyperlink"/>
          </w:rPr>
          <w:t>Fee Schedule</w:t>
        </w:r>
      </w:hyperlink>
      <w:r w:rsidR="00B3499D" w:rsidRPr="00605289">
        <w:rPr>
          <w:rStyle w:val="Hyperlink"/>
          <w:rFonts w:cs="Tahoma"/>
          <w:color w:val="F79646" w:themeColor="accent6"/>
          <w:szCs w:val="23"/>
          <w:u w:val="none"/>
        </w:rPr>
        <w:t xml:space="preserve"> </w:t>
      </w:r>
      <w:r w:rsidRPr="003F229C">
        <w:t xml:space="preserve">allows for the downloading of individual files or the search for a specific fee schedule. Some procedure codes may be billed by multiple provider types. Categories within the </w:t>
      </w:r>
      <w:r w:rsidR="00E9415C">
        <w:t>F</w:t>
      </w:r>
      <w:r w:rsidRPr="003F229C">
        <w:t xml:space="preserve">ee </w:t>
      </w:r>
      <w:r w:rsidR="00E9415C">
        <w:t>S</w:t>
      </w:r>
      <w:r w:rsidRPr="003F229C">
        <w:t>chedule are set up by the service rendered and are not</w:t>
      </w:r>
      <w:r w:rsidR="00B3499D">
        <w:t xml:space="preserve"> necessarily </w:t>
      </w:r>
      <w:r w:rsidR="00044957">
        <w:t>provider specific</w:t>
      </w:r>
      <w:r w:rsidR="00B3499D">
        <w:t>.</w:t>
      </w:r>
    </w:p>
    <w:p w14:paraId="64A95AB7" w14:textId="5872D6F8" w:rsidR="003F229C" w:rsidRDefault="003F229C" w:rsidP="002433EC">
      <w:r w:rsidRPr="003F229C">
        <w:t xml:space="preserve">Refer to </w:t>
      </w:r>
      <w:hyperlink w:anchor="_Section_2:_Benefits" w:history="1">
        <w:r w:rsidRPr="00AB3F22">
          <w:rPr>
            <w:rStyle w:val="Hyperlink"/>
          </w:rPr>
          <w:t>Section 2</w:t>
        </w:r>
      </w:hyperlink>
      <w:r w:rsidRPr="00AB3F22">
        <w:rPr>
          <w:rStyle w:val="Hyperlink"/>
        </w:rPr>
        <w:t xml:space="preserve"> </w:t>
      </w:r>
      <w:r w:rsidRPr="003F229C">
        <w:t>of this provider manual for program-specific benefits and limitations.</w:t>
      </w:r>
    </w:p>
    <w:p w14:paraId="72B48A24" w14:textId="51B4520A" w:rsidR="007D542B" w:rsidRDefault="00B3499D" w:rsidP="002433EC">
      <w:pPr>
        <w:pStyle w:val="Heading2"/>
      </w:pPr>
      <w:bookmarkStart w:id="3" w:name="_Section_2:_Benefits"/>
      <w:bookmarkStart w:id="4" w:name="_Toc228793563"/>
      <w:bookmarkEnd w:id="3"/>
      <w:r w:rsidRPr="00EB16D9">
        <w:t>Section 2</w:t>
      </w:r>
      <w:r w:rsidR="00F10C49" w:rsidRPr="00EB16D9">
        <w:t>:</w:t>
      </w:r>
      <w:r w:rsidR="00AB3F22">
        <w:t xml:space="preserve"> </w:t>
      </w:r>
      <w:r w:rsidRPr="007D542B">
        <w:t>Benefits and Limitations</w:t>
      </w:r>
      <w:bookmarkEnd w:id="4"/>
      <w:r w:rsidRPr="007D542B">
        <w:t xml:space="preserve"> </w:t>
      </w:r>
      <w:bookmarkStart w:id="5" w:name="_2.1_Service_Definitions"/>
      <w:bookmarkStart w:id="6" w:name="_2.1_Independent_Living"/>
      <w:bookmarkStart w:id="7" w:name="_Toc395106218"/>
      <w:bookmarkStart w:id="8" w:name="_Toc130365927"/>
      <w:bookmarkStart w:id="9" w:name="_Toc142392537"/>
      <w:bookmarkEnd w:id="5"/>
      <w:bookmarkEnd w:id="6"/>
    </w:p>
    <w:p w14:paraId="2E733AD1" w14:textId="67DBB4D0" w:rsidR="00B3499D" w:rsidRDefault="00677B0C" w:rsidP="007D542B">
      <w:pPr>
        <w:pStyle w:val="Heading3"/>
        <w:rPr>
          <w:sz w:val="24"/>
        </w:rPr>
      </w:pPr>
      <w:bookmarkStart w:id="10" w:name="_2.1_Independent_Living_1"/>
      <w:bookmarkStart w:id="11" w:name="_Toc228793564"/>
      <w:bookmarkEnd w:id="10"/>
      <w:r w:rsidRPr="00EB16D9">
        <w:t xml:space="preserve">2.1 </w:t>
      </w:r>
      <w:bookmarkEnd w:id="7"/>
      <w:bookmarkEnd w:id="8"/>
      <w:bookmarkEnd w:id="9"/>
      <w:r w:rsidR="008F108C" w:rsidRPr="00EB16D9">
        <w:t>Independent Living Waiver Services</w:t>
      </w:r>
      <w:bookmarkEnd w:id="11"/>
      <w:r w:rsidR="00B3499D" w:rsidRPr="00120ED2">
        <w:rPr>
          <w:sz w:val="24"/>
        </w:rPr>
        <w:t xml:space="preserve"> </w:t>
      </w:r>
    </w:p>
    <w:p w14:paraId="15A43B5F" w14:textId="2C6B208F" w:rsidR="00B3499D" w:rsidRPr="002433EC" w:rsidRDefault="000B0CDF" w:rsidP="008321EA">
      <w:pPr>
        <w:pStyle w:val="Heading4ADA"/>
      </w:pPr>
      <w:r w:rsidRPr="008321EA">
        <w:t xml:space="preserve">Waiver </w:t>
      </w:r>
      <w:r w:rsidR="00B3499D" w:rsidRPr="008321EA">
        <w:t>Personal Care</w:t>
      </w:r>
      <w:r w:rsidR="00916658" w:rsidRPr="008321EA">
        <w:t xml:space="preserve"> </w:t>
      </w:r>
      <w:r w:rsidR="00B3499D" w:rsidRPr="008321EA">
        <w:t xml:space="preserve">Consumer-Directed Services </w:t>
      </w:r>
      <w:r w:rsidR="00342132" w:rsidRPr="008321EA">
        <w:t>(T1019 U6</w:t>
      </w:r>
      <w:r w:rsidR="00342132" w:rsidRPr="002433EC">
        <w:t>)</w:t>
      </w:r>
    </w:p>
    <w:p w14:paraId="66E591DD" w14:textId="122D7A77" w:rsidR="00784739" w:rsidRDefault="000B0CDF" w:rsidP="002433EC">
      <w:r w:rsidRPr="00725467">
        <w:t xml:space="preserve">Waiver </w:t>
      </w:r>
      <w:r w:rsidR="00E96023" w:rsidRPr="00725467">
        <w:t>Personal Care</w:t>
      </w:r>
      <w:r w:rsidR="008F108C" w:rsidRPr="00725467">
        <w:t xml:space="preserve"> (PC)</w:t>
      </w:r>
      <w:r w:rsidR="00916658" w:rsidRPr="00725467">
        <w:t xml:space="preserve"> </w:t>
      </w:r>
      <w:r w:rsidR="00E96023" w:rsidRPr="00725467">
        <w:t>Consumer</w:t>
      </w:r>
      <w:r w:rsidR="009C5916" w:rsidRPr="00725467">
        <w:t>-</w:t>
      </w:r>
      <w:r w:rsidR="00E96023" w:rsidRPr="00725467">
        <w:t xml:space="preserve">Directed </w:t>
      </w:r>
      <w:r w:rsidRPr="00725467">
        <w:t>S</w:t>
      </w:r>
      <w:r w:rsidR="00B3499D" w:rsidRPr="00725467">
        <w:t>ervice</w:t>
      </w:r>
      <w:r w:rsidR="00916658" w:rsidRPr="00725467">
        <w:t>s</w:t>
      </w:r>
      <w:r w:rsidRPr="00725467">
        <w:t xml:space="preserve"> (CDS)</w:t>
      </w:r>
      <w:r w:rsidR="00874701" w:rsidRPr="00725467">
        <w:t xml:space="preserve"> </w:t>
      </w:r>
      <w:r w:rsidR="005372F9" w:rsidRPr="00725467">
        <w:t xml:space="preserve">authorized through the </w:t>
      </w:r>
      <w:r w:rsidR="00C21151" w:rsidRPr="00725467">
        <w:t>Independent Living Waiver (</w:t>
      </w:r>
      <w:r w:rsidR="005372F9" w:rsidRPr="00725467">
        <w:t>ILW</w:t>
      </w:r>
      <w:r w:rsidR="00C21151" w:rsidRPr="00725467">
        <w:t>)</w:t>
      </w:r>
      <w:r w:rsidR="005372F9" w:rsidRPr="00725467">
        <w:t xml:space="preserve"> </w:t>
      </w:r>
      <w:bookmarkStart w:id="12" w:name="_Hlk188884056"/>
      <w:r w:rsidR="00B3499D" w:rsidRPr="00725467">
        <w:t xml:space="preserve">is an extension of </w:t>
      </w:r>
      <w:r w:rsidR="008F108C" w:rsidRPr="00725467">
        <w:t xml:space="preserve">State Plan </w:t>
      </w:r>
      <w:r w:rsidR="00B3499D" w:rsidRPr="00725467">
        <w:t>CDS</w:t>
      </w:r>
      <w:r w:rsidR="003633A9" w:rsidRPr="00725467">
        <w:t xml:space="preserve">. This means </w:t>
      </w:r>
      <w:r w:rsidR="00754AEB">
        <w:t xml:space="preserve">the </w:t>
      </w:r>
      <w:r w:rsidR="003633A9" w:rsidRPr="00725467">
        <w:t>ILW</w:t>
      </w:r>
      <w:r w:rsidR="00B3499D" w:rsidRPr="00725467">
        <w:t xml:space="preserve"> provides additional</w:t>
      </w:r>
      <w:r w:rsidR="00B53FF2" w:rsidRPr="00725467">
        <w:t xml:space="preserve"> </w:t>
      </w:r>
      <w:r w:rsidR="008025A8" w:rsidRPr="00725467">
        <w:t>CDS</w:t>
      </w:r>
      <w:r w:rsidR="00B3499D" w:rsidRPr="00725467">
        <w:t xml:space="preserve"> services </w:t>
      </w:r>
      <w:r w:rsidR="00A45D0B" w:rsidRPr="00725467">
        <w:t xml:space="preserve">after </w:t>
      </w:r>
      <w:r w:rsidR="00B3499D" w:rsidRPr="00725467">
        <w:t xml:space="preserve">the </w:t>
      </w:r>
      <w:r w:rsidR="00A45D0B" w:rsidRPr="00725467">
        <w:t xml:space="preserve">monthly </w:t>
      </w:r>
      <w:r w:rsidR="00B3499D" w:rsidRPr="00725467">
        <w:t xml:space="preserve">approved </w:t>
      </w:r>
      <w:r w:rsidR="00916658" w:rsidRPr="00725467">
        <w:t>S</w:t>
      </w:r>
      <w:r w:rsidR="00B3499D" w:rsidRPr="00725467">
        <w:t xml:space="preserve">tate </w:t>
      </w:r>
      <w:r w:rsidR="00916658" w:rsidRPr="00725467">
        <w:t>P</w:t>
      </w:r>
      <w:r w:rsidR="00B3499D" w:rsidRPr="00725467">
        <w:t xml:space="preserve">lan </w:t>
      </w:r>
      <w:r w:rsidR="008025A8" w:rsidRPr="00725467">
        <w:t xml:space="preserve">CDS units of service </w:t>
      </w:r>
      <w:r w:rsidR="00B3499D" w:rsidRPr="00725467">
        <w:t>are exhausted</w:t>
      </w:r>
      <w:r w:rsidR="00A45D0B" w:rsidRPr="00725467">
        <w:t xml:space="preserve"> (used)</w:t>
      </w:r>
      <w:r w:rsidR="00856F04" w:rsidRPr="00725467">
        <w:t xml:space="preserve">. </w:t>
      </w:r>
      <w:r w:rsidR="00B3499D" w:rsidRPr="00725467">
        <w:t xml:space="preserve">The scope and nature of </w:t>
      </w:r>
      <w:r w:rsidR="008025A8" w:rsidRPr="00725467">
        <w:t>ILW</w:t>
      </w:r>
      <w:r w:rsidR="008F108C" w:rsidRPr="00725467">
        <w:t xml:space="preserve"> CDS </w:t>
      </w:r>
      <w:r w:rsidR="00B3499D" w:rsidRPr="00725467">
        <w:t xml:space="preserve">do not differ from </w:t>
      </w:r>
      <w:r w:rsidR="00916658" w:rsidRPr="00725467">
        <w:t xml:space="preserve">State Plan </w:t>
      </w:r>
      <w:r w:rsidR="00B3499D" w:rsidRPr="00725467">
        <w:t>CDS</w:t>
      </w:r>
      <w:r w:rsidR="00856F04" w:rsidRPr="00725467">
        <w:t>.</w:t>
      </w:r>
      <w:bookmarkEnd w:id="12"/>
      <w:r w:rsidR="00856F04" w:rsidRPr="00725467">
        <w:t xml:space="preserve"> </w:t>
      </w:r>
      <w:r w:rsidR="00A45D0B" w:rsidRPr="00725467">
        <w:t xml:space="preserve">Each month, participants must exhaust the current monthly maximum units of State Plan </w:t>
      </w:r>
      <w:r w:rsidR="008025A8" w:rsidRPr="00725467">
        <w:t>CDS</w:t>
      </w:r>
      <w:r w:rsidR="00A45D0B" w:rsidRPr="00725467">
        <w:t xml:space="preserve"> services prior to receipt of waiver </w:t>
      </w:r>
      <w:r w:rsidR="008025A8" w:rsidRPr="00725467">
        <w:t>CDS services</w:t>
      </w:r>
      <w:r w:rsidR="00A45D0B" w:rsidRPr="00725467">
        <w:t xml:space="preserve">. </w:t>
      </w:r>
      <w:r w:rsidR="008025A8" w:rsidRPr="00725467">
        <w:t>When billing, all units of State Plan CDS (T1019</w:t>
      </w:r>
      <w:r w:rsidR="009D0E56">
        <w:t xml:space="preserve"> </w:t>
      </w:r>
      <w:r w:rsidR="008025A8" w:rsidRPr="00725467">
        <w:t>U2) must be billed on a claim prior to billing ILW CDS (T1019</w:t>
      </w:r>
      <w:r w:rsidR="009D0E56">
        <w:t xml:space="preserve"> </w:t>
      </w:r>
      <w:r w:rsidR="008025A8" w:rsidRPr="00725467">
        <w:t xml:space="preserve">U6) on a claim. </w:t>
      </w:r>
      <w:r w:rsidR="00B3499D" w:rsidRPr="00725467">
        <w:t xml:space="preserve">Additional </w:t>
      </w:r>
      <w:r w:rsidR="008F108C" w:rsidRPr="00725467">
        <w:t>PC services</w:t>
      </w:r>
      <w:r w:rsidR="00B3499D" w:rsidRPr="00725467">
        <w:t xml:space="preserve"> provided under the waiver are not limited in amount or frequency. </w:t>
      </w:r>
      <w:r w:rsidR="005118DB" w:rsidRPr="00725467">
        <w:t xml:space="preserve">Waiver </w:t>
      </w:r>
      <w:r w:rsidR="00B3499D" w:rsidRPr="00725467">
        <w:t xml:space="preserve">CDS </w:t>
      </w:r>
      <w:r w:rsidR="005118DB" w:rsidRPr="00725467">
        <w:t xml:space="preserve">and </w:t>
      </w:r>
      <w:r w:rsidR="00B3499D" w:rsidRPr="00725467">
        <w:t xml:space="preserve">State Plan </w:t>
      </w:r>
      <w:r w:rsidR="005372F9" w:rsidRPr="00725467">
        <w:t xml:space="preserve">CDS </w:t>
      </w:r>
      <w:r w:rsidR="00B3499D" w:rsidRPr="00725467">
        <w:t xml:space="preserve">are </w:t>
      </w:r>
      <w:r w:rsidR="008F108C" w:rsidRPr="00725467">
        <w:t xml:space="preserve">both </w:t>
      </w:r>
      <w:r w:rsidR="00B3499D" w:rsidRPr="00725467">
        <w:t>self-directed, with the participant having the authority and responsibility to recruit, hire, train, monitor</w:t>
      </w:r>
      <w:r w:rsidR="00C9068C" w:rsidRPr="00725467">
        <w:t>,</w:t>
      </w:r>
      <w:r w:rsidR="00B3499D" w:rsidRPr="00725467">
        <w:t xml:space="preserve"> and fire </w:t>
      </w:r>
      <w:r w:rsidR="00D82121" w:rsidRPr="00725467">
        <w:t>their</w:t>
      </w:r>
      <w:r w:rsidR="00B3499D" w:rsidRPr="00725467">
        <w:t xml:space="preserve"> attendant</w:t>
      </w:r>
      <w:r w:rsidR="00856F04" w:rsidRPr="00725467">
        <w:t xml:space="preserve">. </w:t>
      </w:r>
    </w:p>
    <w:p w14:paraId="26BF072C" w14:textId="44A4CB91" w:rsidR="009D0E56" w:rsidRPr="00725467" w:rsidRDefault="009D0E56" w:rsidP="002433EC">
      <w:r w:rsidRPr="00725467">
        <w:t>ILW CDS (T1019</w:t>
      </w:r>
      <w:r>
        <w:t xml:space="preserve"> </w:t>
      </w:r>
      <w:r w:rsidRPr="00725467">
        <w:t>U6)</w:t>
      </w:r>
      <w:r>
        <w:t xml:space="preserve"> includes CDS </w:t>
      </w:r>
      <w:r w:rsidR="00E579BE">
        <w:t>P</w:t>
      </w:r>
      <w:r>
        <w:t xml:space="preserve">ersonal </w:t>
      </w:r>
      <w:r w:rsidR="00E579BE">
        <w:t>C</w:t>
      </w:r>
      <w:r>
        <w:t xml:space="preserve">are services and is billed in 15-minute increments. </w:t>
      </w:r>
      <w:r w:rsidR="00E579BE">
        <w:rPr>
          <w:rFonts w:cs="Tahoma"/>
          <w:szCs w:val="23"/>
        </w:rPr>
        <w:t xml:space="preserve">Refer to </w:t>
      </w:r>
      <w:hyperlink r:id="rId12" w:history="1">
        <w:r w:rsidR="00E579BE" w:rsidRPr="0024665B">
          <w:rPr>
            <w:rStyle w:val="Hyperlink"/>
          </w:rPr>
          <w:t>Section 2</w:t>
        </w:r>
      </w:hyperlink>
      <w:r w:rsidR="00E579BE">
        <w:rPr>
          <w:rFonts w:cs="Tahoma"/>
          <w:szCs w:val="23"/>
        </w:rPr>
        <w:t xml:space="preserve"> of the </w:t>
      </w:r>
      <w:hyperlink r:id="rId13" w:history="1">
        <w:r w:rsidR="00E579BE" w:rsidRPr="00AB3F22">
          <w:rPr>
            <w:rStyle w:val="Hyperlink"/>
          </w:rPr>
          <w:t>Personal Care Manua</w:t>
        </w:r>
        <w:r w:rsidR="00E579BE" w:rsidRPr="00073432">
          <w:rPr>
            <w:rStyle w:val="Hyperlink"/>
          </w:rPr>
          <w:t>l</w:t>
        </w:r>
      </w:hyperlink>
      <w:r w:rsidR="00E579BE">
        <w:rPr>
          <w:rFonts w:cs="Tahoma"/>
          <w:b/>
          <w:color w:val="F79646" w:themeColor="accent6"/>
          <w:szCs w:val="23"/>
          <w:u w:val="single"/>
        </w:rPr>
        <w:t xml:space="preserve"> </w:t>
      </w:r>
      <w:r w:rsidR="00E579BE">
        <w:rPr>
          <w:rFonts w:cs="Tahoma"/>
          <w:szCs w:val="23"/>
        </w:rPr>
        <w:t xml:space="preserve">for examples of CDS Personal Care tasks. </w:t>
      </w:r>
      <w:r w:rsidR="00E579BE">
        <w:t xml:space="preserve">Refer to </w:t>
      </w:r>
      <w:hyperlink w:anchor="_Section_5:_Procedure" w:history="1">
        <w:r w:rsidR="00E579BE" w:rsidRPr="00AB3F22">
          <w:rPr>
            <w:rStyle w:val="Hyperlink"/>
          </w:rPr>
          <w:t>Section 5</w:t>
        </w:r>
      </w:hyperlink>
      <w:r w:rsidR="00E579BE">
        <w:t xml:space="preserve"> </w:t>
      </w:r>
      <w:r w:rsidR="007A614D">
        <w:t>of</w:t>
      </w:r>
      <w:r w:rsidR="00E579BE">
        <w:t xml:space="preserve"> this manual for more information on procedure codes. </w:t>
      </w:r>
    </w:p>
    <w:p w14:paraId="522B4EA6" w14:textId="16A01CE4" w:rsidR="00B3269B" w:rsidRDefault="00784739" w:rsidP="002433EC">
      <w:pPr>
        <w:rPr>
          <w:rFonts w:cs="Tahoma"/>
          <w:szCs w:val="23"/>
        </w:rPr>
      </w:pPr>
      <w:r w:rsidRPr="00725467">
        <w:rPr>
          <w:rFonts w:cs="Tahoma"/>
          <w:szCs w:val="23"/>
        </w:rPr>
        <w:t xml:space="preserve">ILW participants are allowed to elect a designee of their choice to direct their care, i.e., make decisions on hiring and firing attendants, make recommendations on the scheduling of the attendant, complete and review </w:t>
      </w:r>
      <w:r w:rsidR="0017110B" w:rsidRPr="00725467">
        <w:rPr>
          <w:rFonts w:cs="Tahoma"/>
          <w:szCs w:val="23"/>
        </w:rPr>
        <w:t>electronic visit verification (</w:t>
      </w:r>
      <w:r w:rsidRPr="00725467">
        <w:rPr>
          <w:rFonts w:cs="Tahoma"/>
          <w:szCs w:val="23"/>
        </w:rPr>
        <w:t>EVV</w:t>
      </w:r>
      <w:r w:rsidR="0017110B" w:rsidRPr="00725467">
        <w:rPr>
          <w:rFonts w:cs="Tahoma"/>
          <w:szCs w:val="23"/>
        </w:rPr>
        <w:t>)</w:t>
      </w:r>
      <w:r w:rsidRPr="00725467">
        <w:rPr>
          <w:rFonts w:cs="Tahoma"/>
          <w:szCs w:val="23"/>
        </w:rPr>
        <w:t xml:space="preserve"> records on behalf of the participant, </w:t>
      </w:r>
      <w:r w:rsidR="00682952" w:rsidRPr="00725467">
        <w:rPr>
          <w:rFonts w:cs="Tahoma"/>
          <w:szCs w:val="23"/>
        </w:rPr>
        <w:t>if</w:t>
      </w:r>
      <w:r w:rsidRPr="00725467">
        <w:rPr>
          <w:rFonts w:cs="Tahoma"/>
          <w:szCs w:val="23"/>
        </w:rPr>
        <w:t xml:space="preserve"> the participant retains the ability to self-direct. </w:t>
      </w:r>
      <w:r w:rsidR="00B3269B">
        <w:rPr>
          <w:rFonts w:cs="Tahoma"/>
          <w:szCs w:val="23"/>
        </w:rPr>
        <w:t xml:space="preserve">Refer to </w:t>
      </w:r>
      <w:hyperlink w:anchor="_2.3_Provider_Conditions" w:history="1">
        <w:r w:rsidR="00B3269B" w:rsidRPr="00AB3F22">
          <w:rPr>
            <w:rStyle w:val="Hyperlink"/>
          </w:rPr>
          <w:t>Section 2.3</w:t>
        </w:r>
      </w:hyperlink>
      <w:r w:rsidR="00B3269B">
        <w:rPr>
          <w:rFonts w:cs="Tahoma"/>
          <w:szCs w:val="23"/>
        </w:rPr>
        <w:t xml:space="preserve"> </w:t>
      </w:r>
      <w:r w:rsidR="007A614D">
        <w:rPr>
          <w:rFonts w:cs="Tahoma"/>
          <w:szCs w:val="23"/>
        </w:rPr>
        <w:t xml:space="preserve">of </w:t>
      </w:r>
      <w:r w:rsidR="00B3269B">
        <w:rPr>
          <w:rFonts w:cs="Tahoma"/>
          <w:szCs w:val="23"/>
        </w:rPr>
        <w:t xml:space="preserve">this manual for more information on EVV. </w:t>
      </w:r>
    </w:p>
    <w:p w14:paraId="58865E03" w14:textId="6323095E" w:rsidR="00B3499D" w:rsidRPr="00725467" w:rsidRDefault="00784739" w:rsidP="002433EC">
      <w:pPr>
        <w:rPr>
          <w:rFonts w:cs="Tahoma"/>
          <w:szCs w:val="23"/>
        </w:rPr>
      </w:pPr>
      <w:r w:rsidRPr="00725467">
        <w:rPr>
          <w:rFonts w:cs="Tahoma"/>
          <w:szCs w:val="23"/>
        </w:rPr>
        <w:t>The designee may not be the paid personal care attendant. The designee must be capable of fulfilling the requirements of the program on behalf of and as directed by the participant. A monthly contact by the Financial Management Services (FMS) provider is intended to monitor all aspects of the program participation, including actions taken by the designee, to ensure they are in the best interest of the participant.</w:t>
      </w:r>
    </w:p>
    <w:p w14:paraId="75B2373A" w14:textId="7EB40855" w:rsidR="00B3499D" w:rsidRPr="00725467" w:rsidRDefault="00E9001B" w:rsidP="002433EC">
      <w:pPr>
        <w:rPr>
          <w:rFonts w:cs="Tahoma"/>
          <w:szCs w:val="23"/>
        </w:rPr>
      </w:pPr>
      <w:r w:rsidRPr="00725467">
        <w:rPr>
          <w:rFonts w:cs="Tahoma"/>
          <w:szCs w:val="23"/>
        </w:rPr>
        <w:t xml:space="preserve">NOTE:  </w:t>
      </w:r>
      <w:r w:rsidR="00B3499D" w:rsidRPr="00725467">
        <w:rPr>
          <w:rFonts w:cs="Tahoma"/>
          <w:szCs w:val="23"/>
        </w:rPr>
        <w:t xml:space="preserve">CDS </w:t>
      </w:r>
      <w:r w:rsidR="00051E5C" w:rsidRPr="00725467">
        <w:rPr>
          <w:rFonts w:cs="Tahoma"/>
          <w:szCs w:val="23"/>
        </w:rPr>
        <w:t>t</w:t>
      </w:r>
      <w:r w:rsidR="00B3499D" w:rsidRPr="00725467">
        <w:rPr>
          <w:rFonts w:cs="Tahoma"/>
          <w:szCs w:val="23"/>
        </w:rPr>
        <w:t xml:space="preserve">ransportation does not include transporting to medical appointments when that </w:t>
      </w:r>
      <w:r w:rsidR="007522A1" w:rsidRPr="00725467">
        <w:rPr>
          <w:rFonts w:cs="Tahoma"/>
          <w:szCs w:val="23"/>
        </w:rPr>
        <w:t xml:space="preserve">ride </w:t>
      </w:r>
      <w:r w:rsidR="00B3499D" w:rsidRPr="00725467">
        <w:rPr>
          <w:rFonts w:cs="Tahoma"/>
          <w:szCs w:val="23"/>
        </w:rPr>
        <w:t>is covered under the Non-Emergency Medical Transportation (NEMT) program</w:t>
      </w:r>
      <w:r w:rsidR="00856F04" w:rsidRPr="00725467">
        <w:rPr>
          <w:rFonts w:cs="Tahoma"/>
          <w:szCs w:val="23"/>
        </w:rPr>
        <w:t xml:space="preserve">. </w:t>
      </w:r>
      <w:r w:rsidR="00B3499D" w:rsidRPr="00725467">
        <w:rPr>
          <w:rFonts w:cs="Tahoma"/>
          <w:szCs w:val="23"/>
        </w:rPr>
        <w:t xml:space="preserve">To determine if the </w:t>
      </w:r>
      <w:r w:rsidR="007522A1" w:rsidRPr="00725467">
        <w:rPr>
          <w:rFonts w:cs="Tahoma"/>
          <w:szCs w:val="23"/>
        </w:rPr>
        <w:t>ride</w:t>
      </w:r>
      <w:r w:rsidR="00B3499D" w:rsidRPr="00725467">
        <w:rPr>
          <w:rFonts w:cs="Tahoma"/>
          <w:szCs w:val="23"/>
        </w:rPr>
        <w:t xml:space="preserve"> is covered </w:t>
      </w:r>
      <w:r w:rsidR="007522A1" w:rsidRPr="00725467">
        <w:rPr>
          <w:rFonts w:cs="Tahoma"/>
          <w:szCs w:val="23"/>
        </w:rPr>
        <w:t xml:space="preserve">under </w:t>
      </w:r>
      <w:r w:rsidR="00B3499D" w:rsidRPr="00725467">
        <w:rPr>
          <w:rFonts w:cs="Tahoma"/>
          <w:szCs w:val="23"/>
        </w:rPr>
        <w:t xml:space="preserve">NEMT, contact the NEMT </w:t>
      </w:r>
      <w:r w:rsidR="00CD03A1" w:rsidRPr="00725467">
        <w:rPr>
          <w:rFonts w:cs="Tahoma"/>
          <w:szCs w:val="23"/>
        </w:rPr>
        <w:t>transportation broker</w:t>
      </w:r>
      <w:r w:rsidR="00CD03A1">
        <w:rPr>
          <w:rFonts w:cs="Tahoma"/>
          <w:szCs w:val="23"/>
        </w:rPr>
        <w:t xml:space="preserve"> (</w:t>
      </w:r>
      <w:hyperlink r:id="rId14" w:history="1">
        <w:r w:rsidR="007522A1" w:rsidRPr="00073432">
          <w:rPr>
            <w:rStyle w:val="Hyperlink"/>
          </w:rPr>
          <w:t>MTM</w:t>
        </w:r>
      </w:hyperlink>
      <w:r w:rsidR="007522A1">
        <w:rPr>
          <w:rFonts w:cs="Tahoma"/>
          <w:szCs w:val="23"/>
        </w:rPr>
        <w:t xml:space="preserve">) </w:t>
      </w:r>
      <w:r w:rsidR="00B3499D" w:rsidRPr="00725467">
        <w:rPr>
          <w:rFonts w:cs="Tahoma"/>
          <w:szCs w:val="23"/>
        </w:rPr>
        <w:t xml:space="preserve">at </w:t>
      </w:r>
      <w:r w:rsidR="00B3499D" w:rsidRPr="00725467">
        <w:rPr>
          <w:rStyle w:val="Revised"/>
          <w:rFonts w:cs="Tahoma"/>
          <w:color w:val="auto"/>
          <w:szCs w:val="23"/>
        </w:rPr>
        <w:t>(866) 269-5927</w:t>
      </w:r>
      <w:r w:rsidR="00B3499D" w:rsidRPr="00725467">
        <w:rPr>
          <w:rFonts w:cs="Tahoma"/>
          <w:szCs w:val="23"/>
        </w:rPr>
        <w:t xml:space="preserve">. </w:t>
      </w:r>
    </w:p>
    <w:p w14:paraId="50FD95FB" w14:textId="182C7BF3" w:rsidR="00B3499D" w:rsidRPr="00EB16D9" w:rsidRDefault="00B3499D" w:rsidP="008321EA">
      <w:pPr>
        <w:pStyle w:val="Heading4ADA"/>
      </w:pPr>
      <w:r w:rsidRPr="00EB16D9">
        <w:t>Case Management</w:t>
      </w:r>
      <w:r w:rsidR="0022674E" w:rsidRPr="00EB16D9">
        <w:t xml:space="preserve"> (T2024 U6)</w:t>
      </w:r>
    </w:p>
    <w:p w14:paraId="1DFA4AF0" w14:textId="30C5467D" w:rsidR="00051E5C" w:rsidRPr="00725467" w:rsidRDefault="00C3161A" w:rsidP="002A73B2">
      <w:r w:rsidRPr="00725467">
        <w:t>Case m</w:t>
      </w:r>
      <w:r w:rsidR="00051E5C" w:rsidRPr="00725467">
        <w:t xml:space="preserve">anagement </w:t>
      </w:r>
      <w:r w:rsidR="0006597A" w:rsidRPr="00725467">
        <w:t xml:space="preserve">(CM) </w:t>
      </w:r>
      <w:r w:rsidR="00E579BE">
        <w:t xml:space="preserve">(T2024 U6) </w:t>
      </w:r>
      <w:r w:rsidR="00051E5C" w:rsidRPr="00725467">
        <w:t>s</w:t>
      </w:r>
      <w:r w:rsidR="00B3499D" w:rsidRPr="00725467">
        <w:t>ervices</w:t>
      </w:r>
      <w:r w:rsidR="00051E5C" w:rsidRPr="00725467">
        <w:t xml:space="preserve"> include:</w:t>
      </w:r>
      <w:r w:rsidR="00B3499D" w:rsidRPr="00725467">
        <w:t xml:space="preserve"> </w:t>
      </w:r>
    </w:p>
    <w:p w14:paraId="3B2526CC" w14:textId="295731E1" w:rsidR="00051E5C" w:rsidRPr="00725467" w:rsidRDefault="00051E5C" w:rsidP="00EB16D9">
      <w:pPr>
        <w:pStyle w:val="ListBullet"/>
      </w:pPr>
      <w:r w:rsidRPr="00725467">
        <w:t>A</w:t>
      </w:r>
      <w:r w:rsidR="00B3499D" w:rsidRPr="00725467">
        <w:t>ssist</w:t>
      </w:r>
      <w:r w:rsidRPr="00725467">
        <w:t>ing</w:t>
      </w:r>
      <w:r w:rsidR="00B3499D" w:rsidRPr="00725467">
        <w:t xml:space="preserve"> participants in gaining access to needed </w:t>
      </w:r>
      <w:r w:rsidR="00873248" w:rsidRPr="00725467">
        <w:t>waivers</w:t>
      </w:r>
      <w:r w:rsidR="00B3499D" w:rsidRPr="00725467">
        <w:t xml:space="preserve"> and other </w:t>
      </w:r>
      <w:r w:rsidR="00B4542F" w:rsidRPr="00725467">
        <w:t>S</w:t>
      </w:r>
      <w:r w:rsidR="00B3499D" w:rsidRPr="00725467">
        <w:t xml:space="preserve">tate </w:t>
      </w:r>
      <w:r w:rsidR="00B4542F" w:rsidRPr="00725467">
        <w:t>P</w:t>
      </w:r>
      <w:r w:rsidR="00B3499D" w:rsidRPr="00725467">
        <w:t>lan services, as well as medical, social, educational</w:t>
      </w:r>
      <w:r w:rsidR="00843107" w:rsidRPr="00725467">
        <w:t>,</w:t>
      </w:r>
      <w:r w:rsidR="00B3499D" w:rsidRPr="00725467">
        <w:t xml:space="preserve"> and other services, regardless of the funding source for the services to which access is gained</w:t>
      </w:r>
    </w:p>
    <w:p w14:paraId="35F8A941" w14:textId="2DC37152" w:rsidR="00051E5C" w:rsidRPr="00725467" w:rsidRDefault="00051E5C" w:rsidP="00EB16D9">
      <w:pPr>
        <w:pStyle w:val="ListBullet"/>
      </w:pPr>
      <w:r w:rsidRPr="00725467">
        <w:t>O</w:t>
      </w:r>
      <w:r w:rsidR="00B3499D" w:rsidRPr="00725467">
        <w:t xml:space="preserve">ngoing monitoring of provision of services included in participant's </w:t>
      </w:r>
      <w:r w:rsidR="00EB16D9">
        <w:t>care plan</w:t>
      </w:r>
    </w:p>
    <w:p w14:paraId="7F22A52A" w14:textId="4F048010" w:rsidR="00051E5C" w:rsidRPr="00725467" w:rsidRDefault="00051E5C" w:rsidP="00EB16D9">
      <w:pPr>
        <w:pStyle w:val="ListBullet"/>
      </w:pPr>
      <w:r w:rsidRPr="00725467">
        <w:t>R</w:t>
      </w:r>
      <w:r w:rsidR="00B3499D" w:rsidRPr="00725467">
        <w:t xml:space="preserve">eview of the </w:t>
      </w:r>
      <w:r w:rsidR="00581895" w:rsidRPr="00725467">
        <w:t xml:space="preserve">HCBS </w:t>
      </w:r>
      <w:r w:rsidR="00B3499D" w:rsidRPr="00725467">
        <w:t>care plan</w:t>
      </w:r>
    </w:p>
    <w:p w14:paraId="5DC9DC9D" w14:textId="2E483FA9" w:rsidR="00051E5C" w:rsidRPr="00725467" w:rsidRDefault="00051E5C" w:rsidP="00EB16D9">
      <w:pPr>
        <w:pStyle w:val="ListBullet"/>
      </w:pPr>
      <w:r w:rsidRPr="00725467">
        <w:t>I</w:t>
      </w:r>
      <w:r w:rsidR="00B3499D" w:rsidRPr="00725467">
        <w:t>dentification of abuse</w:t>
      </w:r>
      <w:r w:rsidR="00581895" w:rsidRPr="00725467">
        <w:t>,</w:t>
      </w:r>
      <w:r w:rsidR="00B3499D" w:rsidRPr="00725467">
        <w:t xml:space="preserve"> neglect, and/or exploitation</w:t>
      </w:r>
    </w:p>
    <w:p w14:paraId="6B5A2016" w14:textId="08A9C078" w:rsidR="00C3161A" w:rsidRPr="00725467" w:rsidRDefault="00051E5C" w:rsidP="00EB16D9">
      <w:pPr>
        <w:pStyle w:val="ListBullet"/>
      </w:pPr>
      <w:r w:rsidRPr="00725467">
        <w:t>A</w:t>
      </w:r>
      <w:r w:rsidR="00B3499D" w:rsidRPr="00725467">
        <w:t>ssist</w:t>
      </w:r>
      <w:r w:rsidRPr="00725467">
        <w:t>ing</w:t>
      </w:r>
      <w:r w:rsidR="00B3499D" w:rsidRPr="00725467">
        <w:t xml:space="preserve"> in acquisition of necessary assistive technology services and/or devices and </w:t>
      </w:r>
      <w:r w:rsidR="00032B87" w:rsidRPr="00725467">
        <w:t>advocating</w:t>
      </w:r>
      <w:r w:rsidR="00B3499D" w:rsidRPr="00725467">
        <w:t xml:space="preserve"> for participants by </w:t>
      </w:r>
      <w:r w:rsidR="00873248" w:rsidRPr="00725467">
        <w:t>arranging</w:t>
      </w:r>
      <w:r w:rsidR="00B3499D" w:rsidRPr="00725467">
        <w:t xml:space="preserve"> services with individuals, businesses, and agencies for the best available service within limited resources</w:t>
      </w:r>
    </w:p>
    <w:p w14:paraId="74E1496C" w14:textId="64FCC04C" w:rsidR="00C3161A" w:rsidRPr="00725467" w:rsidRDefault="00C3161A" w:rsidP="00EB16D9">
      <w:pPr>
        <w:pStyle w:val="ListBullet"/>
      </w:pPr>
      <w:r w:rsidRPr="00725467">
        <w:t>E</w:t>
      </w:r>
      <w:r w:rsidR="00B3499D" w:rsidRPr="00725467">
        <w:t xml:space="preserve">nsuring participants have full access to a variety of services and service providers to meet </w:t>
      </w:r>
      <w:r w:rsidR="00934F80" w:rsidRPr="00725467">
        <w:t xml:space="preserve">their </w:t>
      </w:r>
      <w:r w:rsidR="00B3499D" w:rsidRPr="00725467">
        <w:t>specific needs, regardless of funding source</w:t>
      </w:r>
      <w:r w:rsidR="00856F04" w:rsidRPr="00725467">
        <w:t xml:space="preserve"> </w:t>
      </w:r>
    </w:p>
    <w:p w14:paraId="09B33D0E" w14:textId="5CCD83F5" w:rsidR="00596038" w:rsidRPr="00725467" w:rsidRDefault="00596038" w:rsidP="002A73B2">
      <w:r w:rsidRPr="00725467">
        <w:t xml:space="preserve">ILW participants are authorized for monthly CM </w:t>
      </w:r>
      <w:r w:rsidR="00032B87" w:rsidRPr="00725467">
        <w:t>services,</w:t>
      </w:r>
      <w:r w:rsidRPr="00725467">
        <w:t xml:space="preserve"> and the service unit is one (1) month</w:t>
      </w:r>
      <w:r w:rsidR="007D4B09">
        <w:t>. All participants enrolled in ILW shall be authorized for CM</w:t>
      </w:r>
      <w:r w:rsidRPr="00725467">
        <w:t xml:space="preserve">. </w:t>
      </w:r>
    </w:p>
    <w:p w14:paraId="0F708B2B" w14:textId="4BB76C8B" w:rsidR="006C5787" w:rsidRDefault="00B3499D" w:rsidP="002A73B2">
      <w:r w:rsidRPr="00725467">
        <w:t xml:space="preserve">Providers of </w:t>
      </w:r>
      <w:r w:rsidR="0006597A" w:rsidRPr="00725467">
        <w:t>CM</w:t>
      </w:r>
      <w:r w:rsidR="00EC4967" w:rsidRPr="00725467">
        <w:t xml:space="preserve"> may not provide direct </w:t>
      </w:r>
      <w:r w:rsidR="00853444" w:rsidRPr="00725467">
        <w:t>PC</w:t>
      </w:r>
      <w:r w:rsidRPr="00725467">
        <w:t xml:space="preserve"> service</w:t>
      </w:r>
      <w:r w:rsidR="00277730" w:rsidRPr="00725467">
        <w:t>s</w:t>
      </w:r>
      <w:r w:rsidRPr="00725467">
        <w:t xml:space="preserve"> to the participant</w:t>
      </w:r>
      <w:r w:rsidR="00856F04" w:rsidRPr="00725467">
        <w:t xml:space="preserve">. </w:t>
      </w:r>
      <w:r w:rsidRPr="00725467">
        <w:t xml:space="preserve">Case managers employed by the </w:t>
      </w:r>
      <w:r w:rsidR="000F0C1F" w:rsidRPr="00725467">
        <w:t xml:space="preserve">ILW </w:t>
      </w:r>
      <w:r w:rsidRPr="00725467">
        <w:t xml:space="preserve">provider shall provide </w:t>
      </w:r>
      <w:r w:rsidR="00581895" w:rsidRPr="00725467">
        <w:t>CM</w:t>
      </w:r>
      <w:r w:rsidRPr="00725467">
        <w:t xml:space="preserve"> </w:t>
      </w:r>
      <w:r w:rsidR="00596038" w:rsidRPr="00725467">
        <w:t xml:space="preserve">services </w:t>
      </w:r>
      <w:r w:rsidR="0024665B" w:rsidRPr="00725467">
        <w:t>monthly</w:t>
      </w:r>
      <w:r w:rsidRPr="00725467">
        <w:t xml:space="preserve">, which </w:t>
      </w:r>
      <w:r w:rsidR="00FB6995" w:rsidRPr="00725467">
        <w:t>include</w:t>
      </w:r>
      <w:r w:rsidRPr="00725467">
        <w:t xml:space="preserve"> a minimum of monthly contact with the participant and face-to-face visits with the participant as deemed necessary</w:t>
      </w:r>
      <w:r w:rsidR="00856F04" w:rsidRPr="00725467">
        <w:t>.</w:t>
      </w:r>
      <w:r w:rsidR="00F116E6" w:rsidRPr="00725467">
        <w:t xml:space="preserve"> </w:t>
      </w:r>
    </w:p>
    <w:p w14:paraId="2B6FA19D" w14:textId="251D6879" w:rsidR="00B3499D" w:rsidRDefault="004D2005" w:rsidP="002A73B2">
      <w:r w:rsidRPr="00725467">
        <w:t xml:space="preserve">Documentation must support CM service delivery. </w:t>
      </w:r>
      <w:r w:rsidR="00F116E6" w:rsidRPr="00725467">
        <w:t xml:space="preserve">Failure to </w:t>
      </w:r>
      <w:r w:rsidRPr="00725467">
        <w:t xml:space="preserve">deliver and/or </w:t>
      </w:r>
      <w:r w:rsidR="00456A9D" w:rsidRPr="00725467">
        <w:t xml:space="preserve">adequately </w:t>
      </w:r>
      <w:r w:rsidRPr="00725467">
        <w:t>document service delivery</w:t>
      </w:r>
      <w:r w:rsidR="00F116E6" w:rsidRPr="00725467">
        <w:t xml:space="preserve"> may result in recoupment</w:t>
      </w:r>
      <w:r w:rsidRPr="00725467">
        <w:t xml:space="preserve"> of claims</w:t>
      </w:r>
      <w:r w:rsidR="00F116E6" w:rsidRPr="00725467">
        <w:t>.</w:t>
      </w:r>
      <w:r w:rsidR="0093372A" w:rsidRPr="00725467">
        <w:t xml:space="preserve"> </w:t>
      </w:r>
      <w:r w:rsidR="00F116E6" w:rsidRPr="00725467">
        <w:t>Refer to</w:t>
      </w:r>
      <w:r w:rsidR="00F116E6">
        <w:t xml:space="preserve"> </w:t>
      </w:r>
      <w:hyperlink w:anchor="AIDMedicaidAIDSHIVWaiverProgramAddendumt" w:history="1">
        <w:r w:rsidR="00F116E6" w:rsidRPr="00AD4555">
          <w:rPr>
            <w:rStyle w:val="Hyperlink"/>
            <w:szCs w:val="20"/>
          </w:rPr>
          <w:t>Section 2.7</w:t>
        </w:r>
      </w:hyperlink>
      <w:r w:rsidR="00F116E6">
        <w:t xml:space="preserve"> </w:t>
      </w:r>
      <w:r w:rsidR="006005C0" w:rsidRPr="00725467">
        <w:t xml:space="preserve">of this manual </w:t>
      </w:r>
      <w:r w:rsidR="00F116E6" w:rsidRPr="00725467">
        <w:t xml:space="preserve">for further guidance on adequate documentation of CM. </w:t>
      </w:r>
      <w:r w:rsidR="00856F04" w:rsidRPr="00725467">
        <w:t xml:space="preserve"> </w:t>
      </w:r>
      <w:r w:rsidR="00B3499D" w:rsidRPr="00725467">
        <w:t xml:space="preserve">  </w:t>
      </w:r>
    </w:p>
    <w:p w14:paraId="12F1EBE6" w14:textId="2363A057" w:rsidR="00E579BE" w:rsidRPr="00725467" w:rsidRDefault="00E579BE" w:rsidP="002A73B2">
      <w:r>
        <w:t xml:space="preserve">Refer to </w:t>
      </w:r>
      <w:hyperlink w:anchor="_Section_5:_Procedure" w:history="1">
        <w:r w:rsidRPr="00073432">
          <w:rPr>
            <w:rStyle w:val="Hyperlink"/>
          </w:rPr>
          <w:t>Section 5</w:t>
        </w:r>
      </w:hyperlink>
      <w:r>
        <w:t xml:space="preserve"> </w:t>
      </w:r>
      <w:r w:rsidR="007A614D">
        <w:t>of</w:t>
      </w:r>
      <w:r>
        <w:t xml:space="preserve"> this manual for more information on procedure codes. </w:t>
      </w:r>
    </w:p>
    <w:p w14:paraId="7497DF4C" w14:textId="7FF50D4A" w:rsidR="00B3499D" w:rsidRPr="00AD4555" w:rsidRDefault="00B3499D" w:rsidP="00AD4555">
      <w:pPr>
        <w:pStyle w:val="Heading4ADA"/>
      </w:pPr>
      <w:r w:rsidRPr="00AD4555">
        <w:rPr>
          <w:rFonts w:eastAsiaTheme="minorHAnsi"/>
        </w:rPr>
        <w:t xml:space="preserve">Specialized Medical </w:t>
      </w:r>
      <w:r w:rsidR="00F224D2" w:rsidRPr="00AD4555">
        <w:rPr>
          <w:rFonts w:eastAsiaTheme="minorHAnsi"/>
        </w:rPr>
        <w:t xml:space="preserve">Equipment </w:t>
      </w:r>
      <w:r w:rsidR="0022674E" w:rsidRPr="00AD4555">
        <w:rPr>
          <w:rFonts w:eastAsiaTheme="minorHAnsi"/>
        </w:rPr>
        <w:t xml:space="preserve">(T2029 U6) </w:t>
      </w:r>
      <w:r w:rsidR="00F224D2" w:rsidRPr="00AD4555">
        <w:rPr>
          <w:rFonts w:eastAsiaTheme="minorHAnsi"/>
        </w:rPr>
        <w:t xml:space="preserve">and </w:t>
      </w:r>
      <w:r w:rsidR="0037131C" w:rsidRPr="00AD4555">
        <w:rPr>
          <w:rFonts w:eastAsiaTheme="minorHAnsi"/>
        </w:rPr>
        <w:t xml:space="preserve">Specialized Medical </w:t>
      </w:r>
      <w:r w:rsidRPr="00AD4555">
        <w:rPr>
          <w:rFonts w:eastAsiaTheme="minorHAnsi"/>
        </w:rPr>
        <w:t xml:space="preserve">Supplies </w:t>
      </w:r>
      <w:r w:rsidR="0022674E" w:rsidRPr="00AD4555">
        <w:rPr>
          <w:rFonts w:eastAsiaTheme="minorHAnsi"/>
        </w:rPr>
        <w:t>(T2028 U6)</w:t>
      </w:r>
    </w:p>
    <w:p w14:paraId="60C864B3" w14:textId="76C75A2B" w:rsidR="00B3499D" w:rsidRPr="00725467" w:rsidRDefault="00C3161A" w:rsidP="002433EC">
      <w:r w:rsidRPr="00725467">
        <w:t>Specialized Medical Equipment</w:t>
      </w:r>
      <w:r w:rsidR="008574A0" w:rsidRPr="00725467">
        <w:t xml:space="preserve"> (SME)</w:t>
      </w:r>
      <w:r w:rsidR="00E85757">
        <w:t xml:space="preserve"> (T2029 U6)</w:t>
      </w:r>
      <w:r w:rsidRPr="00725467">
        <w:t xml:space="preserve"> </w:t>
      </w:r>
      <w:r w:rsidR="009031DB" w:rsidRPr="00725467">
        <w:t xml:space="preserve">items </w:t>
      </w:r>
      <w:r w:rsidR="00F373EF" w:rsidRPr="00725467">
        <w:t xml:space="preserve">are </w:t>
      </w:r>
      <w:r w:rsidR="00B3499D" w:rsidRPr="00725467">
        <w:t>devices, controls</w:t>
      </w:r>
      <w:r w:rsidR="00581895" w:rsidRPr="00725467">
        <w:t>,</w:t>
      </w:r>
      <w:r w:rsidR="00B3499D" w:rsidRPr="00725467">
        <w:t xml:space="preserve"> or appliances </w:t>
      </w:r>
      <w:r w:rsidR="00CA1B4B" w:rsidRPr="00725467">
        <w:t xml:space="preserve">specified in </w:t>
      </w:r>
      <w:r w:rsidR="00875DE3" w:rsidRPr="00725467">
        <w:t>a</w:t>
      </w:r>
      <w:r w:rsidR="00CA1B4B" w:rsidRPr="00725467">
        <w:t xml:space="preserve"> participant’s </w:t>
      </w:r>
      <w:r w:rsidR="001432E7">
        <w:t>care plan</w:t>
      </w:r>
      <w:r w:rsidR="001432E7" w:rsidRPr="00725467">
        <w:t xml:space="preserve"> that</w:t>
      </w:r>
      <w:r w:rsidR="00B3499D" w:rsidRPr="00725467">
        <w:t xml:space="preserve"> enable </w:t>
      </w:r>
      <w:r w:rsidR="00CA1B4B" w:rsidRPr="00725467">
        <w:t xml:space="preserve">them </w:t>
      </w:r>
      <w:r w:rsidR="00B3499D" w:rsidRPr="00725467">
        <w:t>to increase their abilit</w:t>
      </w:r>
      <w:r w:rsidR="00CA1B4B" w:rsidRPr="00725467">
        <w:t>y</w:t>
      </w:r>
      <w:r w:rsidR="00B3499D" w:rsidRPr="00725467">
        <w:t xml:space="preserve"> to perform activities of daily living</w:t>
      </w:r>
      <w:r w:rsidR="00E85757">
        <w:t xml:space="preserve"> (ADLs)</w:t>
      </w:r>
      <w:r w:rsidR="00856F04" w:rsidRPr="00725467">
        <w:t xml:space="preserve">. </w:t>
      </w:r>
      <w:r w:rsidR="00CA1B4B" w:rsidRPr="00725467">
        <w:t>SME i</w:t>
      </w:r>
      <w:r w:rsidR="00B3499D" w:rsidRPr="00725467">
        <w:t xml:space="preserve">tems reimbursed with waiver funds are in addition to any medical equipment furnished under the </w:t>
      </w:r>
      <w:r w:rsidR="00FE1A04" w:rsidRPr="00725467">
        <w:t>S</w:t>
      </w:r>
      <w:r w:rsidR="00B3499D" w:rsidRPr="00725467">
        <w:t xml:space="preserve">tate </w:t>
      </w:r>
      <w:r w:rsidR="00FE1A04" w:rsidRPr="00725467">
        <w:t>P</w:t>
      </w:r>
      <w:r w:rsidR="00B3499D" w:rsidRPr="00725467">
        <w:t>lan and exclude those items that are not of direct medical or remedial benefit to the participant</w:t>
      </w:r>
      <w:r w:rsidR="00856F04" w:rsidRPr="00725467">
        <w:t xml:space="preserve">. </w:t>
      </w:r>
      <w:r w:rsidR="00B3499D" w:rsidRPr="00725467">
        <w:t>All items shall meet applicable standards of manufacture, design</w:t>
      </w:r>
      <w:r w:rsidR="00581895" w:rsidRPr="00725467">
        <w:t>,</w:t>
      </w:r>
      <w:r w:rsidR="00B3499D" w:rsidRPr="00725467">
        <w:t xml:space="preserve"> and installation</w:t>
      </w:r>
      <w:r w:rsidR="00856F04" w:rsidRPr="00725467">
        <w:t xml:space="preserve">. </w:t>
      </w:r>
      <w:r w:rsidR="00B3499D" w:rsidRPr="00725467">
        <w:t xml:space="preserve">The </w:t>
      </w:r>
      <w:r w:rsidR="00032B87" w:rsidRPr="00725467">
        <w:t>agreed</w:t>
      </w:r>
      <w:r w:rsidR="00B3499D" w:rsidRPr="00725467">
        <w:t xml:space="preserve"> purchase price shall cover the costs of training the </w:t>
      </w:r>
      <w:r w:rsidR="00873248" w:rsidRPr="00725467">
        <w:t>participants</w:t>
      </w:r>
      <w:r w:rsidR="00B3499D" w:rsidRPr="00725467">
        <w:t xml:space="preserve"> in the operation and maintenance of </w:t>
      </w:r>
      <w:r w:rsidRPr="00725467">
        <w:t xml:space="preserve">the </w:t>
      </w:r>
      <w:r w:rsidR="00B3499D" w:rsidRPr="00725467">
        <w:t>equipment. Coverage shall also include the costs of maintenance and upkeep of equipment.</w:t>
      </w:r>
    </w:p>
    <w:p w14:paraId="4D02DB1B" w14:textId="0D1690C9" w:rsidR="00C3161A" w:rsidRPr="00725467" w:rsidRDefault="008574A0" w:rsidP="002433EC">
      <w:r w:rsidRPr="00725467">
        <w:t>SME</w:t>
      </w:r>
      <w:r w:rsidR="00C3161A" w:rsidRPr="00725467">
        <w:t xml:space="preserve"> shall be authorized only when it can be documented that such authorization will decrease the current authorization of, or future need for personal care services, either through </w:t>
      </w:r>
      <w:r w:rsidR="00FE0746" w:rsidRPr="00725467">
        <w:t>S</w:t>
      </w:r>
      <w:r w:rsidR="00C3161A" w:rsidRPr="00725467">
        <w:t xml:space="preserve">tate </w:t>
      </w:r>
      <w:r w:rsidR="00FE0746" w:rsidRPr="00725467">
        <w:t>P</w:t>
      </w:r>
      <w:r w:rsidR="00C3161A" w:rsidRPr="00725467">
        <w:t>lan or ILW.</w:t>
      </w:r>
    </w:p>
    <w:p w14:paraId="019C6B37" w14:textId="12F75439" w:rsidR="00C3161A" w:rsidRPr="00725467" w:rsidRDefault="008574A0" w:rsidP="002433EC">
      <w:r w:rsidRPr="00725467">
        <w:t>SM</w:t>
      </w:r>
      <w:r w:rsidR="00D61AB3" w:rsidRPr="00725467">
        <w:t>E</w:t>
      </w:r>
      <w:r w:rsidR="00C3161A" w:rsidRPr="00725467">
        <w:t xml:space="preserve"> shall be authorized only when it can be documented that these services cannot be covered by another source, such as </w:t>
      </w:r>
      <w:r w:rsidR="00875DE3" w:rsidRPr="00725467">
        <w:t xml:space="preserve">MO HealthNet </w:t>
      </w:r>
      <w:r w:rsidR="00C3161A" w:rsidRPr="00725467">
        <w:t>or Medicare.</w:t>
      </w:r>
    </w:p>
    <w:p w14:paraId="3C25708D" w14:textId="44BB373B" w:rsidR="00AE5A1A" w:rsidRPr="00725467" w:rsidRDefault="00AE5A1A" w:rsidP="002433EC">
      <w:r w:rsidRPr="00725467">
        <w:t xml:space="preserve">Purchases covered by the SME category are limited to $5,000 in a five (5)-year </w:t>
      </w:r>
      <w:r w:rsidR="00682952" w:rsidRPr="00725467">
        <w:t>period</w:t>
      </w:r>
      <w:r w:rsidRPr="00725467">
        <w:t>. If the $5,000 per five (5)-year period limit is reached, DSDS and the CM provider will assist participants in accessing various community resources to meet the need.</w:t>
      </w:r>
    </w:p>
    <w:p w14:paraId="50F73EE1" w14:textId="38582C5E" w:rsidR="0037131C" w:rsidRPr="00725467" w:rsidRDefault="0037131C" w:rsidP="002433EC">
      <w:r w:rsidRPr="00725467">
        <w:t>Specialized Medical Supplies (SMS)</w:t>
      </w:r>
      <w:r w:rsidR="00E85757">
        <w:t xml:space="preserve"> (T2028 U6)</w:t>
      </w:r>
      <w:r w:rsidRPr="00725467">
        <w:t xml:space="preserve"> are supplies specified in a participant’s </w:t>
      </w:r>
      <w:r w:rsidR="001432E7">
        <w:t xml:space="preserve">care plan </w:t>
      </w:r>
      <w:r w:rsidRPr="00725467">
        <w:t xml:space="preserve">that enable them to increase their ability to perform </w:t>
      </w:r>
      <w:r w:rsidR="00E85757">
        <w:t>ADLs</w:t>
      </w:r>
      <w:r w:rsidRPr="00725467">
        <w:t xml:space="preserve">. SMS reimbursed with waiver funds are in addition to any supplies furnished under the State Plan and exclude those items that are not of direct medical or remedial benefit to the participant. All items shall meet applicable standards of manufacture </w:t>
      </w:r>
      <w:r w:rsidR="00E868D7" w:rsidRPr="00725467">
        <w:t xml:space="preserve">and </w:t>
      </w:r>
      <w:r w:rsidRPr="00725467">
        <w:t>design.</w:t>
      </w:r>
    </w:p>
    <w:p w14:paraId="38342ECE" w14:textId="29AAF31B" w:rsidR="0037131C" w:rsidRPr="00725467" w:rsidRDefault="00E85757" w:rsidP="002433EC">
      <w:r>
        <w:t xml:space="preserve">SME and </w:t>
      </w:r>
      <w:r w:rsidR="0037131C" w:rsidRPr="00725467">
        <w:t xml:space="preserve">SMS shall be authorized only when it can be documented that such authorization will decrease the current authorization of or future need for </w:t>
      </w:r>
      <w:r>
        <w:t>PC</w:t>
      </w:r>
      <w:r w:rsidR="0037131C" w:rsidRPr="00725467">
        <w:t xml:space="preserve"> services, either through State Plan or ILW.</w:t>
      </w:r>
    </w:p>
    <w:p w14:paraId="67B1AA3E" w14:textId="339BFF1C" w:rsidR="0037131C" w:rsidRPr="00725467" w:rsidRDefault="00E85757" w:rsidP="002433EC">
      <w:r>
        <w:t xml:space="preserve">SME and </w:t>
      </w:r>
      <w:r w:rsidR="0037131C" w:rsidRPr="00725467">
        <w:t>SMS shall be authorized only when it can be documented that these supplies cannot be covered by another source, such as MO HealthNet or Medicare.</w:t>
      </w:r>
    </w:p>
    <w:p w14:paraId="2B7A23FC" w14:textId="2C25EB22" w:rsidR="007E25EA" w:rsidRDefault="007E25EA" w:rsidP="002433EC">
      <w:r w:rsidRPr="00725467">
        <w:t>SM</w:t>
      </w:r>
      <w:r w:rsidR="000A2584" w:rsidRPr="00725467">
        <w:t>E</w:t>
      </w:r>
      <w:r w:rsidRPr="00725467">
        <w:t xml:space="preserve"> or SM</w:t>
      </w:r>
      <w:r w:rsidR="000A2584" w:rsidRPr="00725467">
        <w:t>S</w:t>
      </w:r>
      <w:r w:rsidRPr="00725467">
        <w:t xml:space="preserve"> may be substituted for </w:t>
      </w:r>
      <w:r w:rsidR="00E85757">
        <w:t>PC</w:t>
      </w:r>
      <w:r w:rsidRPr="00725467">
        <w:t xml:space="preserve"> services when identified as a cost-effective alternative on the participant’s </w:t>
      </w:r>
      <w:r w:rsidR="001432E7">
        <w:t>care plan</w:t>
      </w:r>
      <w:r w:rsidRPr="00725467">
        <w:t xml:space="preserve">. </w:t>
      </w:r>
    </w:p>
    <w:p w14:paraId="11F52B05" w14:textId="59419CB9" w:rsidR="00E85757" w:rsidRDefault="00E85757" w:rsidP="002A73B2">
      <w:r>
        <w:t xml:space="preserve">Refer to </w:t>
      </w:r>
      <w:hyperlink w:anchor="_Section_5:_Procedure" w:history="1">
        <w:r w:rsidRPr="00AB3F22">
          <w:rPr>
            <w:rStyle w:val="Hyperlink"/>
          </w:rPr>
          <w:t>Section 5</w:t>
        </w:r>
      </w:hyperlink>
      <w:r>
        <w:t xml:space="preserve"> </w:t>
      </w:r>
      <w:r w:rsidR="007A614D">
        <w:t>of</w:t>
      </w:r>
      <w:r>
        <w:t xml:space="preserve"> this manual for more information on procedure codes. </w:t>
      </w:r>
    </w:p>
    <w:p w14:paraId="02CC03FB" w14:textId="0AE4E1CA" w:rsidR="00B3499D" w:rsidRPr="00AD4555" w:rsidRDefault="00B3499D" w:rsidP="002A73B2">
      <w:pPr>
        <w:pStyle w:val="Heading4ADA"/>
        <w:rPr>
          <w:bCs/>
        </w:rPr>
      </w:pPr>
      <w:r w:rsidRPr="00AD4555">
        <w:rPr>
          <w:rFonts w:eastAsiaTheme="minorHAnsi"/>
        </w:rPr>
        <w:t xml:space="preserve">Environmental Accessibility Adaptations </w:t>
      </w:r>
      <w:r w:rsidR="00863801" w:rsidRPr="00AD4555">
        <w:rPr>
          <w:rFonts w:eastAsiaTheme="minorHAnsi"/>
        </w:rPr>
        <w:t>(S5165 U6)</w:t>
      </w:r>
    </w:p>
    <w:p w14:paraId="72F7391D" w14:textId="45BA42CE" w:rsidR="00581895" w:rsidRPr="00725467" w:rsidRDefault="00C3161A" w:rsidP="002433EC">
      <w:r w:rsidRPr="00725467">
        <w:t>Environmental Accessibility Adaptations</w:t>
      </w:r>
      <w:r w:rsidR="008574A0" w:rsidRPr="00725467">
        <w:t xml:space="preserve"> (EAA)</w:t>
      </w:r>
      <w:r w:rsidR="00E85757">
        <w:t xml:space="preserve"> (S5165 U6)</w:t>
      </w:r>
      <w:r w:rsidRPr="00725467">
        <w:t xml:space="preserve"> are p</w:t>
      </w:r>
      <w:r w:rsidR="00B3499D" w:rsidRPr="00725467">
        <w:t xml:space="preserve">hysical adaptations to the </w:t>
      </w:r>
      <w:r w:rsidR="001D0913" w:rsidRPr="00725467">
        <w:t xml:space="preserve">private </w:t>
      </w:r>
      <w:r w:rsidR="00B3499D" w:rsidRPr="00725467">
        <w:t>residence of the participant</w:t>
      </w:r>
      <w:r w:rsidR="001D0913" w:rsidRPr="00725467">
        <w:t xml:space="preserve"> or their family</w:t>
      </w:r>
      <w:r w:rsidR="00B3499D" w:rsidRPr="00725467">
        <w:t xml:space="preserve">, required by the participant’s </w:t>
      </w:r>
      <w:r w:rsidR="001432E7">
        <w:t>care plan</w:t>
      </w:r>
      <w:r w:rsidR="001D0913" w:rsidRPr="00725467">
        <w:t>,</w:t>
      </w:r>
      <w:r w:rsidR="00B3499D" w:rsidRPr="00725467">
        <w:t xml:space="preserve"> which are necessary to ensure the health, welfare</w:t>
      </w:r>
      <w:r w:rsidR="00581895" w:rsidRPr="00725467">
        <w:t>,</w:t>
      </w:r>
      <w:r w:rsidR="00B3499D" w:rsidRPr="00725467">
        <w:t xml:space="preserve"> and safety of the participant, or </w:t>
      </w:r>
      <w:r w:rsidR="001D0913" w:rsidRPr="00725467">
        <w:t xml:space="preserve">that </w:t>
      </w:r>
      <w:r w:rsidR="00B3499D" w:rsidRPr="00725467">
        <w:t>enable the participant to function with greater independence in the home</w:t>
      </w:r>
      <w:r w:rsidR="001D0913" w:rsidRPr="00725467">
        <w:t xml:space="preserve"> and community</w:t>
      </w:r>
      <w:r w:rsidR="00B3499D" w:rsidRPr="00725467">
        <w:t xml:space="preserve"> and </w:t>
      </w:r>
      <w:r w:rsidR="001D0913" w:rsidRPr="00725467">
        <w:t>avoid</w:t>
      </w:r>
      <w:r w:rsidR="00B3499D" w:rsidRPr="00725467">
        <w:t xml:space="preserve"> institutionalization</w:t>
      </w:r>
      <w:r w:rsidR="00856F04" w:rsidRPr="00725467">
        <w:t xml:space="preserve">. </w:t>
      </w:r>
      <w:r w:rsidR="00B3499D" w:rsidRPr="00725467">
        <w:t>Such adaptations include the installation of ramps and grab-bars, widening of doorways, modification of bathroom facilities</w:t>
      </w:r>
      <w:r w:rsidR="001D0913" w:rsidRPr="00725467">
        <w:t>,</w:t>
      </w:r>
      <w:r w:rsidR="00B3499D" w:rsidRPr="00725467">
        <w:t xml:space="preserve"> or the installation of specialized electric and plumbing systems necessary to accommodate the medical equipment and supplies necessary for the welfare of the participant</w:t>
      </w:r>
      <w:r w:rsidR="00856F04" w:rsidRPr="00725467">
        <w:t xml:space="preserve">. </w:t>
      </w:r>
    </w:p>
    <w:p w14:paraId="67C160FD" w14:textId="46A744AE" w:rsidR="00B3499D" w:rsidRPr="00725467" w:rsidRDefault="00B3499D" w:rsidP="002433EC">
      <w:r w:rsidRPr="00725467">
        <w:t xml:space="preserve">Excluded are adaptations or </w:t>
      </w:r>
      <w:r w:rsidR="00E95BA9" w:rsidRPr="00725467">
        <w:t>improvements</w:t>
      </w:r>
      <w:r w:rsidRPr="00725467">
        <w:t xml:space="preserve"> to the home that are of general utility and are not of direct medical or remedial benefit to the participant </w:t>
      </w:r>
      <w:r w:rsidR="0002097F">
        <w:t xml:space="preserve">(e.g., </w:t>
      </w:r>
      <w:r w:rsidRPr="00725467">
        <w:t>carpeting, roof repair, central air conditioning</w:t>
      </w:r>
      <w:r w:rsidR="0002097F">
        <w:t>).</w:t>
      </w:r>
    </w:p>
    <w:p w14:paraId="00B2BB95" w14:textId="660654EB" w:rsidR="00B3499D" w:rsidRPr="00725467" w:rsidRDefault="00027056" w:rsidP="002433EC">
      <w:r w:rsidRPr="00725467">
        <w:t xml:space="preserve">Adaptations </w:t>
      </w:r>
      <w:r w:rsidR="00B3499D" w:rsidRPr="00725467">
        <w:t xml:space="preserve">that add to the total square footage of the home </w:t>
      </w:r>
      <w:r w:rsidR="001C558D" w:rsidRPr="00725467">
        <w:t xml:space="preserve">are </w:t>
      </w:r>
      <w:r w:rsidR="00B3499D" w:rsidRPr="00725467">
        <w:t>excluded from this benefit except when necessary to complete an adaptation (e.g., to improve entrance/egress to a residence or to configure a bathroom to accommodate a wheelchair)</w:t>
      </w:r>
      <w:r w:rsidR="00856F04" w:rsidRPr="00725467">
        <w:t xml:space="preserve">. </w:t>
      </w:r>
      <w:r w:rsidR="00581895" w:rsidRPr="00725467">
        <w:t>EAA</w:t>
      </w:r>
      <w:r w:rsidR="00B3499D" w:rsidRPr="00725467">
        <w:t xml:space="preserve"> shall be provided in accordance with applicable </w:t>
      </w:r>
      <w:r w:rsidR="00A86479" w:rsidRPr="00725467">
        <w:t>s</w:t>
      </w:r>
      <w:r w:rsidR="00B3499D" w:rsidRPr="00725467">
        <w:t xml:space="preserve">tate or local building codes. </w:t>
      </w:r>
      <w:r w:rsidR="00D61AB3" w:rsidRPr="00725467">
        <w:t>EAA</w:t>
      </w:r>
      <w:r w:rsidR="00B3499D" w:rsidRPr="00725467">
        <w:t xml:space="preserve"> shall not be provided to living arrangements owned or leased by waiver providers. When an individual is being transitioned </w:t>
      </w:r>
      <w:r w:rsidRPr="00725467">
        <w:t xml:space="preserve">from an institution </w:t>
      </w:r>
      <w:r w:rsidR="00B3499D" w:rsidRPr="00725467">
        <w:t xml:space="preserve">back to the community </w:t>
      </w:r>
      <w:r w:rsidR="005D7E0A" w:rsidRPr="00725467">
        <w:t xml:space="preserve">and EAA </w:t>
      </w:r>
      <w:r w:rsidR="00BB613C" w:rsidRPr="00725467">
        <w:t xml:space="preserve">is </w:t>
      </w:r>
      <w:r w:rsidR="00B3499D" w:rsidRPr="00725467">
        <w:t xml:space="preserve">deemed necessary and authorized, the adaptations may begin within </w:t>
      </w:r>
      <w:r w:rsidR="00873248" w:rsidRPr="00725467">
        <w:t>180</w:t>
      </w:r>
      <w:r w:rsidR="00B3499D" w:rsidRPr="00725467">
        <w:t xml:space="preserve"> consecutive days prior to community transition</w:t>
      </w:r>
      <w:r w:rsidR="00856F04" w:rsidRPr="00725467">
        <w:t xml:space="preserve">. </w:t>
      </w:r>
      <w:r w:rsidR="00B3499D" w:rsidRPr="00725467">
        <w:t>Such adaptations cannot be billed until the date the individual leaves the institution and enters the waiver.</w:t>
      </w:r>
    </w:p>
    <w:p w14:paraId="1A724482" w14:textId="1214ED56" w:rsidR="00027056" w:rsidRPr="00725467" w:rsidRDefault="00B20B5C" w:rsidP="002433EC">
      <w:r w:rsidRPr="00725467">
        <w:t xml:space="preserve">EAA </w:t>
      </w:r>
      <w:r w:rsidR="00B3499D" w:rsidRPr="00725467">
        <w:t xml:space="preserve">shall be authorized only when it can be documented that such authorization will decrease the current authorization of, or future need for </w:t>
      </w:r>
      <w:r w:rsidR="0002097F">
        <w:t>PC</w:t>
      </w:r>
      <w:r w:rsidR="00B3499D" w:rsidRPr="00725467">
        <w:t xml:space="preserve"> services, either through </w:t>
      </w:r>
      <w:r w:rsidR="00027056" w:rsidRPr="00725467">
        <w:t>S</w:t>
      </w:r>
      <w:r w:rsidR="00B3499D" w:rsidRPr="00725467">
        <w:t xml:space="preserve">tate </w:t>
      </w:r>
      <w:r w:rsidR="00027056" w:rsidRPr="00725467">
        <w:t>P</w:t>
      </w:r>
      <w:r w:rsidR="00B3499D" w:rsidRPr="00725467">
        <w:t>lan or ILW.</w:t>
      </w:r>
    </w:p>
    <w:p w14:paraId="62DD8CC4" w14:textId="0BE7B393" w:rsidR="00656144" w:rsidRPr="00725467" w:rsidRDefault="00656144" w:rsidP="002433EC">
      <w:r w:rsidRPr="00725467">
        <w:t>EAA shall be authorized only when it can be documented that these services cannot be covered by another source, such as MO HealthNet or Medicare.</w:t>
      </w:r>
    </w:p>
    <w:p w14:paraId="3168298C" w14:textId="392D2B5C" w:rsidR="00AE5A1A" w:rsidRPr="00725467" w:rsidRDefault="00B46B92" w:rsidP="002433EC">
      <w:r w:rsidRPr="00725467">
        <w:t xml:space="preserve">EAA may be substituted for </w:t>
      </w:r>
      <w:r w:rsidR="0002097F">
        <w:t>PC</w:t>
      </w:r>
      <w:r w:rsidRPr="00725467">
        <w:t xml:space="preserve"> services when identified as a cost-effective alternative on the participant’s </w:t>
      </w:r>
      <w:r w:rsidR="001432E7">
        <w:t>care plan</w:t>
      </w:r>
      <w:r w:rsidRPr="00725467">
        <w:t xml:space="preserve">. </w:t>
      </w:r>
    </w:p>
    <w:p w14:paraId="42C1D30E" w14:textId="14E53E11" w:rsidR="00B46B92" w:rsidRPr="00725467" w:rsidRDefault="00B46B92" w:rsidP="002433EC">
      <w:r w:rsidRPr="00725467">
        <w:t xml:space="preserve">Purchases covered by </w:t>
      </w:r>
      <w:r w:rsidR="00AE5A1A" w:rsidRPr="00725467">
        <w:t xml:space="preserve">the EAA </w:t>
      </w:r>
      <w:r w:rsidRPr="00725467">
        <w:t xml:space="preserve">category are limited to $5,000 in a five (5)-year </w:t>
      </w:r>
      <w:r w:rsidR="00682952" w:rsidRPr="00725467">
        <w:t>period</w:t>
      </w:r>
      <w:r w:rsidRPr="00725467">
        <w:t>. If the $5,000 per five (5)-year period limit is reached, DSDS and the CM provider will assist participants in accessing various community resources to meet the need.</w:t>
      </w:r>
    </w:p>
    <w:p w14:paraId="63D2FC4C" w14:textId="1F56E09B" w:rsidR="00B3499D" w:rsidRDefault="00895BD2" w:rsidP="002433EC">
      <w:r w:rsidRPr="00725467">
        <w:t xml:space="preserve">EAA may only be authorized when the </w:t>
      </w:r>
      <w:r w:rsidR="00581895" w:rsidRPr="00725467">
        <w:t>FMS</w:t>
      </w:r>
      <w:r w:rsidRPr="00725467">
        <w:t xml:space="preserve"> provider has verified and documented that no other resources are available to meet the need. </w:t>
      </w:r>
    </w:p>
    <w:p w14:paraId="79D46960" w14:textId="337D2B60" w:rsidR="00E85757" w:rsidRDefault="00E85757" w:rsidP="00947EDB">
      <w:pPr>
        <w:spacing w:line="276" w:lineRule="auto"/>
      </w:pPr>
      <w:r>
        <w:t xml:space="preserve">Refer to </w:t>
      </w:r>
      <w:hyperlink w:anchor="_Section_5:_Procedure" w:history="1">
        <w:r w:rsidRPr="00AB3F22">
          <w:rPr>
            <w:rStyle w:val="Hyperlink"/>
          </w:rPr>
          <w:t>Section 5</w:t>
        </w:r>
      </w:hyperlink>
      <w:r w:rsidRPr="007D4B09">
        <w:rPr>
          <w:rStyle w:val="Hyperlink"/>
        </w:rPr>
        <w:t xml:space="preserve"> </w:t>
      </w:r>
      <w:r w:rsidR="007A614D">
        <w:t>of</w:t>
      </w:r>
      <w:r>
        <w:t xml:space="preserve"> this manual for more information on procedure codes. </w:t>
      </w:r>
    </w:p>
    <w:p w14:paraId="381516BA" w14:textId="249884BA" w:rsidR="00B3499D" w:rsidRPr="00367E1D" w:rsidRDefault="00B3499D" w:rsidP="00AB3F22">
      <w:pPr>
        <w:pStyle w:val="Heading4ADA"/>
      </w:pPr>
      <w:r w:rsidRPr="00367E1D">
        <w:rPr>
          <w:rFonts w:eastAsiaTheme="minorHAnsi"/>
        </w:rPr>
        <w:t xml:space="preserve">Financial Management Services </w:t>
      </w:r>
      <w:r w:rsidR="00863801" w:rsidRPr="00367E1D">
        <w:rPr>
          <w:rFonts w:eastAsiaTheme="minorHAnsi"/>
        </w:rPr>
        <w:t>(T2040 U6)</w:t>
      </w:r>
    </w:p>
    <w:p w14:paraId="2F477A8E" w14:textId="486EDE45" w:rsidR="00461FE5" w:rsidRPr="00725467" w:rsidRDefault="00A90374" w:rsidP="002433EC">
      <w:r w:rsidRPr="00725467">
        <w:t>FMS</w:t>
      </w:r>
      <w:r w:rsidR="0002097F">
        <w:t xml:space="preserve"> (T2040 U6)</w:t>
      </w:r>
      <w:r w:rsidR="00C3161A" w:rsidRPr="00725467">
        <w:t xml:space="preserve"> is a</w:t>
      </w:r>
      <w:r w:rsidR="00B3499D" w:rsidRPr="00725467">
        <w:t xml:space="preserve">dministrative assistance on behalf of the participant </w:t>
      </w:r>
      <w:r w:rsidR="00843C83" w:rsidRPr="00725467">
        <w:t>or their designee to facilitate employment of staff by the participant</w:t>
      </w:r>
      <w:r w:rsidR="00DF1876" w:rsidRPr="00725467">
        <w:t>,</w:t>
      </w:r>
      <w:r w:rsidR="00843C83" w:rsidRPr="00725467">
        <w:t xml:space="preserve"> by performing as the participant’s agent. </w:t>
      </w:r>
      <w:r w:rsidR="00497EB0" w:rsidRPr="00725467">
        <w:t>One</w:t>
      </w:r>
      <w:r w:rsidR="0002097F">
        <w:t xml:space="preserve"> (1)</w:t>
      </w:r>
      <w:r w:rsidR="00497EB0" w:rsidRPr="00725467">
        <w:t xml:space="preserve"> unit of FMS equals one </w:t>
      </w:r>
      <w:r w:rsidR="0002097F">
        <w:t xml:space="preserve">(1) </w:t>
      </w:r>
      <w:r w:rsidR="00497EB0" w:rsidRPr="00725467">
        <w:t>month of FMS. This service may be billed monthly for all participants receiving ILW</w:t>
      </w:r>
      <w:r w:rsidR="00ED1281" w:rsidRPr="00725467">
        <w:t xml:space="preserve"> services</w:t>
      </w:r>
      <w:r w:rsidR="00461FE5" w:rsidRPr="00725467">
        <w:t xml:space="preserve">. </w:t>
      </w:r>
    </w:p>
    <w:p w14:paraId="1C15C041" w14:textId="74F9EBA5" w:rsidR="00B3499D" w:rsidRPr="00725467" w:rsidRDefault="00B3499D" w:rsidP="002433EC">
      <w:r w:rsidRPr="00725467">
        <w:t xml:space="preserve">The FMS provider must ensure that </w:t>
      </w:r>
      <w:r w:rsidR="00A90374" w:rsidRPr="00725467">
        <w:t xml:space="preserve">the </w:t>
      </w:r>
      <w:r w:rsidRPr="00725467">
        <w:t>participant understand</w:t>
      </w:r>
      <w:r w:rsidR="00C3161A" w:rsidRPr="00725467">
        <w:t>s</w:t>
      </w:r>
      <w:r w:rsidRPr="00725467">
        <w:t xml:space="preserve"> the responsibilities involved </w:t>
      </w:r>
      <w:r w:rsidR="00873248" w:rsidRPr="00725467">
        <w:t>in</w:t>
      </w:r>
      <w:r w:rsidRPr="00725467">
        <w:t xml:space="preserve"> directing their services</w:t>
      </w:r>
      <w:r w:rsidR="00856F04" w:rsidRPr="00725467">
        <w:t xml:space="preserve">. </w:t>
      </w:r>
      <w:r w:rsidRPr="00725467">
        <w:t xml:space="preserve">FMS does not duplicate other waiver services, including </w:t>
      </w:r>
      <w:r w:rsidR="00CD4F4C" w:rsidRPr="00725467">
        <w:t>CM</w:t>
      </w:r>
      <w:r w:rsidRPr="00725467">
        <w:t xml:space="preserve">. </w:t>
      </w:r>
      <w:r w:rsidR="00873248" w:rsidRPr="00725467">
        <w:t>Monthly</w:t>
      </w:r>
      <w:r w:rsidR="00A43809" w:rsidRPr="00725467">
        <w:t xml:space="preserve"> contact by the FMS provider is intended to monitor all aspects of program participation, including actions taken by the designee, to ensure they are in the best interest of the participant.</w:t>
      </w:r>
    </w:p>
    <w:p w14:paraId="097D398F" w14:textId="045DE754" w:rsidR="00B3499D" w:rsidRPr="00725467" w:rsidRDefault="00B3499D" w:rsidP="002433EC">
      <w:r w:rsidRPr="00725467">
        <w:t xml:space="preserve">FMS providers perform the following </w:t>
      </w:r>
      <w:r w:rsidR="000E406D" w:rsidRPr="00725467">
        <w:t xml:space="preserve">supportive services and </w:t>
      </w:r>
      <w:r w:rsidRPr="00725467">
        <w:t>functions</w:t>
      </w:r>
      <w:r w:rsidR="00EC4967" w:rsidRPr="00725467">
        <w:t xml:space="preserve">:   </w:t>
      </w:r>
    </w:p>
    <w:p w14:paraId="2415E26A" w14:textId="100B3EEE" w:rsidR="00B3499D" w:rsidRPr="00725467" w:rsidRDefault="00B3499D" w:rsidP="00367E1D">
      <w:pPr>
        <w:pStyle w:val="ListBullet"/>
      </w:pPr>
      <w:r w:rsidRPr="00725467">
        <w:t>Assist the participant in verifying the</w:t>
      </w:r>
      <w:r w:rsidR="00FF1E89" w:rsidRPr="00725467">
        <w:t xml:space="preserve"> attendant's citizenship status</w:t>
      </w:r>
    </w:p>
    <w:p w14:paraId="769BD093" w14:textId="60A5F163" w:rsidR="00B3499D" w:rsidRPr="00725467" w:rsidRDefault="00B3499D" w:rsidP="00367E1D">
      <w:pPr>
        <w:pStyle w:val="ListBullet"/>
      </w:pPr>
      <w:r w:rsidRPr="00725467">
        <w:t xml:space="preserve">Collect and </w:t>
      </w:r>
      <w:r w:rsidR="00843C83" w:rsidRPr="00725467">
        <w:t xml:space="preserve">process </w:t>
      </w:r>
      <w:r w:rsidR="00354898" w:rsidRPr="00725467">
        <w:t>EVV</w:t>
      </w:r>
      <w:r w:rsidR="00FF1E89" w:rsidRPr="00725467">
        <w:t xml:space="preserve"> </w:t>
      </w:r>
      <w:r w:rsidR="00843C83" w:rsidRPr="00725467">
        <w:t xml:space="preserve">records </w:t>
      </w:r>
      <w:r w:rsidR="00FF1E89" w:rsidRPr="00725467">
        <w:t xml:space="preserve">of </w:t>
      </w:r>
      <w:r w:rsidR="00843C83" w:rsidRPr="00725467">
        <w:t xml:space="preserve">personal care </w:t>
      </w:r>
      <w:r w:rsidR="00FF1E89" w:rsidRPr="00725467">
        <w:t>attendants</w:t>
      </w:r>
      <w:r w:rsidR="00B3269B">
        <w:t xml:space="preserve">; </w:t>
      </w:r>
      <w:r w:rsidR="00B3269B">
        <w:rPr>
          <w:rFonts w:cs="Tahoma"/>
          <w:szCs w:val="23"/>
        </w:rPr>
        <w:t xml:space="preserve">refer to </w:t>
      </w:r>
      <w:hyperlink w:anchor="_2.3_Provider_Conditions" w:history="1">
        <w:r w:rsidR="00B3269B" w:rsidRPr="00AB3F22">
          <w:rPr>
            <w:rStyle w:val="Hyperlink"/>
          </w:rPr>
          <w:t>Section 2.3</w:t>
        </w:r>
      </w:hyperlink>
      <w:r w:rsidR="00B3269B" w:rsidRPr="007D4B09">
        <w:rPr>
          <w:rStyle w:val="Hyperlink"/>
        </w:rPr>
        <w:t xml:space="preserve"> </w:t>
      </w:r>
      <w:r w:rsidR="007A614D">
        <w:rPr>
          <w:rFonts w:cs="Tahoma"/>
          <w:szCs w:val="23"/>
        </w:rPr>
        <w:t>of</w:t>
      </w:r>
      <w:r w:rsidR="00B3269B">
        <w:rPr>
          <w:rFonts w:cs="Tahoma"/>
          <w:szCs w:val="23"/>
        </w:rPr>
        <w:t xml:space="preserve"> this manual for more information on EVV</w:t>
      </w:r>
    </w:p>
    <w:p w14:paraId="529D8FF6" w14:textId="5857E8E7" w:rsidR="00B3499D" w:rsidRPr="00725467" w:rsidRDefault="00B3499D" w:rsidP="00367E1D">
      <w:pPr>
        <w:pStyle w:val="ListBullet"/>
      </w:pPr>
      <w:r w:rsidRPr="00725467">
        <w:t>Process payroll, withholding, filing</w:t>
      </w:r>
      <w:r w:rsidR="005A4821">
        <w:t>,</w:t>
      </w:r>
      <w:r w:rsidRPr="00725467">
        <w:t xml:space="preserve"> and payment of applicable federal, </w:t>
      </w:r>
      <w:r w:rsidR="00EE120C" w:rsidRPr="00725467">
        <w:t>state,</w:t>
      </w:r>
      <w:r w:rsidRPr="00725467">
        <w:t xml:space="preserve"> and local employment-related taxes and </w:t>
      </w:r>
      <w:r w:rsidR="00FF1E89" w:rsidRPr="00725467">
        <w:t>insurance</w:t>
      </w:r>
    </w:p>
    <w:p w14:paraId="01A8B440" w14:textId="6051E823" w:rsidR="00B3499D" w:rsidRPr="00725467" w:rsidRDefault="00B3499D" w:rsidP="00367E1D">
      <w:pPr>
        <w:pStyle w:val="ListBullet"/>
      </w:pPr>
      <w:r w:rsidRPr="00725467">
        <w:t xml:space="preserve">Ensure all funds paid for ILW </w:t>
      </w:r>
      <w:r w:rsidR="00A90374" w:rsidRPr="00725467">
        <w:t>p</w:t>
      </w:r>
      <w:r w:rsidRPr="00725467">
        <w:t xml:space="preserve">ersonal </w:t>
      </w:r>
      <w:r w:rsidR="00A90374" w:rsidRPr="00725467">
        <w:t>c</w:t>
      </w:r>
      <w:r w:rsidRPr="00725467">
        <w:t xml:space="preserve">are </w:t>
      </w:r>
      <w:r w:rsidR="00A90374" w:rsidRPr="00725467">
        <w:t>a</w:t>
      </w:r>
      <w:r w:rsidRPr="00725467">
        <w:t xml:space="preserve">ttendants are used to pay the </w:t>
      </w:r>
      <w:r w:rsidR="005A4821">
        <w:t>PC</w:t>
      </w:r>
      <w:r w:rsidRPr="00725467">
        <w:t xml:space="preserve"> attendant's wages and all employm</w:t>
      </w:r>
      <w:r w:rsidR="0011767F" w:rsidRPr="00725467">
        <w:t>ent</w:t>
      </w:r>
      <w:r w:rsidR="00DF1876" w:rsidRPr="00725467">
        <w:t>-</w:t>
      </w:r>
      <w:r w:rsidR="0011767F" w:rsidRPr="00725467">
        <w:t>related taxes and insurance</w:t>
      </w:r>
    </w:p>
    <w:p w14:paraId="4017B399" w14:textId="0F3E9124" w:rsidR="00B3499D" w:rsidRPr="00957ACE" w:rsidRDefault="00B3499D" w:rsidP="00367E1D">
      <w:pPr>
        <w:pStyle w:val="ListBullet"/>
      </w:pPr>
      <w:r w:rsidRPr="00725467">
        <w:t xml:space="preserve">Ensure </w:t>
      </w:r>
      <w:r w:rsidR="00843C83" w:rsidRPr="00725467">
        <w:t xml:space="preserve">personal care </w:t>
      </w:r>
      <w:r w:rsidRPr="00725467">
        <w:t>attendant</w:t>
      </w:r>
      <w:r w:rsidR="00843C83" w:rsidRPr="00725467">
        <w:t>s</w:t>
      </w:r>
      <w:r w:rsidRPr="00725467">
        <w:t xml:space="preserve"> </w:t>
      </w:r>
      <w:r w:rsidR="00843C83" w:rsidRPr="00725467">
        <w:t xml:space="preserve">are </w:t>
      </w:r>
      <w:r w:rsidRPr="00725467">
        <w:t>registered with the</w:t>
      </w:r>
      <w:r w:rsidRPr="00957ACE">
        <w:t xml:space="preserve"> </w:t>
      </w:r>
      <w:hyperlink r:id="rId15" w:history="1">
        <w:r w:rsidRPr="00073432">
          <w:rPr>
            <w:rStyle w:val="Hyperlink"/>
          </w:rPr>
          <w:t>Family Care Safety Registry</w:t>
        </w:r>
      </w:hyperlink>
      <w:r w:rsidRPr="00367E1D">
        <w:rPr>
          <w:rStyle w:val="Hyperlink"/>
          <w:szCs w:val="20"/>
        </w:rPr>
        <w:t xml:space="preserve"> </w:t>
      </w:r>
      <w:r w:rsidRPr="00957ACE">
        <w:t>(FCSR)</w:t>
      </w:r>
    </w:p>
    <w:p w14:paraId="6851BED6" w14:textId="6D6F2806" w:rsidR="00B3499D" w:rsidRPr="00725467" w:rsidRDefault="00B3499D" w:rsidP="00367E1D">
      <w:pPr>
        <w:pStyle w:val="ListBullet"/>
      </w:pPr>
      <w:r w:rsidRPr="00725467">
        <w:t xml:space="preserve">Provide information and assistance to the participant or </w:t>
      </w:r>
      <w:r w:rsidR="00DF1876" w:rsidRPr="00725467">
        <w:t xml:space="preserve">their </w:t>
      </w:r>
      <w:r w:rsidRPr="00725467">
        <w:t xml:space="preserve">designee in arranging for, </w:t>
      </w:r>
      <w:r w:rsidR="0011767F" w:rsidRPr="00725467">
        <w:t>directing</w:t>
      </w:r>
      <w:r w:rsidR="00822310" w:rsidRPr="00725467">
        <w:t>,</w:t>
      </w:r>
      <w:r w:rsidR="0011767F" w:rsidRPr="00725467">
        <w:t xml:space="preserve"> and managing services</w:t>
      </w:r>
    </w:p>
    <w:p w14:paraId="2312FD46" w14:textId="0D7358BF" w:rsidR="00B3499D" w:rsidRPr="00725467" w:rsidRDefault="00B3499D" w:rsidP="00367E1D">
      <w:pPr>
        <w:pStyle w:val="ListBullet"/>
      </w:pPr>
      <w:r w:rsidRPr="00725467">
        <w:t>Assist in identifying immediate and long-term needs, developing options to meet those needs and accessing i</w:t>
      </w:r>
      <w:r w:rsidR="0011767F" w:rsidRPr="00725467">
        <w:t>dentified supports and services</w:t>
      </w:r>
    </w:p>
    <w:p w14:paraId="3622C2CE" w14:textId="459C2ECD" w:rsidR="00B3499D" w:rsidRPr="00725467" w:rsidRDefault="00B3499D" w:rsidP="00367E1D">
      <w:pPr>
        <w:pStyle w:val="ListBullet"/>
      </w:pPr>
      <w:r w:rsidRPr="00725467">
        <w:t>Offer practical skills training to enable families and participants to independently di</w:t>
      </w:r>
      <w:r w:rsidR="0011767F" w:rsidRPr="00725467">
        <w:t>rect and manage waiver services</w:t>
      </w:r>
      <w:r w:rsidR="00B025C7" w:rsidRPr="00725467">
        <w:t>, including providing information to ensure understanding of the responsibilities involved with directing their services</w:t>
      </w:r>
      <w:r w:rsidR="003A5981">
        <w:t xml:space="preserve"> (e.</w:t>
      </w:r>
      <w:r w:rsidR="00E95BA9">
        <w:t>g.</w:t>
      </w:r>
      <w:r w:rsidR="003A5981">
        <w:t xml:space="preserve"> </w:t>
      </w:r>
      <w:r w:rsidRPr="00725467">
        <w:t>recruiting</w:t>
      </w:r>
      <w:r w:rsidR="00B025C7" w:rsidRPr="00725467">
        <w:t>,</w:t>
      </w:r>
      <w:r w:rsidRPr="00725467">
        <w:t xml:space="preserve"> hiring, </w:t>
      </w:r>
      <w:r w:rsidR="00B025C7" w:rsidRPr="00725467">
        <w:t xml:space="preserve">and </w:t>
      </w:r>
      <w:r w:rsidRPr="00725467">
        <w:t xml:space="preserve">managing </w:t>
      </w:r>
      <w:r w:rsidR="00957ACE" w:rsidRPr="00725467">
        <w:t xml:space="preserve">personal care </w:t>
      </w:r>
      <w:r w:rsidRPr="00725467">
        <w:t>attendants, effective communication</w:t>
      </w:r>
      <w:r w:rsidR="00B025C7" w:rsidRPr="00725467">
        <w:t>,</w:t>
      </w:r>
      <w:r w:rsidRPr="00725467">
        <w:t xml:space="preserve"> and problem-solving</w:t>
      </w:r>
      <w:r w:rsidR="003A5981">
        <w:t>)</w:t>
      </w:r>
      <w:r w:rsidR="00856F04" w:rsidRPr="00725467">
        <w:t xml:space="preserve"> </w:t>
      </w:r>
    </w:p>
    <w:p w14:paraId="6E983B24" w14:textId="046D04A9" w:rsidR="00B3499D" w:rsidRPr="00725467" w:rsidRDefault="00B3499D" w:rsidP="00367E1D">
      <w:pPr>
        <w:pStyle w:val="ListBullet"/>
      </w:pPr>
      <w:r w:rsidRPr="00725467">
        <w:t xml:space="preserve">Assist in the acquisition of necessary assistive technology services and/or devices. </w:t>
      </w:r>
      <w:r w:rsidR="0011767F" w:rsidRPr="00725467">
        <w:t>This includes advocating for the participant by arranging for services with individuals, businesses</w:t>
      </w:r>
      <w:r w:rsidR="003A5981">
        <w:t>,</w:t>
      </w:r>
      <w:r w:rsidR="0011767F" w:rsidRPr="00725467">
        <w:t xml:space="preserve"> and agencies for the best available service within limited resources.</w:t>
      </w:r>
    </w:p>
    <w:p w14:paraId="6121B9E7" w14:textId="47A1768C" w:rsidR="00B3499D" w:rsidRPr="00725467" w:rsidRDefault="00B3499D" w:rsidP="00367E1D">
      <w:pPr>
        <w:pStyle w:val="ListBullet"/>
      </w:pPr>
      <w:r w:rsidRPr="00725467">
        <w:t xml:space="preserve">Assist the participant in obtaining three (3) cost statement bids for the authorization of </w:t>
      </w:r>
      <w:r w:rsidR="000A0EE8" w:rsidRPr="00725467">
        <w:t>SME, SMS</w:t>
      </w:r>
      <w:r w:rsidR="004D3A45" w:rsidRPr="00725467">
        <w:t>,</w:t>
      </w:r>
      <w:r w:rsidRPr="00725467">
        <w:t xml:space="preserve"> and</w:t>
      </w:r>
      <w:r w:rsidR="00773F23" w:rsidRPr="00725467">
        <w:t xml:space="preserve"> EAA</w:t>
      </w:r>
      <w:r w:rsidR="00856F04" w:rsidRPr="00725467">
        <w:t xml:space="preserve">. </w:t>
      </w:r>
      <w:r w:rsidRPr="00725467">
        <w:t>This includes</w:t>
      </w:r>
      <w:r w:rsidR="00EC4967" w:rsidRPr="00725467">
        <w:t xml:space="preserve">:   </w:t>
      </w:r>
    </w:p>
    <w:p w14:paraId="65E5CD6C" w14:textId="00571D51" w:rsidR="00B3499D" w:rsidRPr="00725467" w:rsidRDefault="00A90374" w:rsidP="00367E1D">
      <w:pPr>
        <w:pStyle w:val="ListBullet2"/>
      </w:pPr>
      <w:r w:rsidRPr="00725467">
        <w:t>A</w:t>
      </w:r>
      <w:r w:rsidR="00B3499D" w:rsidRPr="00725467">
        <w:t xml:space="preserve">ssuring the purchase price includes the cost of training the participant in the operation and maintenance of </w:t>
      </w:r>
      <w:r w:rsidR="00773F23" w:rsidRPr="00725467">
        <w:t>SME</w:t>
      </w:r>
      <w:r w:rsidR="00C40857" w:rsidRPr="00725467">
        <w:t>,</w:t>
      </w:r>
      <w:r w:rsidR="00B3499D" w:rsidRPr="00725467">
        <w:t xml:space="preserve"> the cost of maintenance</w:t>
      </w:r>
      <w:r w:rsidR="006339EF" w:rsidRPr="00725467">
        <w:t>,</w:t>
      </w:r>
      <w:r w:rsidR="00B3499D" w:rsidRPr="00725467">
        <w:t xml:space="preserve"> and </w:t>
      </w:r>
      <w:r w:rsidR="00C40857" w:rsidRPr="00725467">
        <w:t xml:space="preserve">the cost of the </w:t>
      </w:r>
      <w:r w:rsidR="00B3499D" w:rsidRPr="00725467">
        <w:t xml:space="preserve">upkeep of </w:t>
      </w:r>
      <w:r w:rsidR="00C40857" w:rsidRPr="00725467">
        <w:t xml:space="preserve">the </w:t>
      </w:r>
      <w:r w:rsidR="00B3499D" w:rsidRPr="00725467">
        <w:t>equipment</w:t>
      </w:r>
    </w:p>
    <w:p w14:paraId="3C06A7C3" w14:textId="40F521D5" w:rsidR="00B3499D" w:rsidRPr="00725467" w:rsidRDefault="00B3499D" w:rsidP="00367E1D">
      <w:pPr>
        <w:pStyle w:val="ListBullet2"/>
      </w:pPr>
      <w:r w:rsidRPr="00725467">
        <w:t xml:space="preserve">Ensuring that providers of </w:t>
      </w:r>
      <w:r w:rsidR="003A5981">
        <w:t>SME</w:t>
      </w:r>
      <w:r w:rsidRPr="00725467">
        <w:t xml:space="preserve"> and</w:t>
      </w:r>
      <w:r w:rsidR="003A5981">
        <w:t xml:space="preserve"> SMS</w:t>
      </w:r>
      <w:r w:rsidRPr="00725467">
        <w:t xml:space="preserve"> are enrolled with </w:t>
      </w:r>
      <w:r w:rsidR="00C40857" w:rsidRPr="00725467">
        <w:t>MHD</w:t>
      </w:r>
      <w:r w:rsidRPr="00725467">
        <w:t xml:space="preserve"> as a </w:t>
      </w:r>
      <w:r w:rsidR="00957ACE" w:rsidRPr="00725467">
        <w:t>durable medical equipment (</w:t>
      </w:r>
      <w:r w:rsidRPr="00725467">
        <w:t>DME</w:t>
      </w:r>
      <w:r w:rsidR="00957ACE" w:rsidRPr="00725467">
        <w:t>)</w:t>
      </w:r>
      <w:r w:rsidRPr="00725467">
        <w:t xml:space="preserve"> </w:t>
      </w:r>
      <w:r w:rsidR="00165967" w:rsidRPr="00725467">
        <w:t>provider or</w:t>
      </w:r>
      <w:r w:rsidRPr="00725467">
        <w:t xml:space="preserve"> registered and in good standing with the Missouri Secretary of State's office</w:t>
      </w:r>
      <w:r w:rsidR="003A5981">
        <w:t xml:space="preserve">; refer to </w:t>
      </w:r>
      <w:hyperlink r:id="rId16" w:history="1">
        <w:r w:rsidR="003A5981" w:rsidRPr="00073432">
          <w:rPr>
            <w:rStyle w:val="Hyperlink"/>
          </w:rPr>
          <w:t>Provider Enrollmen</w:t>
        </w:r>
        <w:r w:rsidR="003A5981" w:rsidRPr="008321EA">
          <w:rPr>
            <w:rStyle w:val="Hyperlink"/>
          </w:rPr>
          <w:t>t</w:t>
        </w:r>
      </w:hyperlink>
      <w:r w:rsidR="003A5981">
        <w:t xml:space="preserve"> for</w:t>
      </w:r>
      <w:r w:rsidR="007D4B09">
        <w:t xml:space="preserve"> more</w:t>
      </w:r>
      <w:r w:rsidR="003A5981">
        <w:t xml:space="preserve"> information</w:t>
      </w:r>
    </w:p>
    <w:p w14:paraId="2FBB4102" w14:textId="6483BCD3" w:rsidR="00A90374" w:rsidRPr="00725467" w:rsidRDefault="00A90374" w:rsidP="00367E1D">
      <w:pPr>
        <w:pStyle w:val="ListBullet2"/>
      </w:pPr>
      <w:r w:rsidRPr="00725467">
        <w:t>Ensuring providers</w:t>
      </w:r>
      <w:r w:rsidR="00773F23" w:rsidRPr="00725467">
        <w:t xml:space="preserve"> and contractors</w:t>
      </w:r>
      <w:r w:rsidRPr="00725467">
        <w:t xml:space="preserve"> for </w:t>
      </w:r>
      <w:r w:rsidR="00773F23" w:rsidRPr="00725467">
        <w:t>EAA</w:t>
      </w:r>
      <w:r w:rsidRPr="00725467">
        <w:t xml:space="preserve"> are qualified and meet all state and local licensure and or certification requirements. The contractor must have </w:t>
      </w:r>
      <w:r w:rsidR="00C40857" w:rsidRPr="00725467">
        <w:t xml:space="preserve">an </w:t>
      </w:r>
      <w:r w:rsidRPr="00725467">
        <w:t xml:space="preserve">applicable business license and meet all applicable building codes.  </w:t>
      </w:r>
    </w:p>
    <w:p w14:paraId="5C7FC3CB" w14:textId="77777777" w:rsidR="00B3499D" w:rsidRDefault="00B3499D" w:rsidP="00947EDB">
      <w:r w:rsidRPr="00725467">
        <w:t>While FMS provides significant support to the participant, participants are still ultimately the employers of record for the personal care attendant.</w:t>
      </w:r>
    </w:p>
    <w:p w14:paraId="0264E52E" w14:textId="359A6A31" w:rsidR="00E85757" w:rsidRPr="00E85757" w:rsidRDefault="00E85757" w:rsidP="00947EDB">
      <w:r>
        <w:t xml:space="preserve">Refer to </w:t>
      </w:r>
      <w:hyperlink w:anchor="_Section_5:_Procedure" w:history="1">
        <w:r w:rsidRPr="00AB3F22">
          <w:rPr>
            <w:rStyle w:val="Hyperlink"/>
          </w:rPr>
          <w:t>Section 5</w:t>
        </w:r>
      </w:hyperlink>
      <w:r>
        <w:t xml:space="preserve"> </w:t>
      </w:r>
      <w:r w:rsidR="007A614D">
        <w:t>of</w:t>
      </w:r>
      <w:r>
        <w:t xml:space="preserve"> this manual for more information on procedure codes. </w:t>
      </w:r>
    </w:p>
    <w:p w14:paraId="2C8733F7" w14:textId="77777777" w:rsidR="00B3499D" w:rsidRPr="00716031" w:rsidRDefault="00B3499D" w:rsidP="008321EA">
      <w:pPr>
        <w:pStyle w:val="Heading3"/>
      </w:pPr>
      <w:bookmarkStart w:id="13" w:name="_Toc228793565"/>
      <w:r w:rsidRPr="00367E1D">
        <w:t>2.</w:t>
      </w:r>
      <w:r w:rsidR="0011767F" w:rsidRPr="00367E1D">
        <w:t>2</w:t>
      </w:r>
      <w:r w:rsidRPr="00367E1D">
        <w:t xml:space="preserve"> </w:t>
      </w:r>
      <w:r w:rsidR="0011767F" w:rsidRPr="00367E1D">
        <w:t>Service Limitations</w:t>
      </w:r>
      <w:bookmarkEnd w:id="13"/>
    </w:p>
    <w:p w14:paraId="4E56A47A" w14:textId="7D207B1F" w:rsidR="00C4604D" w:rsidRPr="00725467" w:rsidRDefault="00B3499D" w:rsidP="002433EC">
      <w:r w:rsidRPr="00725467">
        <w:rPr>
          <w:rFonts w:cs="Tahoma"/>
          <w:szCs w:val="23"/>
        </w:rPr>
        <w:t>Individuals who reside in a nursing facility, Residential Care Facility (RCF), or Assisted Living Facility (ALF) licensed by DHSS, Division of Regulation and Licensure (DRL)</w:t>
      </w:r>
      <w:r w:rsidR="003A5981">
        <w:rPr>
          <w:rFonts w:cs="Tahoma"/>
          <w:szCs w:val="23"/>
        </w:rPr>
        <w:t>,</w:t>
      </w:r>
      <w:r w:rsidRPr="00725467">
        <w:rPr>
          <w:rFonts w:cs="Tahoma"/>
          <w:szCs w:val="23"/>
        </w:rPr>
        <w:t xml:space="preserve"> are not eligible for ILW services</w:t>
      </w:r>
      <w:r w:rsidR="00853BDF" w:rsidRPr="00725467">
        <w:rPr>
          <w:rFonts w:cs="Tahoma"/>
          <w:szCs w:val="23"/>
        </w:rPr>
        <w:t>.</w:t>
      </w:r>
    </w:p>
    <w:p w14:paraId="44F33BE9" w14:textId="081812F7" w:rsidR="00B3499D" w:rsidRPr="00725467" w:rsidRDefault="00B3499D" w:rsidP="002433EC">
      <w:pPr>
        <w:rPr>
          <w:rFonts w:cs="Tahoma"/>
          <w:szCs w:val="23"/>
        </w:rPr>
      </w:pPr>
      <w:r w:rsidRPr="00725467">
        <w:rPr>
          <w:rFonts w:cs="Tahoma"/>
          <w:szCs w:val="23"/>
        </w:rPr>
        <w:t xml:space="preserve">Participants can only receive services through one </w:t>
      </w:r>
      <w:r w:rsidR="00BE32E7" w:rsidRPr="00725467">
        <w:rPr>
          <w:rFonts w:cs="Tahoma"/>
          <w:szCs w:val="23"/>
        </w:rPr>
        <w:t xml:space="preserve">(1) </w:t>
      </w:r>
      <w:r w:rsidRPr="00725467">
        <w:rPr>
          <w:rFonts w:cs="Tahoma"/>
          <w:szCs w:val="23"/>
        </w:rPr>
        <w:t xml:space="preserve">waiver at a time, regardless of </w:t>
      </w:r>
      <w:r w:rsidR="00BE32E7" w:rsidRPr="00725467">
        <w:rPr>
          <w:rFonts w:cs="Tahoma"/>
          <w:szCs w:val="23"/>
        </w:rPr>
        <w:t xml:space="preserve">which agency </w:t>
      </w:r>
      <w:r w:rsidRPr="00725467">
        <w:rPr>
          <w:rFonts w:cs="Tahoma"/>
          <w:szCs w:val="23"/>
        </w:rPr>
        <w:t>administer</w:t>
      </w:r>
      <w:r w:rsidR="00BE32E7" w:rsidRPr="00725467">
        <w:rPr>
          <w:rFonts w:cs="Tahoma"/>
          <w:szCs w:val="23"/>
        </w:rPr>
        <w:t>s</w:t>
      </w:r>
      <w:r w:rsidRPr="00725467">
        <w:rPr>
          <w:rFonts w:cs="Tahoma"/>
          <w:szCs w:val="23"/>
        </w:rPr>
        <w:t xml:space="preserve"> the waiver</w:t>
      </w:r>
      <w:r w:rsidR="00856F04" w:rsidRPr="00725467">
        <w:rPr>
          <w:rFonts w:cs="Tahoma"/>
          <w:szCs w:val="23"/>
        </w:rPr>
        <w:t xml:space="preserve">. </w:t>
      </w:r>
      <w:r w:rsidRPr="00725467">
        <w:rPr>
          <w:rFonts w:cs="Tahoma"/>
          <w:szCs w:val="23"/>
        </w:rPr>
        <w:t>A</w:t>
      </w:r>
      <w:r w:rsidR="00A33E3E" w:rsidRPr="00725467">
        <w:rPr>
          <w:rFonts w:cs="Tahoma"/>
          <w:szCs w:val="23"/>
        </w:rPr>
        <w:t xml:space="preserve">s a condition of enrollment into </w:t>
      </w:r>
      <w:r w:rsidR="000A0EE8" w:rsidRPr="00725467">
        <w:rPr>
          <w:rFonts w:cs="Tahoma"/>
          <w:szCs w:val="23"/>
        </w:rPr>
        <w:t>ILW, if</w:t>
      </w:r>
      <w:r w:rsidRPr="00725467">
        <w:rPr>
          <w:rFonts w:cs="Tahoma"/>
          <w:szCs w:val="23"/>
        </w:rPr>
        <w:t xml:space="preserve"> the participant is receiving services </w:t>
      </w:r>
      <w:r w:rsidR="000517AE" w:rsidRPr="00725467">
        <w:rPr>
          <w:rFonts w:cs="Tahoma"/>
          <w:szCs w:val="23"/>
        </w:rPr>
        <w:t>throu</w:t>
      </w:r>
      <w:r w:rsidR="0017110B" w:rsidRPr="00725467">
        <w:rPr>
          <w:rFonts w:cs="Tahoma"/>
          <w:szCs w:val="23"/>
        </w:rPr>
        <w:t>g</w:t>
      </w:r>
      <w:r w:rsidR="000517AE" w:rsidRPr="00725467">
        <w:rPr>
          <w:rFonts w:cs="Tahoma"/>
          <w:szCs w:val="23"/>
        </w:rPr>
        <w:t xml:space="preserve">h </w:t>
      </w:r>
      <w:r w:rsidRPr="00725467">
        <w:rPr>
          <w:rFonts w:cs="Tahoma"/>
          <w:szCs w:val="23"/>
        </w:rPr>
        <w:t xml:space="preserve">another waiver, the participant must </w:t>
      </w:r>
      <w:r w:rsidR="00A33E3E" w:rsidRPr="00725467">
        <w:rPr>
          <w:rFonts w:cs="Tahoma"/>
          <w:szCs w:val="23"/>
        </w:rPr>
        <w:t xml:space="preserve">be discharged from the other </w:t>
      </w:r>
      <w:r w:rsidRPr="00725467">
        <w:rPr>
          <w:rFonts w:cs="Tahoma"/>
          <w:szCs w:val="23"/>
        </w:rPr>
        <w:t>waiver.</w:t>
      </w:r>
    </w:p>
    <w:p w14:paraId="28F5B94C" w14:textId="664A00B0" w:rsidR="003A5981" w:rsidRPr="00725467" w:rsidRDefault="00494CE9" w:rsidP="002433EC">
      <w:pPr>
        <w:rPr>
          <w:rFonts w:cs="Tahoma"/>
          <w:szCs w:val="23"/>
        </w:rPr>
      </w:pPr>
      <w:r w:rsidRPr="00725467">
        <w:rPr>
          <w:rFonts w:cs="Tahoma"/>
          <w:szCs w:val="23"/>
        </w:rPr>
        <w:t xml:space="preserve">Each month, participants must exhaust the current </w:t>
      </w:r>
      <w:r w:rsidR="00135E8D" w:rsidRPr="00725467">
        <w:rPr>
          <w:rFonts w:cs="Tahoma"/>
          <w:szCs w:val="23"/>
        </w:rPr>
        <w:t xml:space="preserve">monthly </w:t>
      </w:r>
      <w:r w:rsidRPr="00725467">
        <w:rPr>
          <w:rFonts w:cs="Tahoma"/>
          <w:szCs w:val="23"/>
        </w:rPr>
        <w:t xml:space="preserve">maximum units of </w:t>
      </w:r>
      <w:r w:rsidR="00A763AB" w:rsidRPr="00725467">
        <w:rPr>
          <w:rFonts w:cs="Tahoma"/>
          <w:szCs w:val="23"/>
        </w:rPr>
        <w:t>State Plan</w:t>
      </w:r>
      <w:r w:rsidR="00B33D9D" w:rsidRPr="00725467">
        <w:rPr>
          <w:rFonts w:cs="Tahoma"/>
          <w:szCs w:val="23"/>
        </w:rPr>
        <w:t xml:space="preserve"> </w:t>
      </w:r>
      <w:r w:rsidR="00A763AB" w:rsidRPr="00725467">
        <w:rPr>
          <w:rFonts w:cs="Tahoma"/>
          <w:szCs w:val="23"/>
        </w:rPr>
        <w:t>CDS</w:t>
      </w:r>
      <w:r w:rsidRPr="00725467">
        <w:rPr>
          <w:rFonts w:cs="Tahoma"/>
          <w:szCs w:val="23"/>
        </w:rPr>
        <w:t xml:space="preserve"> services prior to receipt of waiver </w:t>
      </w:r>
      <w:r w:rsidR="00A763AB" w:rsidRPr="00725467">
        <w:rPr>
          <w:rFonts w:cs="Tahoma"/>
          <w:szCs w:val="23"/>
        </w:rPr>
        <w:t xml:space="preserve">CDS </w:t>
      </w:r>
      <w:r w:rsidRPr="00725467">
        <w:rPr>
          <w:rFonts w:cs="Tahoma"/>
          <w:szCs w:val="23"/>
        </w:rPr>
        <w:t>services.</w:t>
      </w:r>
      <w:r w:rsidR="00497EB0" w:rsidRPr="00725467">
        <w:rPr>
          <w:rFonts w:cs="Tahoma"/>
          <w:szCs w:val="23"/>
        </w:rPr>
        <w:t xml:space="preserve"> </w:t>
      </w:r>
    </w:p>
    <w:p w14:paraId="523C62D0" w14:textId="0B78D967" w:rsidR="00022F01" w:rsidRPr="00725467" w:rsidRDefault="00B3499D" w:rsidP="002433EC">
      <w:pPr>
        <w:rPr>
          <w:rFonts w:cs="Tahoma"/>
          <w:szCs w:val="23"/>
        </w:rPr>
      </w:pPr>
      <w:r w:rsidRPr="00725467">
        <w:rPr>
          <w:rFonts w:cs="Tahoma"/>
          <w:szCs w:val="23"/>
        </w:rPr>
        <w:t>Only one</w:t>
      </w:r>
      <w:r w:rsidR="00856F04" w:rsidRPr="00725467">
        <w:rPr>
          <w:rFonts w:cs="Tahoma"/>
          <w:szCs w:val="23"/>
        </w:rPr>
        <w:t xml:space="preserve"> (1)</w:t>
      </w:r>
      <w:r w:rsidRPr="00725467">
        <w:rPr>
          <w:rFonts w:cs="Tahoma"/>
          <w:szCs w:val="23"/>
        </w:rPr>
        <w:t xml:space="preserve"> unit of FMS </w:t>
      </w:r>
      <w:r w:rsidR="00264D13" w:rsidRPr="00725467">
        <w:rPr>
          <w:rFonts w:cs="Tahoma"/>
          <w:szCs w:val="23"/>
        </w:rPr>
        <w:t>is</w:t>
      </w:r>
      <w:r w:rsidRPr="00725467">
        <w:rPr>
          <w:rFonts w:cs="Tahoma"/>
          <w:szCs w:val="23"/>
        </w:rPr>
        <w:t xml:space="preserve"> </w:t>
      </w:r>
      <w:r w:rsidR="00751554" w:rsidRPr="00725467">
        <w:rPr>
          <w:rFonts w:cs="Tahoma"/>
          <w:szCs w:val="23"/>
        </w:rPr>
        <w:t xml:space="preserve">to </w:t>
      </w:r>
      <w:r w:rsidRPr="00725467">
        <w:rPr>
          <w:rFonts w:cs="Tahoma"/>
          <w:szCs w:val="23"/>
        </w:rPr>
        <w:t xml:space="preserve">be authorized per </w:t>
      </w:r>
      <w:r w:rsidR="003734C5" w:rsidRPr="00725467">
        <w:rPr>
          <w:rFonts w:cs="Tahoma"/>
          <w:szCs w:val="23"/>
        </w:rPr>
        <w:t xml:space="preserve">waiver participant </w:t>
      </w:r>
      <w:r w:rsidRPr="00725467">
        <w:rPr>
          <w:rFonts w:cs="Tahoma"/>
          <w:szCs w:val="23"/>
        </w:rPr>
        <w:t>per month</w:t>
      </w:r>
      <w:r w:rsidR="00856F04" w:rsidRPr="00725467">
        <w:rPr>
          <w:rFonts w:cs="Tahoma"/>
          <w:szCs w:val="23"/>
        </w:rPr>
        <w:t xml:space="preserve">. </w:t>
      </w:r>
      <w:r w:rsidRPr="00725467">
        <w:rPr>
          <w:rFonts w:cs="Tahoma"/>
          <w:szCs w:val="23"/>
        </w:rPr>
        <w:t xml:space="preserve">FMS shall not be billed unless at least one </w:t>
      </w:r>
      <w:r w:rsidR="00856F04" w:rsidRPr="00725467">
        <w:rPr>
          <w:rFonts w:cs="Tahoma"/>
          <w:szCs w:val="23"/>
        </w:rPr>
        <w:t xml:space="preserve">(1) </w:t>
      </w:r>
      <w:r w:rsidRPr="00725467">
        <w:rPr>
          <w:rFonts w:cs="Tahoma"/>
          <w:szCs w:val="23"/>
        </w:rPr>
        <w:t>unit of ILW CDS has been delivered</w:t>
      </w:r>
      <w:r w:rsidR="00856F04" w:rsidRPr="00725467">
        <w:rPr>
          <w:rFonts w:cs="Tahoma"/>
          <w:szCs w:val="23"/>
        </w:rPr>
        <w:t>.</w:t>
      </w:r>
    </w:p>
    <w:p w14:paraId="424E25C6" w14:textId="58342353" w:rsidR="00B3499D" w:rsidRDefault="00022F01" w:rsidP="002433EC">
      <w:pPr>
        <w:rPr>
          <w:rFonts w:cs="Tahoma"/>
          <w:szCs w:val="23"/>
        </w:rPr>
      </w:pPr>
      <w:r w:rsidRPr="00725467">
        <w:rPr>
          <w:rFonts w:cs="Tahoma"/>
          <w:szCs w:val="23"/>
        </w:rPr>
        <w:t xml:space="preserve">For all other CDS </w:t>
      </w:r>
      <w:r w:rsidR="007F4523" w:rsidRPr="00725467">
        <w:rPr>
          <w:rFonts w:cs="Tahoma"/>
          <w:szCs w:val="23"/>
        </w:rPr>
        <w:t>s</w:t>
      </w:r>
      <w:r w:rsidRPr="00725467">
        <w:rPr>
          <w:rFonts w:cs="Tahoma"/>
          <w:szCs w:val="23"/>
        </w:rPr>
        <w:t>ervice limitations, refer to the</w:t>
      </w:r>
      <w:r>
        <w:rPr>
          <w:rFonts w:cs="Tahoma"/>
          <w:szCs w:val="23"/>
        </w:rPr>
        <w:t xml:space="preserve"> </w:t>
      </w:r>
      <w:hyperlink r:id="rId17" w:history="1">
        <w:r w:rsidRPr="008321EA">
          <w:rPr>
            <w:rStyle w:val="Hyperlink"/>
          </w:rPr>
          <w:t xml:space="preserve">Personal Care </w:t>
        </w:r>
        <w:r w:rsidR="003A5981" w:rsidRPr="008321EA">
          <w:rPr>
            <w:rStyle w:val="Hyperlink"/>
          </w:rPr>
          <w:t xml:space="preserve">Provider </w:t>
        </w:r>
        <w:r w:rsidRPr="008321EA">
          <w:rPr>
            <w:rStyle w:val="Hyperlink"/>
          </w:rPr>
          <w:t>Manual</w:t>
        </w:r>
      </w:hyperlink>
      <w:r>
        <w:rPr>
          <w:rFonts w:cs="Tahoma"/>
          <w:szCs w:val="23"/>
        </w:rPr>
        <w:t xml:space="preserve">. </w:t>
      </w:r>
    </w:p>
    <w:p w14:paraId="4B0BE563" w14:textId="00917EEB" w:rsidR="00B3499D" w:rsidRPr="008321EA" w:rsidRDefault="00B3499D" w:rsidP="008321EA">
      <w:pPr>
        <w:pStyle w:val="Heading3"/>
      </w:pPr>
      <w:bookmarkStart w:id="14" w:name="_2.3_Provider_Conditions"/>
      <w:bookmarkStart w:id="15" w:name="_Toc228793566"/>
      <w:bookmarkStart w:id="16" w:name="_Hlk188883191"/>
      <w:bookmarkStart w:id="17" w:name="_Hlk188883483"/>
      <w:bookmarkEnd w:id="14"/>
      <w:r w:rsidRPr="008321EA">
        <w:t>2.</w:t>
      </w:r>
      <w:r w:rsidR="0011767F" w:rsidRPr="008321EA">
        <w:t>3</w:t>
      </w:r>
      <w:r w:rsidR="00677B0C" w:rsidRPr="008321EA">
        <w:t xml:space="preserve"> </w:t>
      </w:r>
      <w:r w:rsidR="00CD6D83" w:rsidRPr="008321EA">
        <w:t>Provider Conditions of Participation</w:t>
      </w:r>
      <w:bookmarkEnd w:id="15"/>
    </w:p>
    <w:p w14:paraId="307E996C" w14:textId="7FF9DC8C" w:rsidR="003633A9" w:rsidRPr="00725467" w:rsidRDefault="003633A9" w:rsidP="00947EDB">
      <w:bookmarkStart w:id="18" w:name="_Hlk189035441"/>
      <w:bookmarkStart w:id="19" w:name="_Hlk188861556"/>
      <w:r w:rsidRPr="00725467">
        <w:t xml:space="preserve">To enroll as an </w:t>
      </w:r>
      <w:r w:rsidR="007D4B09">
        <w:t>ILW</w:t>
      </w:r>
      <w:r w:rsidRPr="00725467">
        <w:t xml:space="preserve"> provider, the provider must satisfy the following requirements:</w:t>
      </w:r>
    </w:p>
    <w:p w14:paraId="03D09F34" w14:textId="3FE89736" w:rsidR="003633A9" w:rsidRPr="00725467" w:rsidRDefault="003633A9" w:rsidP="00367E1D">
      <w:pPr>
        <w:pStyle w:val="ListBullet"/>
      </w:pPr>
      <w:r w:rsidRPr="00725467">
        <w:t xml:space="preserve">Be enrolled as a MO HealthNet Consumer Directed Services (CDS) Personal Care (PC) provider and have a valid MO HealthNet </w:t>
      </w:r>
      <w:r w:rsidR="003A5981">
        <w:t>Participation</w:t>
      </w:r>
      <w:r w:rsidRPr="00725467">
        <w:t xml:space="preserve"> Agreement in effect with the Department of Social Services (DSS), Missouri Medicaid Audit and Compliance </w:t>
      </w:r>
      <w:r w:rsidR="00B2533F" w:rsidRPr="00725467">
        <w:t xml:space="preserve">Unit </w:t>
      </w:r>
      <w:r w:rsidRPr="00725467">
        <w:t>(MMAC) pursuant to federal and state laws and regulations</w:t>
      </w:r>
    </w:p>
    <w:p w14:paraId="75782EA2" w14:textId="76F223E5" w:rsidR="003633A9" w:rsidRPr="003633A9" w:rsidRDefault="003633A9" w:rsidP="00367E1D">
      <w:pPr>
        <w:pStyle w:val="ListBullet"/>
      </w:pPr>
      <w:r w:rsidRPr="003633A9">
        <w:t xml:space="preserve">Complete a </w:t>
      </w:r>
      <w:hyperlink r:id="rId18" w:history="1">
        <w:r w:rsidRPr="008321EA">
          <w:rPr>
            <w:rStyle w:val="Hyperlink"/>
          </w:rPr>
          <w:t>MO</w:t>
        </w:r>
        <w:r w:rsidRPr="00367E1D">
          <w:rPr>
            <w:rStyle w:val="Hyperlink"/>
            <w:szCs w:val="20"/>
          </w:rPr>
          <w:t xml:space="preserve"> HealthNet Financial Management Services Addendum</w:t>
        </w:r>
      </w:hyperlink>
      <w:r w:rsidRPr="003633A9">
        <w:t xml:space="preserve"> and submit it to MMAC by fax to (573) 634-3105 or email to </w:t>
      </w:r>
      <w:hyperlink r:id="rId19" w:history="1">
        <w:r w:rsidRPr="00367E1D">
          <w:rPr>
            <w:rStyle w:val="Hyperlink"/>
            <w:szCs w:val="20"/>
          </w:rPr>
          <w:t>mmac.ihscontracts@dss.mo.gov</w:t>
        </w:r>
      </w:hyperlink>
      <w:r w:rsidRPr="003633A9">
        <w:t xml:space="preserve"> </w:t>
      </w:r>
    </w:p>
    <w:p w14:paraId="3DD61CD6" w14:textId="235B5578" w:rsidR="003A5981" w:rsidRPr="00725467" w:rsidRDefault="003A5981" w:rsidP="00947EDB">
      <w:pPr>
        <w:rPr>
          <w:u w:val="single"/>
        </w:rPr>
      </w:pPr>
      <w:r w:rsidRPr="000B0AF5">
        <w:t xml:space="preserve">Refer to </w:t>
      </w:r>
      <w:hyperlink r:id="rId20" w:history="1">
        <w:r w:rsidRPr="00073432">
          <w:rPr>
            <w:rStyle w:val="Hyperlink"/>
          </w:rPr>
          <w:t>Provider Enrollment</w:t>
        </w:r>
      </w:hyperlink>
      <w:r w:rsidRPr="000B0AF5">
        <w:t xml:space="preserve"> for more information</w:t>
      </w:r>
      <w:r>
        <w:t xml:space="preserve"> on enrolling as a MO HealthNet provider</w:t>
      </w:r>
      <w:r w:rsidRPr="000B0AF5">
        <w:t>.</w:t>
      </w:r>
    </w:p>
    <w:bookmarkEnd w:id="18"/>
    <w:p w14:paraId="5FDDE2F0" w14:textId="2850BAC9" w:rsidR="00B85E68" w:rsidRDefault="00B85E68" w:rsidP="00947EDB">
      <w:r w:rsidRPr="00725467">
        <w:t xml:space="preserve">Additional information on </w:t>
      </w:r>
      <w:r w:rsidR="00E95BA9" w:rsidRPr="00725467">
        <w:t>provider’s</w:t>
      </w:r>
      <w:r w:rsidRPr="00725467">
        <w:t xml:space="preserve"> conditions of participation can be found in the </w:t>
      </w:r>
      <w:hyperlink r:id="rId21" w:history="1">
        <w:r w:rsidRPr="00073432">
          <w:rPr>
            <w:rStyle w:val="Hyperlink"/>
          </w:rPr>
          <w:t>General Sections Manual</w:t>
        </w:r>
      </w:hyperlink>
      <w:r w:rsidRPr="00073432">
        <w:rPr>
          <w:rStyle w:val="Hyperlink"/>
        </w:rPr>
        <w:t>.</w:t>
      </w:r>
      <w:r>
        <w:t xml:space="preserve"> Refer to section 2.10 of the </w:t>
      </w:r>
      <w:hyperlink r:id="rId22" w:history="1">
        <w:r w:rsidRPr="00073432">
          <w:rPr>
            <w:rStyle w:val="Hyperlink"/>
          </w:rPr>
          <w:t>Personal Care Manua</w:t>
        </w:r>
        <w:r w:rsidRPr="00367E1D">
          <w:rPr>
            <w:rStyle w:val="Hyperlink"/>
          </w:rPr>
          <w:t>l</w:t>
        </w:r>
        <w:r w:rsidRPr="00DC59FA">
          <w:rPr>
            <w:rStyle w:val="Hyperlink"/>
            <w:rFonts w:cs="Tahoma"/>
            <w:color w:val="auto"/>
            <w:u w:val="none"/>
          </w:rPr>
          <w:t xml:space="preserve"> </w:t>
        </w:r>
      </w:hyperlink>
      <w:r>
        <w:t>for CDS personnel requirements</w:t>
      </w:r>
      <w:bookmarkEnd w:id="16"/>
      <w:r>
        <w:t xml:space="preserve">. </w:t>
      </w:r>
    </w:p>
    <w:p w14:paraId="5EBAAC1E" w14:textId="77777777" w:rsidR="008321EA" w:rsidRDefault="008321EA" w:rsidP="00947EDB"/>
    <w:p w14:paraId="189D6CE6" w14:textId="0130D1AB" w:rsidR="005D5E73" w:rsidRPr="00367E1D" w:rsidRDefault="00412EA0" w:rsidP="003F5827">
      <w:pPr>
        <w:pStyle w:val="Heading4"/>
        <w:rPr>
          <w:rFonts w:eastAsiaTheme="minorHAnsi"/>
        </w:rPr>
      </w:pPr>
      <w:bookmarkStart w:id="20" w:name="_Toc228793567"/>
      <w:bookmarkEnd w:id="17"/>
      <w:bookmarkEnd w:id="19"/>
      <w:r w:rsidRPr="00367E1D">
        <w:rPr>
          <w:rFonts w:eastAsiaTheme="minorHAnsi"/>
        </w:rPr>
        <w:t>Electronic Visit Verification</w:t>
      </w:r>
      <w:bookmarkEnd w:id="20"/>
    </w:p>
    <w:p w14:paraId="1D48418D" w14:textId="523E9948" w:rsidR="00B3269B" w:rsidRPr="00B3269B" w:rsidRDefault="00B3499D" w:rsidP="002433EC">
      <w:r w:rsidRPr="00725467">
        <w:t xml:space="preserve">In accordance with the </w:t>
      </w:r>
      <w:r w:rsidR="00C14470" w:rsidRPr="00725467">
        <w:t>21st Century CURES Act</w:t>
      </w:r>
      <w:r w:rsidRPr="00725467">
        <w:t xml:space="preserve"> and </w:t>
      </w:r>
      <w:hyperlink r:id="rId23" w:history="1">
        <w:r w:rsidRPr="00073432">
          <w:rPr>
            <w:rStyle w:val="Hyperlink"/>
          </w:rPr>
          <w:t>13 CSR 70-3.320</w:t>
        </w:r>
      </w:hyperlink>
      <w:r w:rsidRPr="005D5E73">
        <w:t xml:space="preserve">, </w:t>
      </w:r>
      <w:r w:rsidRPr="00725467">
        <w:t xml:space="preserve">providers are required to utilize an </w:t>
      </w:r>
      <w:r w:rsidR="00354898" w:rsidRPr="00725467">
        <w:t>electronic visit verification (</w:t>
      </w:r>
      <w:r w:rsidRPr="00725467">
        <w:t>EVV</w:t>
      </w:r>
      <w:r w:rsidR="00354898" w:rsidRPr="00725467">
        <w:t>)</w:t>
      </w:r>
      <w:r w:rsidRPr="00725467">
        <w:t xml:space="preserve"> system to document services rendered related to the delivery of in-home services for all Medicaid-funded agency and </w:t>
      </w:r>
      <w:r w:rsidR="00354898" w:rsidRPr="00725467">
        <w:t>consumer</w:t>
      </w:r>
      <w:r w:rsidRPr="00725467">
        <w:t xml:space="preserve">-directed </w:t>
      </w:r>
      <w:r w:rsidR="00354898" w:rsidRPr="00725467">
        <w:t xml:space="preserve">(CDS) </w:t>
      </w:r>
      <w:r w:rsidR="00B57929">
        <w:t>PC</w:t>
      </w:r>
      <w:r w:rsidRPr="00725467">
        <w:t xml:space="preserve"> services</w:t>
      </w:r>
      <w:r w:rsidR="00856F04" w:rsidRPr="00725467">
        <w:t>.</w:t>
      </w:r>
      <w:r w:rsidR="00E02161" w:rsidRPr="00725467">
        <w:t xml:space="preserve"> </w:t>
      </w:r>
      <w:r w:rsidR="00B3269B">
        <w:rPr>
          <w:rFonts w:cs="Tahoma"/>
          <w:szCs w:val="23"/>
        </w:rPr>
        <w:t xml:space="preserve">Refer to the </w:t>
      </w:r>
      <w:hyperlink r:id="rId24" w:history="1">
        <w:r w:rsidR="00B3269B" w:rsidRPr="00947EDB">
          <w:rPr>
            <w:rStyle w:val="Hyperlink"/>
          </w:rPr>
          <w:t xml:space="preserve">Personal Care </w:t>
        </w:r>
        <w:r w:rsidR="00B57929" w:rsidRPr="00947EDB">
          <w:rPr>
            <w:rStyle w:val="Hyperlink"/>
          </w:rPr>
          <w:t xml:space="preserve">Provider </w:t>
        </w:r>
        <w:r w:rsidR="00B3269B" w:rsidRPr="00947EDB">
          <w:rPr>
            <w:rStyle w:val="Hyperlink"/>
          </w:rPr>
          <w:t>Manual</w:t>
        </w:r>
        <w:r w:rsidR="00B3269B" w:rsidRPr="00DC59FA">
          <w:rPr>
            <w:rStyle w:val="Hyperlink"/>
            <w:rFonts w:cs="Tahoma"/>
            <w:color w:val="auto"/>
            <w:u w:val="none"/>
          </w:rPr>
          <w:t xml:space="preserve"> </w:t>
        </w:r>
      </w:hyperlink>
      <w:r w:rsidR="00B3269B">
        <w:rPr>
          <w:rFonts w:cs="Tahoma"/>
          <w:szCs w:val="23"/>
        </w:rPr>
        <w:t xml:space="preserve">and the </w:t>
      </w:r>
      <w:hyperlink r:id="rId25" w:history="1">
        <w:r w:rsidR="00B3269B" w:rsidRPr="00947EDB">
          <w:rPr>
            <w:rStyle w:val="Hyperlink"/>
          </w:rPr>
          <w:t>Electronic Visit Verification</w:t>
        </w:r>
        <w:r w:rsidR="00B3269B">
          <w:rPr>
            <w:rStyle w:val="Hyperlink"/>
            <w:rFonts w:cs="Tahoma"/>
            <w:color w:val="F79646" w:themeColor="accent6"/>
            <w:szCs w:val="23"/>
          </w:rPr>
          <w:t xml:space="preserve"> </w:t>
        </w:r>
      </w:hyperlink>
      <w:r w:rsidR="00B3269B">
        <w:rPr>
          <w:rFonts w:cs="Tahoma"/>
          <w:szCs w:val="23"/>
        </w:rPr>
        <w:t xml:space="preserve">webpage for additional information regarding EVV requirements. </w:t>
      </w:r>
    </w:p>
    <w:p w14:paraId="4A13ED39" w14:textId="6C37DAE5" w:rsidR="00B3499D" w:rsidRPr="00367E1D" w:rsidRDefault="00B3499D" w:rsidP="008321EA">
      <w:pPr>
        <w:pStyle w:val="Heading3"/>
        <w:rPr>
          <w:bCs/>
        </w:rPr>
      </w:pPr>
      <w:bookmarkStart w:id="21" w:name="_Toc228793568"/>
      <w:r w:rsidRPr="00367E1D">
        <w:t>2.</w:t>
      </w:r>
      <w:r w:rsidR="00B5740A" w:rsidRPr="00367E1D">
        <w:t>5</w:t>
      </w:r>
      <w:r w:rsidR="00677B0C" w:rsidRPr="00367E1D">
        <w:t xml:space="preserve"> </w:t>
      </w:r>
      <w:r w:rsidR="00CD6D83" w:rsidRPr="00367E1D">
        <w:t>Participant Eligibility</w:t>
      </w:r>
      <w:bookmarkEnd w:id="21"/>
    </w:p>
    <w:p w14:paraId="79807C92" w14:textId="28991380" w:rsidR="00B3499D" w:rsidRPr="00CD6D83" w:rsidRDefault="00B3499D" w:rsidP="00947EDB">
      <w:r w:rsidRPr="00CD6D83">
        <w:t>Participant eligibility for ILW services requires current MO HealthNet eligibility</w:t>
      </w:r>
      <w:r w:rsidR="00856F04">
        <w:t xml:space="preserve">. </w:t>
      </w:r>
      <w:r w:rsidRPr="00CD6D83">
        <w:t>In addition to being MO HealthNet</w:t>
      </w:r>
      <w:r w:rsidR="009A3779">
        <w:t>-</w:t>
      </w:r>
      <w:r w:rsidRPr="00CD6D83">
        <w:t>eligible, the participant must</w:t>
      </w:r>
      <w:r w:rsidR="00086655">
        <w:t xml:space="preserve"> </w:t>
      </w:r>
      <w:r w:rsidR="00086655" w:rsidRPr="00CD6D83">
        <w:t>also</w:t>
      </w:r>
      <w:r w:rsidR="00EC4967">
        <w:t xml:space="preserve">:   </w:t>
      </w:r>
    </w:p>
    <w:p w14:paraId="583ECC6E" w14:textId="1656C215" w:rsidR="00677B0C" w:rsidRDefault="00B3499D" w:rsidP="00367E1D">
      <w:pPr>
        <w:pStyle w:val="ListBullet"/>
      </w:pPr>
      <w:r w:rsidRPr="00CD6D83">
        <w:t>Be bet</w:t>
      </w:r>
      <w:r w:rsidR="00CD6D83" w:rsidRPr="00CD6D83">
        <w:t xml:space="preserve">ween 18 </w:t>
      </w:r>
      <w:r w:rsidR="00086655">
        <w:t>and</w:t>
      </w:r>
      <w:r w:rsidR="00086655" w:rsidRPr="00CD6D83">
        <w:t xml:space="preserve"> </w:t>
      </w:r>
      <w:r w:rsidR="00CD6D83" w:rsidRPr="00CD6D83">
        <w:t>64 years of age</w:t>
      </w:r>
      <w:r w:rsidR="00CD6D83">
        <w:t xml:space="preserve"> (</w:t>
      </w:r>
      <w:r w:rsidR="00B57929">
        <w:t>When p</w:t>
      </w:r>
      <w:r w:rsidR="009A3779">
        <w:t>articipants</w:t>
      </w:r>
      <w:r w:rsidR="009A3779" w:rsidRPr="00CD6D83">
        <w:t xml:space="preserve"> </w:t>
      </w:r>
      <w:r w:rsidRPr="00CD6D83">
        <w:t>enrolled in ILW turn 65</w:t>
      </w:r>
      <w:r w:rsidR="003F5827">
        <w:t>,</w:t>
      </w:r>
      <w:r w:rsidRPr="00CD6D83">
        <w:t xml:space="preserve"> </w:t>
      </w:r>
      <w:r w:rsidR="00B57929">
        <w:t xml:space="preserve">they </w:t>
      </w:r>
      <w:r w:rsidRPr="00CD6D83">
        <w:t xml:space="preserve">may choose to </w:t>
      </w:r>
      <w:r w:rsidR="009A3779">
        <w:t>remain</w:t>
      </w:r>
      <w:r w:rsidRPr="00CD6D83">
        <w:t xml:space="preserve"> in ILW for as long as they maintain the ability and the desire to self-direct their </w:t>
      </w:r>
      <w:r w:rsidR="00B57929">
        <w:t>PC</w:t>
      </w:r>
      <w:r w:rsidRPr="00CD6D83">
        <w:t xml:space="preserve"> services</w:t>
      </w:r>
      <w:r w:rsidR="009A3779">
        <w:t>.</w:t>
      </w:r>
      <w:r w:rsidR="00CD6D83">
        <w:t>)</w:t>
      </w:r>
    </w:p>
    <w:p w14:paraId="66481B4A" w14:textId="2215C551" w:rsidR="00B3499D" w:rsidRPr="00CD6D83" w:rsidRDefault="00393215" w:rsidP="00367E1D">
      <w:pPr>
        <w:pStyle w:val="ListBullet"/>
      </w:pPr>
      <w:r>
        <w:t>Have a physical disability</w:t>
      </w:r>
      <w:r w:rsidR="00B57929">
        <w:t xml:space="preserve">, defined as the </w:t>
      </w:r>
      <w:r w:rsidR="00B3499D" w:rsidRPr="00CD6D83">
        <w:t xml:space="preserve">loss of, or loss of use of, all or part of the neurological, </w:t>
      </w:r>
      <w:r w:rsidR="00EE120C" w:rsidRPr="00CD6D83">
        <w:t>muscular,</w:t>
      </w:r>
      <w:r w:rsidR="00B3499D" w:rsidRPr="00CD6D83">
        <w:t xml:space="preserve"> or skeletal functions of the body to the extent that the person requires the assistance of another pers</w:t>
      </w:r>
      <w:r w:rsidR="00CD6D83">
        <w:t>on to accomplish routine tasks</w:t>
      </w:r>
    </w:p>
    <w:p w14:paraId="774BDC91" w14:textId="3B09FE2F" w:rsidR="00B3499D" w:rsidRPr="00CD6D83" w:rsidRDefault="00B3499D" w:rsidP="00367E1D">
      <w:pPr>
        <w:pStyle w:val="ListBullet"/>
      </w:pPr>
      <w:r w:rsidRPr="00CD6D83">
        <w:t>Be able to self-direct their own services/care</w:t>
      </w:r>
      <w:r w:rsidR="000F7D29">
        <w:t xml:space="preserve"> (consumer-directed)</w:t>
      </w:r>
    </w:p>
    <w:p w14:paraId="34599C17" w14:textId="184204BD" w:rsidR="00B3499D" w:rsidRPr="00CD6D83" w:rsidRDefault="00086655" w:rsidP="00367E1D">
      <w:pPr>
        <w:pStyle w:val="ListBullet"/>
      </w:pPr>
      <w:r>
        <w:t>Be c</w:t>
      </w:r>
      <w:r w:rsidR="00B3499D" w:rsidRPr="00CD6D83">
        <w:t>apable of living independently (in a non-institutional or un</w:t>
      </w:r>
      <w:r w:rsidR="00CD6D83">
        <w:t>supervised residential setting)</w:t>
      </w:r>
      <w:r w:rsidR="000F7D29">
        <w:t xml:space="preserve"> </w:t>
      </w:r>
      <w:r w:rsidR="000F7D29" w:rsidRPr="00CD6D83">
        <w:t xml:space="preserve">with CDS </w:t>
      </w:r>
      <w:r w:rsidR="000F7D29">
        <w:t>in place</w:t>
      </w:r>
    </w:p>
    <w:p w14:paraId="6CC5EA1B" w14:textId="7950FB1A" w:rsidR="00B3499D" w:rsidRPr="00CD6D83" w:rsidRDefault="00B3499D" w:rsidP="00367E1D">
      <w:pPr>
        <w:pStyle w:val="ListBullet"/>
      </w:pPr>
      <w:r w:rsidRPr="00CD6D83">
        <w:t xml:space="preserve">Have a </w:t>
      </w:r>
      <w:r w:rsidR="005463EA" w:rsidRPr="00CD6D83">
        <w:t>federally</w:t>
      </w:r>
      <w:r w:rsidR="005463EA">
        <w:t xml:space="preserve"> matched</w:t>
      </w:r>
      <w:r w:rsidRPr="00CD6D83">
        <w:t xml:space="preserve"> </w:t>
      </w:r>
      <w:r w:rsidR="00C14470" w:rsidRPr="00C14470">
        <w:t>Medica</w:t>
      </w:r>
      <w:r w:rsidR="00B57929">
        <w:t>id</w:t>
      </w:r>
      <w:r w:rsidR="00C14470" w:rsidRPr="00C14470">
        <w:t xml:space="preserve"> Eligibility (ME)</w:t>
      </w:r>
      <w:r w:rsidRPr="00CD6D83">
        <w:t xml:space="preserve"> code (</w:t>
      </w:r>
      <w:r w:rsidR="00006332">
        <w:t>Refer to</w:t>
      </w:r>
      <w:r w:rsidR="00006332" w:rsidRPr="00CD6D83">
        <w:t xml:space="preserve"> </w:t>
      </w:r>
      <w:r w:rsidR="00F87098">
        <w:t xml:space="preserve">the </w:t>
      </w:r>
      <w:hyperlink r:id="rId26" w:history="1">
        <w:r w:rsidR="00F87098" w:rsidRPr="00073432">
          <w:rPr>
            <w:rStyle w:val="Hyperlink"/>
          </w:rPr>
          <w:t>General Sections Manual</w:t>
        </w:r>
      </w:hyperlink>
      <w:r w:rsidRPr="00CD6D83">
        <w:t xml:space="preserve"> </w:t>
      </w:r>
      <w:r w:rsidR="00CD6D83">
        <w:t xml:space="preserve">for </w:t>
      </w:r>
      <w:r w:rsidR="00B57929">
        <w:t>s</w:t>
      </w:r>
      <w:r w:rsidR="00CD6D83">
        <w:t xml:space="preserve">tate-only </w:t>
      </w:r>
      <w:r w:rsidR="00086655">
        <w:t>f</w:t>
      </w:r>
      <w:r w:rsidR="00CD6D83">
        <w:t xml:space="preserve">unded ME </w:t>
      </w:r>
      <w:r w:rsidR="00086655">
        <w:t>c</w:t>
      </w:r>
      <w:r w:rsidR="00CD6D83">
        <w:t>odes)</w:t>
      </w:r>
    </w:p>
    <w:p w14:paraId="7FB30025" w14:textId="76FD2607" w:rsidR="00B3499D" w:rsidRPr="00FA56ED" w:rsidRDefault="00665F85" w:rsidP="00367E1D">
      <w:pPr>
        <w:pStyle w:val="ListBullet"/>
      </w:pPr>
      <w:r w:rsidRPr="00FA56ED">
        <w:t xml:space="preserve">Be assessed by </w:t>
      </w:r>
      <w:r w:rsidR="00454485">
        <w:t>DSDS</w:t>
      </w:r>
      <w:r w:rsidRPr="00FA56ED">
        <w:t xml:space="preserve"> or its designee to m</w:t>
      </w:r>
      <w:r w:rsidR="00B3499D" w:rsidRPr="00FA56ED">
        <w:t>eet</w:t>
      </w:r>
      <w:r w:rsidR="00CD6D83" w:rsidRPr="00FA56ED">
        <w:t xml:space="preserve"> nursing facility level of care</w:t>
      </w:r>
      <w:r w:rsidR="00B57929">
        <w:t xml:space="preserve"> (LOC)</w:t>
      </w:r>
      <w:r w:rsidRPr="00FA56ED">
        <w:t xml:space="preserve"> due to having certain impairments and unmet needs, such that the participant would require admission to a hospital or a long-term care facility in the absence of </w:t>
      </w:r>
      <w:r w:rsidR="0079182C" w:rsidRPr="00FA56ED">
        <w:t xml:space="preserve">ILW </w:t>
      </w:r>
      <w:r w:rsidRPr="00FA56ED">
        <w:t>services</w:t>
      </w:r>
    </w:p>
    <w:p w14:paraId="111992D7" w14:textId="318AEE18" w:rsidR="00B3499D" w:rsidRPr="00FA56ED" w:rsidRDefault="00B3499D" w:rsidP="00367E1D">
      <w:pPr>
        <w:pStyle w:val="ListBullet"/>
      </w:pPr>
      <w:r w:rsidRPr="00FA56ED">
        <w:t xml:space="preserve">Be willing to receive </w:t>
      </w:r>
      <w:r w:rsidR="00581895" w:rsidRPr="00FA56ED">
        <w:t xml:space="preserve">a </w:t>
      </w:r>
      <w:r w:rsidRPr="00FA56ED">
        <w:t xml:space="preserve">comprehensive </w:t>
      </w:r>
      <w:r w:rsidR="00581895" w:rsidRPr="00FA56ED">
        <w:t xml:space="preserve">initial </w:t>
      </w:r>
      <w:r w:rsidRPr="00FA56ED">
        <w:t xml:space="preserve">assessment from </w:t>
      </w:r>
      <w:r w:rsidR="0079182C" w:rsidRPr="00FA56ED">
        <w:t xml:space="preserve">DHSS </w:t>
      </w:r>
    </w:p>
    <w:p w14:paraId="1D22FE46" w14:textId="6AD3B488" w:rsidR="00B3499D" w:rsidRPr="00FA56ED" w:rsidRDefault="00B3499D" w:rsidP="00367E1D">
      <w:pPr>
        <w:pStyle w:val="ListBullet"/>
      </w:pPr>
      <w:r w:rsidRPr="00FA56ED">
        <w:t xml:space="preserve">Be reassessed </w:t>
      </w:r>
      <w:r w:rsidR="00622371" w:rsidRPr="00FA56ED">
        <w:t xml:space="preserve">annually by </w:t>
      </w:r>
      <w:r w:rsidR="00454485">
        <w:t>DSDS</w:t>
      </w:r>
      <w:r w:rsidR="00622371" w:rsidRPr="00FA56ED">
        <w:t xml:space="preserve"> or a provider re</w:t>
      </w:r>
      <w:r w:rsidR="003F5827">
        <w:t>-</w:t>
      </w:r>
      <w:r w:rsidR="00622371" w:rsidRPr="00FA56ED">
        <w:t xml:space="preserve">assessor to facilitate determination of continued eligibility for HCBS and the amount of assistance authorized. Refer to the </w:t>
      </w:r>
      <w:hyperlink r:id="rId27" w:history="1">
        <w:r w:rsidR="00622371" w:rsidRPr="00073432">
          <w:rPr>
            <w:rStyle w:val="Hyperlink"/>
          </w:rPr>
          <w:t xml:space="preserve">Personal Care </w:t>
        </w:r>
        <w:r w:rsidR="00B57929" w:rsidRPr="00073432">
          <w:rPr>
            <w:rStyle w:val="Hyperlink"/>
          </w:rPr>
          <w:t xml:space="preserve">Provider </w:t>
        </w:r>
        <w:r w:rsidR="00E65E36" w:rsidRPr="00073432">
          <w:rPr>
            <w:rStyle w:val="Hyperlink"/>
          </w:rPr>
          <w:t>M</w:t>
        </w:r>
        <w:r w:rsidR="00622371" w:rsidRPr="00073432">
          <w:rPr>
            <w:rStyle w:val="Hyperlink"/>
          </w:rPr>
          <w:t>anual</w:t>
        </w:r>
      </w:hyperlink>
      <w:r w:rsidR="00622371" w:rsidRPr="00FA56ED">
        <w:t xml:space="preserve"> for further information regarding provider re</w:t>
      </w:r>
      <w:r w:rsidR="003F5827">
        <w:t>-</w:t>
      </w:r>
      <w:r w:rsidR="00622371" w:rsidRPr="00FA56ED">
        <w:t xml:space="preserve">assessor requirements. </w:t>
      </w:r>
    </w:p>
    <w:p w14:paraId="79F5AE28" w14:textId="7CFF6B3C" w:rsidR="001F1608" w:rsidRPr="00FA56ED" w:rsidRDefault="001F1608" w:rsidP="00367E1D">
      <w:pPr>
        <w:pStyle w:val="ListBullet"/>
      </w:pPr>
      <w:r w:rsidRPr="00FA56ED">
        <w:t>Have unmet needs that can be safely met at a cost that does not exceed the average monthly MO HealthNet cost of nursing facility care</w:t>
      </w:r>
    </w:p>
    <w:p w14:paraId="628197CC" w14:textId="71485478" w:rsidR="00B3499D" w:rsidRPr="00CD6D83" w:rsidRDefault="00B3499D" w:rsidP="00367E1D">
      <w:pPr>
        <w:pStyle w:val="ListBullet"/>
      </w:pPr>
      <w:r w:rsidRPr="00CD6D83">
        <w:t xml:space="preserve">Allow providers to utilize EVV as required by </w:t>
      </w:r>
      <w:r w:rsidR="00665F85">
        <w:t>s</w:t>
      </w:r>
      <w:r w:rsidRPr="00CD6D83">
        <w:t xml:space="preserve">tate and </w:t>
      </w:r>
      <w:r w:rsidR="00665F85">
        <w:t>f</w:t>
      </w:r>
      <w:r w:rsidRPr="00CD6D83">
        <w:t>ederal law</w:t>
      </w:r>
      <w:r w:rsidR="00B3269B">
        <w:t xml:space="preserve">; refer to </w:t>
      </w:r>
      <w:hyperlink w:anchor="_2.3_Provider_Conditions" w:history="1">
        <w:r w:rsidR="00B3269B" w:rsidRPr="00AB3F22">
          <w:rPr>
            <w:rStyle w:val="Hyperlink"/>
          </w:rPr>
          <w:t>Section 2.3</w:t>
        </w:r>
      </w:hyperlink>
      <w:r w:rsidR="00B3269B">
        <w:t xml:space="preserve"> </w:t>
      </w:r>
      <w:r w:rsidR="007A614D">
        <w:t>of</w:t>
      </w:r>
      <w:r w:rsidR="00B3269B">
        <w:t xml:space="preserve"> this manual for more information on EVV</w:t>
      </w:r>
    </w:p>
    <w:p w14:paraId="1C1BC709" w14:textId="429525C2" w:rsidR="00B3499D" w:rsidRPr="00CD6D83" w:rsidRDefault="00B3499D" w:rsidP="002433EC">
      <w:r w:rsidRPr="00CD6D83">
        <w:t xml:space="preserve">Participants who are eligible for </w:t>
      </w:r>
      <w:r w:rsidR="00086655">
        <w:t>MO HealthNet</w:t>
      </w:r>
      <w:r w:rsidR="00086655" w:rsidRPr="00CD6D83">
        <w:t xml:space="preserve"> </w:t>
      </w:r>
      <w:r w:rsidRPr="00CD6D83">
        <w:t xml:space="preserve">on a </w:t>
      </w:r>
      <w:r w:rsidRPr="008E575C">
        <w:t>spend</w:t>
      </w:r>
      <w:r w:rsidR="00086655" w:rsidRPr="008E575C">
        <w:t xml:space="preserve"> </w:t>
      </w:r>
      <w:r w:rsidRPr="008E575C">
        <w:t>down</w:t>
      </w:r>
      <w:r w:rsidRPr="00CD6D83">
        <w:t xml:space="preserve"> basis may be authorized to receive </w:t>
      </w:r>
      <w:r w:rsidR="00EB6E32">
        <w:t>ILW services</w:t>
      </w:r>
      <w:r w:rsidR="00EB6E32" w:rsidRPr="00CD6D83">
        <w:t xml:space="preserve"> </w:t>
      </w:r>
      <w:r w:rsidRPr="00CD6D83">
        <w:t>during periods when they meet the spend</w:t>
      </w:r>
      <w:r w:rsidR="00086655">
        <w:t xml:space="preserve"> down liability. </w:t>
      </w:r>
      <w:r w:rsidRPr="00CD6D83">
        <w:t>A participant is responsible for the cost of services received during periods of time when they have not met the spend</w:t>
      </w:r>
      <w:r w:rsidR="00086655">
        <w:t xml:space="preserve"> </w:t>
      </w:r>
      <w:r w:rsidRPr="00CD6D83">
        <w:t>down liability</w:t>
      </w:r>
      <w:r w:rsidR="00B803AE">
        <w:t>.</w:t>
      </w:r>
      <w:r w:rsidRPr="00CD6D83">
        <w:tab/>
      </w:r>
    </w:p>
    <w:p w14:paraId="70AF5725" w14:textId="3DB63545" w:rsidR="00B3499D" w:rsidRPr="00CD6D83" w:rsidRDefault="00B3499D" w:rsidP="002433EC">
      <w:r w:rsidRPr="00CD6D83">
        <w:t xml:space="preserve">The participant must be eligible for MO HealthNet </w:t>
      </w:r>
      <w:r w:rsidR="001F1608">
        <w:t xml:space="preserve">services </w:t>
      </w:r>
      <w:r w:rsidRPr="00CD6D83">
        <w:t xml:space="preserve">on the day the service is delivered, or the provider </w:t>
      </w:r>
      <w:r w:rsidR="001F1608">
        <w:t>will</w:t>
      </w:r>
      <w:r w:rsidR="001F1608" w:rsidRPr="00CD6D83">
        <w:t xml:space="preserve"> </w:t>
      </w:r>
      <w:r w:rsidRPr="00CD6D83">
        <w:t xml:space="preserve">not </w:t>
      </w:r>
      <w:r w:rsidR="001F1608">
        <w:t xml:space="preserve">be </w:t>
      </w:r>
      <w:r w:rsidRPr="00CD6D83">
        <w:t xml:space="preserve">reimbursed through </w:t>
      </w:r>
      <w:r w:rsidR="00086655">
        <w:t>MHD</w:t>
      </w:r>
      <w:r w:rsidR="00856F04">
        <w:t xml:space="preserve">. </w:t>
      </w:r>
      <w:r w:rsidRPr="00CD6D83">
        <w:t>This is a requirement even when the service has been</w:t>
      </w:r>
      <w:r w:rsidR="001F1608">
        <w:t xml:space="preserve"> </w:t>
      </w:r>
      <w:r w:rsidRPr="00CD6D83">
        <w:t>prior authorized</w:t>
      </w:r>
      <w:r w:rsidR="00856F04">
        <w:t xml:space="preserve">. </w:t>
      </w:r>
      <w:r w:rsidRPr="00CD6D83">
        <w:t xml:space="preserve">It is the responsibility of the provider to verify </w:t>
      </w:r>
      <w:r w:rsidR="001F1608">
        <w:t xml:space="preserve">the participant’s MO HealthNet </w:t>
      </w:r>
      <w:r w:rsidRPr="00CD6D83">
        <w:t xml:space="preserve">eligibility </w:t>
      </w:r>
      <w:r w:rsidR="001F1608">
        <w:t xml:space="preserve">on the day the service is provided </w:t>
      </w:r>
      <w:r w:rsidRPr="00CD6D83">
        <w:t xml:space="preserve">by contacting </w:t>
      </w:r>
      <w:r w:rsidR="00966A33">
        <w:t>Provider Communication</w:t>
      </w:r>
      <w:r w:rsidRPr="00CD6D83">
        <w:t xml:space="preserve"> at </w:t>
      </w:r>
      <w:r w:rsidR="00D82121">
        <w:t xml:space="preserve">(573) </w:t>
      </w:r>
      <w:r w:rsidRPr="00CD6D83">
        <w:t>751-2896</w:t>
      </w:r>
      <w:r w:rsidR="00966A33">
        <w:t>, toll-free at (833) 222-7916,</w:t>
      </w:r>
      <w:r w:rsidRPr="00CD6D83">
        <w:t xml:space="preserve"> or </w:t>
      </w:r>
      <w:r w:rsidR="00966A33">
        <w:t xml:space="preserve">via </w:t>
      </w:r>
      <w:hyperlink r:id="rId28" w:history="1">
        <w:r w:rsidR="00966A33" w:rsidRPr="00966A33">
          <w:rPr>
            <w:rStyle w:val="Hyperlink"/>
            <w:rFonts w:cs="Tahoma"/>
            <w:szCs w:val="23"/>
          </w:rPr>
          <w:t>eMOMED</w:t>
        </w:r>
      </w:hyperlink>
      <w:r w:rsidRPr="00CD6D83">
        <w:t xml:space="preserve">. </w:t>
      </w:r>
    </w:p>
    <w:p w14:paraId="11AF0D19" w14:textId="08C2CF6E" w:rsidR="00B803AE" w:rsidRDefault="00B7050F" w:rsidP="002433EC">
      <w:r>
        <w:t>Refer to</w:t>
      </w:r>
      <w:r w:rsidR="00B3499D" w:rsidRPr="00CD6D83">
        <w:t xml:space="preserve"> </w:t>
      </w:r>
      <w:r w:rsidR="00F87098">
        <w:t xml:space="preserve">the </w:t>
      </w:r>
      <w:hyperlink r:id="rId29" w:history="1">
        <w:r w:rsidR="00F87098" w:rsidRPr="008321EA">
          <w:rPr>
            <w:rStyle w:val="Hyperlink"/>
          </w:rPr>
          <w:t>General Sections Manual</w:t>
        </w:r>
      </w:hyperlink>
      <w:r w:rsidR="00B3499D" w:rsidRPr="00367E1D">
        <w:rPr>
          <w:color w:val="04427D"/>
        </w:rPr>
        <w:t xml:space="preserve"> </w:t>
      </w:r>
      <w:r w:rsidR="00B3499D" w:rsidRPr="00CD6D83">
        <w:t>for more information about participant eligibility.</w:t>
      </w:r>
    </w:p>
    <w:p w14:paraId="14036D7A" w14:textId="4BF8D7D5" w:rsidR="00B3499D" w:rsidRPr="008321EA" w:rsidRDefault="00B3499D" w:rsidP="008321EA">
      <w:pPr>
        <w:pStyle w:val="Heading3"/>
      </w:pPr>
      <w:bookmarkStart w:id="22" w:name="_2.6_Authorization_of"/>
      <w:bookmarkStart w:id="23" w:name="_Toc228793569"/>
      <w:bookmarkEnd w:id="22"/>
      <w:r w:rsidRPr="008321EA">
        <w:t>2.</w:t>
      </w:r>
      <w:r w:rsidR="00B5740A" w:rsidRPr="008321EA">
        <w:t>6</w:t>
      </w:r>
      <w:r w:rsidR="006824D5" w:rsidRPr="008321EA">
        <w:t xml:space="preserve"> </w:t>
      </w:r>
      <w:r w:rsidR="00B803AE" w:rsidRPr="008321EA">
        <w:t>Authorization of Services</w:t>
      </w:r>
      <w:bookmarkEnd w:id="23"/>
    </w:p>
    <w:p w14:paraId="628B8AFB" w14:textId="7BDFB038" w:rsidR="00B3499D" w:rsidRPr="00B803AE" w:rsidRDefault="00B3499D" w:rsidP="002433EC">
      <w:r w:rsidRPr="00B803AE">
        <w:t xml:space="preserve">All units of </w:t>
      </w:r>
      <w:r w:rsidR="000077E6">
        <w:t xml:space="preserve">Title XIX </w:t>
      </w:r>
      <w:r w:rsidRPr="00B803AE">
        <w:t>ILW services must be prior authorized by DSDS or their designee before services can be delivered</w:t>
      </w:r>
      <w:r w:rsidR="00856F04">
        <w:t xml:space="preserve">. </w:t>
      </w:r>
      <w:r w:rsidR="00CB20FA">
        <w:t xml:space="preserve">Refer to </w:t>
      </w:r>
      <w:hyperlink w:anchor="_3.1_Requirements" w:history="1">
        <w:r w:rsidR="00CB20FA" w:rsidRPr="008321EA">
          <w:rPr>
            <w:rStyle w:val="Hyperlink"/>
          </w:rPr>
          <w:t>Section 3.1</w:t>
        </w:r>
      </w:hyperlink>
      <w:r w:rsidR="00CB20FA">
        <w:t xml:space="preserve"> of this manual for information on requesting prior authorization. </w:t>
      </w:r>
      <w:r w:rsidRPr="00B803AE">
        <w:t xml:space="preserve">Following development of a care plan, a set of documents are available to the provider in the </w:t>
      </w:r>
      <w:r w:rsidR="003F5827">
        <w:t xml:space="preserve">participant’s </w:t>
      </w:r>
      <w:r w:rsidR="00497EB0">
        <w:t xml:space="preserve">electronic case </w:t>
      </w:r>
      <w:r w:rsidR="00A96C15">
        <w:t>record</w:t>
      </w:r>
      <w:r w:rsidR="00B803AE">
        <w:t>.</w:t>
      </w:r>
    </w:p>
    <w:p w14:paraId="1E5F98BA" w14:textId="40FD1694" w:rsidR="00B3499D" w:rsidRDefault="00B3499D" w:rsidP="002433EC">
      <w:r w:rsidRPr="00B803AE">
        <w:t xml:space="preserve">The </w:t>
      </w:r>
      <w:r w:rsidR="004363A3">
        <w:t xml:space="preserve">detailed </w:t>
      </w:r>
      <w:r w:rsidR="001432E7">
        <w:t xml:space="preserve">care plan </w:t>
      </w:r>
      <w:r w:rsidRPr="00B803AE">
        <w:t xml:space="preserve">or authorization for services shows </w:t>
      </w:r>
      <w:r w:rsidR="004363A3">
        <w:t xml:space="preserve">how many units </w:t>
      </w:r>
      <w:r w:rsidRPr="00B803AE">
        <w:t>of service</w:t>
      </w:r>
      <w:r w:rsidR="004363A3">
        <w:t xml:space="preserve"> are</w:t>
      </w:r>
      <w:r w:rsidRPr="00B803AE">
        <w:t xml:space="preserve"> authorized and specifies the </w:t>
      </w:r>
      <w:r w:rsidR="005463EA" w:rsidRPr="00B803AE">
        <w:t>period</w:t>
      </w:r>
      <w:r w:rsidRPr="00B803AE">
        <w:t xml:space="preserve"> covered by the authorization.</w:t>
      </w:r>
      <w:r w:rsidR="004363A3">
        <w:t xml:space="preserve"> In addition, the </w:t>
      </w:r>
      <w:r w:rsidR="000E177B">
        <w:t xml:space="preserve">care </w:t>
      </w:r>
      <w:r w:rsidR="004363A3">
        <w:t xml:space="preserve">plan includes a list that shows the specific activities that must be performed, at a minimum, by the </w:t>
      </w:r>
      <w:r w:rsidR="00CB20FA">
        <w:t>PC</w:t>
      </w:r>
      <w:r w:rsidR="004363A3">
        <w:t xml:space="preserve"> attendant. Additional service activities may be performed </w:t>
      </w:r>
      <w:r w:rsidR="005463EA">
        <w:t>if</w:t>
      </w:r>
      <w:r w:rsidR="004363A3">
        <w:t xml:space="preserve"> the time spent does not exceed the units authorized.</w:t>
      </w:r>
    </w:p>
    <w:p w14:paraId="06E72156" w14:textId="7A7F0220" w:rsidR="004363A3" w:rsidRPr="00B803AE" w:rsidRDefault="004363A3" w:rsidP="002433EC">
      <w:r>
        <w:t>The authorization for services is based on participant needs identified during the initial assessment and reass</w:t>
      </w:r>
      <w:r w:rsidR="004E7269">
        <w:t>ess</w:t>
      </w:r>
      <w:r>
        <w:t>ment processes. The needs of the participant must be reassessed at least annually, and the amount of assistance authorized will be maintained, adjusted or eliminated accordingly.</w:t>
      </w:r>
    </w:p>
    <w:p w14:paraId="5472CD5E" w14:textId="5FD287A1" w:rsidR="00B3499D" w:rsidRPr="00B803AE" w:rsidRDefault="00B3499D" w:rsidP="002433EC">
      <w:r w:rsidRPr="00B803AE">
        <w:t>The provider is not reimbursed for services if the service</w:t>
      </w:r>
      <w:r w:rsidR="004363A3">
        <w:t>s</w:t>
      </w:r>
      <w:r w:rsidRPr="00B803AE">
        <w:t xml:space="preserve"> </w:t>
      </w:r>
      <w:r w:rsidR="004363A3">
        <w:t>have</w:t>
      </w:r>
      <w:r w:rsidR="004363A3" w:rsidRPr="00B803AE">
        <w:t xml:space="preserve"> </w:t>
      </w:r>
      <w:r w:rsidRPr="00B803AE">
        <w:t>not been prior authorized by DSDS</w:t>
      </w:r>
      <w:r w:rsidR="00856F04">
        <w:t xml:space="preserve">. </w:t>
      </w:r>
    </w:p>
    <w:p w14:paraId="533D7905" w14:textId="14CF245D" w:rsidR="00B3499D" w:rsidRPr="00367E1D" w:rsidRDefault="00B3499D" w:rsidP="008321EA">
      <w:pPr>
        <w:pStyle w:val="Heading3"/>
        <w:rPr>
          <w:bCs/>
        </w:rPr>
      </w:pPr>
      <w:bookmarkStart w:id="24" w:name="AIDMedicaidAIDSHIVWaiverProgramAddendumt"/>
      <w:bookmarkStart w:id="25" w:name="_2.7_Records"/>
      <w:bookmarkStart w:id="26" w:name="_Toc228793570"/>
      <w:bookmarkEnd w:id="24"/>
      <w:bookmarkEnd w:id="25"/>
      <w:r w:rsidRPr="00367E1D">
        <w:t>2.</w:t>
      </w:r>
      <w:r w:rsidR="00B5740A" w:rsidRPr="00367E1D">
        <w:t>7</w:t>
      </w:r>
      <w:r w:rsidR="00B803AE" w:rsidRPr="00367E1D">
        <w:t xml:space="preserve"> Records</w:t>
      </w:r>
      <w:bookmarkEnd w:id="26"/>
    </w:p>
    <w:p w14:paraId="7858A7E7" w14:textId="2592763D" w:rsidR="00B3499D" w:rsidRPr="00B803AE" w:rsidRDefault="00327653" w:rsidP="00947EDB">
      <w:r>
        <w:t>ILW</w:t>
      </w:r>
      <w:r w:rsidR="00B3499D" w:rsidRPr="00B803AE">
        <w:t xml:space="preserve"> provider</w:t>
      </w:r>
      <w:r w:rsidR="000D16EA">
        <w:t>s</w:t>
      </w:r>
      <w:r w:rsidR="00B3499D" w:rsidRPr="00B803AE">
        <w:t xml:space="preserve"> shall document implementation of requirements for the following, as applicable</w:t>
      </w:r>
      <w:r w:rsidR="00EC4967">
        <w:t xml:space="preserve">:   </w:t>
      </w:r>
    </w:p>
    <w:p w14:paraId="7C2E491E" w14:textId="526F9274" w:rsidR="00B3499D" w:rsidRPr="00B803AE" w:rsidRDefault="00B3499D" w:rsidP="00367E1D">
      <w:pPr>
        <w:pStyle w:val="ListBullet"/>
      </w:pPr>
      <w:r w:rsidRPr="00B803AE">
        <w:t>Co</w:t>
      </w:r>
      <w:r w:rsidR="00B803AE">
        <w:t>ordination with other providers</w:t>
      </w:r>
    </w:p>
    <w:p w14:paraId="16B7FC03" w14:textId="4857FEC9" w:rsidR="00B3499D" w:rsidRPr="00B803AE" w:rsidRDefault="00B3499D" w:rsidP="00367E1D">
      <w:pPr>
        <w:pStyle w:val="ListBullet"/>
      </w:pPr>
      <w:r w:rsidRPr="00B803AE">
        <w:t xml:space="preserve">Non-discrimination </w:t>
      </w:r>
      <w:r w:rsidR="005463EA">
        <w:t>based on</w:t>
      </w:r>
      <w:r w:rsidR="004363A3">
        <w:t xml:space="preserve"> disabilit</w:t>
      </w:r>
      <w:r w:rsidR="000077E6">
        <w:t>y</w:t>
      </w:r>
    </w:p>
    <w:p w14:paraId="7EF5CA44" w14:textId="5A2B4220" w:rsidR="00183ED0" w:rsidRDefault="00B3499D">
      <w:pPr>
        <w:pStyle w:val="ListBullet"/>
      </w:pPr>
      <w:r w:rsidRPr="004F4242">
        <w:t>Administrative policies and procedures</w:t>
      </w:r>
    </w:p>
    <w:p w14:paraId="260FEB4F" w14:textId="2CA29A70" w:rsidR="00CB20FA" w:rsidRDefault="00CB20FA" w:rsidP="00CB20FA">
      <w:pPr>
        <w:pStyle w:val="ListBullet"/>
        <w:numPr>
          <w:ilvl w:val="0"/>
          <w:numId w:val="0"/>
        </w:numPr>
        <w:rPr>
          <w:color w:val="F79646" w:themeColor="accent6"/>
        </w:rPr>
      </w:pPr>
      <w:r w:rsidRPr="00FB7706">
        <w:t xml:space="preserve">All services provided </w:t>
      </w:r>
      <w:r w:rsidRPr="00FB7706">
        <w:rPr>
          <w:rStyle w:val="Itlc"/>
          <w:rFonts w:cs="Tahoma"/>
          <w:i w:val="0"/>
          <w:iCs/>
          <w:color w:val="auto"/>
          <w:szCs w:val="23"/>
        </w:rPr>
        <w:t>must</w:t>
      </w:r>
      <w:r w:rsidRPr="00FB7706">
        <w:t xml:space="preserve"> be adequately documented in the participant’s </w:t>
      </w:r>
      <w:r>
        <w:t xml:space="preserve">case </w:t>
      </w:r>
      <w:r w:rsidRPr="00FB7706">
        <w:t xml:space="preserve">record. </w:t>
      </w:r>
      <w:r>
        <w:t xml:space="preserve">For more information on adequate documentation requirements, including </w:t>
      </w:r>
      <w:r w:rsidRPr="004F4242">
        <w:rPr>
          <w:bCs/>
          <w:szCs w:val="23"/>
        </w:rPr>
        <w:t>CDS participant case record documentation requirements</w:t>
      </w:r>
      <w:r>
        <w:t xml:space="preserve">, refer to the </w:t>
      </w:r>
      <w:hyperlink r:id="rId30" w:history="1">
        <w:r w:rsidRPr="000B0AF5">
          <w:rPr>
            <w:rStyle w:val="Hyperlink"/>
            <w:szCs w:val="20"/>
          </w:rPr>
          <w:t xml:space="preserve">Personal Care </w:t>
        </w:r>
        <w:r>
          <w:rPr>
            <w:rStyle w:val="Hyperlink"/>
          </w:rPr>
          <w:t xml:space="preserve">Provider </w:t>
        </w:r>
        <w:r w:rsidRPr="000B0AF5">
          <w:rPr>
            <w:rStyle w:val="Hyperlink"/>
            <w:szCs w:val="20"/>
          </w:rPr>
          <w:t>Manual</w:t>
        </w:r>
        <w:r w:rsidRPr="0096757E">
          <w:rPr>
            <w:rStyle w:val="Hyperlink"/>
            <w:rFonts w:cs="Tahoma"/>
            <w:color w:val="auto"/>
            <w:szCs w:val="23"/>
            <w:u w:val="none"/>
          </w:rPr>
          <w:t>.</w:t>
        </w:r>
        <w:r w:rsidRPr="0096757E">
          <w:rPr>
            <w:rStyle w:val="Hyperlink"/>
            <w:rFonts w:cs="Tahoma"/>
            <w:color w:val="auto"/>
            <w:u w:val="none"/>
          </w:rPr>
          <w:t xml:space="preserve"> </w:t>
        </w:r>
      </w:hyperlink>
      <w:r w:rsidRPr="0096757E">
        <w:rPr>
          <w:color w:val="F79646" w:themeColor="accent6"/>
        </w:rPr>
        <w:t xml:space="preserve"> </w:t>
      </w:r>
    </w:p>
    <w:p w14:paraId="45D177A1" w14:textId="058330E2" w:rsidR="00B3499D" w:rsidRPr="00367E1D" w:rsidRDefault="00B3499D" w:rsidP="00367E1D">
      <w:pPr>
        <w:pStyle w:val="Heading4ADA"/>
      </w:pPr>
      <w:bookmarkStart w:id="27" w:name="_Adequate_Documentation"/>
      <w:bookmarkEnd w:id="27"/>
      <w:r w:rsidRPr="00367E1D">
        <w:rPr>
          <w:rFonts w:eastAsiaTheme="minorHAnsi"/>
        </w:rPr>
        <w:t>Required Documentation</w:t>
      </w:r>
    </w:p>
    <w:p w14:paraId="0FE72A3E" w14:textId="194C5134" w:rsidR="00B3499D" w:rsidRPr="00BF4E0E" w:rsidRDefault="002852E3" w:rsidP="002433EC">
      <w:pPr>
        <w:rPr>
          <w:rFonts w:cs="Tahoma"/>
          <w:szCs w:val="23"/>
        </w:rPr>
      </w:pPr>
      <w:r>
        <w:rPr>
          <w:rFonts w:cs="Tahoma"/>
          <w:szCs w:val="23"/>
        </w:rPr>
        <w:t xml:space="preserve">HCBS </w:t>
      </w:r>
      <w:r w:rsidR="00EF72B9">
        <w:rPr>
          <w:rFonts w:cs="Tahoma"/>
          <w:szCs w:val="23"/>
        </w:rPr>
        <w:t xml:space="preserve">in-home </w:t>
      </w:r>
      <w:r>
        <w:rPr>
          <w:rFonts w:cs="Tahoma"/>
          <w:szCs w:val="23"/>
        </w:rPr>
        <w:t>personal care providers must have a</w:t>
      </w:r>
      <w:r w:rsidR="00CA76B6">
        <w:rPr>
          <w:rFonts w:cs="Tahoma"/>
          <w:szCs w:val="23"/>
        </w:rPr>
        <w:t>n</w:t>
      </w:r>
      <w:r>
        <w:rPr>
          <w:rFonts w:cs="Tahoma"/>
          <w:szCs w:val="23"/>
        </w:rPr>
        <w:t xml:space="preserve"> EVV </w:t>
      </w:r>
      <w:r w:rsidR="00D47C87">
        <w:rPr>
          <w:rFonts w:cs="Tahoma"/>
          <w:szCs w:val="23"/>
        </w:rPr>
        <w:t xml:space="preserve">system </w:t>
      </w:r>
      <w:r>
        <w:rPr>
          <w:rFonts w:cs="Tahoma"/>
          <w:szCs w:val="23"/>
        </w:rPr>
        <w:t>in place. Refer to</w:t>
      </w:r>
      <w:r w:rsidR="00FB6995">
        <w:rPr>
          <w:rFonts w:cs="Tahoma"/>
          <w:szCs w:val="23"/>
        </w:rPr>
        <w:t xml:space="preserve"> </w:t>
      </w:r>
      <w:hyperlink w:anchor="_2.3_Provider_Conditions" w:history="1">
        <w:r w:rsidR="00FB6995" w:rsidRPr="00AB3F22">
          <w:rPr>
            <w:rStyle w:val="Hyperlink"/>
          </w:rPr>
          <w:t>Section 2.3</w:t>
        </w:r>
      </w:hyperlink>
      <w:r>
        <w:rPr>
          <w:rFonts w:cs="Tahoma"/>
          <w:szCs w:val="23"/>
        </w:rPr>
        <w:t xml:space="preserve"> </w:t>
      </w:r>
      <w:r w:rsidR="00B3269B">
        <w:rPr>
          <w:rFonts w:cs="Tahoma"/>
          <w:szCs w:val="23"/>
        </w:rPr>
        <w:t xml:space="preserve"> </w:t>
      </w:r>
      <w:r w:rsidR="007A614D">
        <w:rPr>
          <w:rFonts w:cs="Tahoma"/>
          <w:szCs w:val="23"/>
        </w:rPr>
        <w:t>of</w:t>
      </w:r>
      <w:r w:rsidR="00B3269B">
        <w:rPr>
          <w:rFonts w:cs="Tahoma"/>
          <w:szCs w:val="23"/>
        </w:rPr>
        <w:t xml:space="preserve"> this manual for</w:t>
      </w:r>
      <w:r>
        <w:rPr>
          <w:rFonts w:cs="Tahoma"/>
          <w:szCs w:val="23"/>
        </w:rPr>
        <w:t xml:space="preserve"> information re</w:t>
      </w:r>
      <w:r w:rsidR="006D61D1">
        <w:rPr>
          <w:rFonts w:cs="Tahoma"/>
          <w:szCs w:val="23"/>
        </w:rPr>
        <w:t xml:space="preserve">garding EVV </w:t>
      </w:r>
      <w:r w:rsidR="00083108">
        <w:rPr>
          <w:rFonts w:cs="Tahoma"/>
          <w:szCs w:val="23"/>
        </w:rPr>
        <w:t>requirements</w:t>
      </w:r>
      <w:r w:rsidR="006D61D1">
        <w:rPr>
          <w:rFonts w:cs="Tahoma"/>
          <w:szCs w:val="23"/>
        </w:rPr>
        <w:t xml:space="preserve">. </w:t>
      </w:r>
    </w:p>
    <w:p w14:paraId="5ACB9FA1" w14:textId="26A644B5" w:rsidR="00B3499D" w:rsidRPr="00BF4E0E" w:rsidRDefault="00B3499D" w:rsidP="002433EC">
      <w:pPr>
        <w:rPr>
          <w:rFonts w:eastAsia="Times New Roman" w:cs="Tahoma"/>
          <w:szCs w:val="23"/>
        </w:rPr>
      </w:pPr>
      <w:r w:rsidRPr="00BF4E0E">
        <w:rPr>
          <w:rFonts w:eastAsia="Times New Roman" w:cs="Tahoma"/>
          <w:szCs w:val="23"/>
        </w:rPr>
        <w:t>EAA, SMS</w:t>
      </w:r>
      <w:r w:rsidR="00822310">
        <w:rPr>
          <w:rFonts w:eastAsia="Times New Roman" w:cs="Tahoma"/>
          <w:szCs w:val="23"/>
        </w:rPr>
        <w:t>,</w:t>
      </w:r>
      <w:r w:rsidRPr="00BF4E0E">
        <w:rPr>
          <w:rFonts w:eastAsia="Times New Roman" w:cs="Tahoma"/>
          <w:szCs w:val="23"/>
        </w:rPr>
        <w:t xml:space="preserve"> and SME require additional documentation </w:t>
      </w:r>
      <w:r w:rsidR="00E95BA9" w:rsidRPr="00BF4E0E">
        <w:rPr>
          <w:rFonts w:eastAsia="Times New Roman" w:cs="Tahoma"/>
          <w:szCs w:val="23"/>
        </w:rPr>
        <w:t>to be</w:t>
      </w:r>
      <w:r w:rsidRPr="00BF4E0E">
        <w:rPr>
          <w:rFonts w:eastAsia="Times New Roman" w:cs="Tahoma"/>
          <w:szCs w:val="23"/>
        </w:rPr>
        <w:t xml:space="preserve"> obtained by </w:t>
      </w:r>
      <w:r w:rsidR="00367E1D" w:rsidRPr="00BF4E0E">
        <w:rPr>
          <w:rFonts w:eastAsia="Times New Roman" w:cs="Tahoma"/>
          <w:szCs w:val="23"/>
        </w:rPr>
        <w:t>B</w:t>
      </w:r>
      <w:r w:rsidR="00367E1D">
        <w:rPr>
          <w:rFonts w:eastAsia="Times New Roman" w:cs="Tahoma"/>
          <w:szCs w:val="23"/>
        </w:rPr>
        <w:t>FP</w:t>
      </w:r>
      <w:r w:rsidR="00367E1D" w:rsidRPr="00BF4E0E">
        <w:rPr>
          <w:rFonts w:eastAsia="Times New Roman" w:cs="Tahoma"/>
          <w:szCs w:val="23"/>
        </w:rPr>
        <w:t xml:space="preserve"> </w:t>
      </w:r>
      <w:r w:rsidRPr="00BF4E0E">
        <w:rPr>
          <w:rFonts w:eastAsia="Times New Roman" w:cs="Tahoma"/>
          <w:szCs w:val="23"/>
        </w:rPr>
        <w:t>and shall not be authorized until specific approval is given by B</w:t>
      </w:r>
      <w:r w:rsidR="00A13C01">
        <w:rPr>
          <w:rFonts w:eastAsia="Times New Roman" w:cs="Tahoma"/>
          <w:szCs w:val="23"/>
        </w:rPr>
        <w:t>FP</w:t>
      </w:r>
      <w:r w:rsidRPr="00BF4E0E">
        <w:rPr>
          <w:rFonts w:eastAsia="Times New Roman" w:cs="Tahoma"/>
          <w:szCs w:val="23"/>
        </w:rPr>
        <w:t>.</w:t>
      </w:r>
      <w:r w:rsidR="00E94037">
        <w:rPr>
          <w:rFonts w:eastAsia="Times New Roman" w:cs="Tahoma"/>
          <w:szCs w:val="23"/>
        </w:rPr>
        <w:t xml:space="preserve"> Refer to </w:t>
      </w:r>
      <w:hyperlink w:anchor="_2.1_Independent_Living_1" w:history="1">
        <w:r w:rsidR="00E94037" w:rsidRPr="00D11630">
          <w:rPr>
            <w:rStyle w:val="Hyperlink"/>
          </w:rPr>
          <w:t>Section 2.1</w:t>
        </w:r>
      </w:hyperlink>
      <w:r w:rsidR="00E94037">
        <w:rPr>
          <w:rFonts w:eastAsia="Times New Roman" w:cs="Tahoma"/>
          <w:szCs w:val="23"/>
        </w:rPr>
        <w:t xml:space="preserve"> </w:t>
      </w:r>
      <w:r w:rsidR="007A614D">
        <w:rPr>
          <w:rFonts w:eastAsia="Times New Roman" w:cs="Tahoma"/>
          <w:szCs w:val="23"/>
        </w:rPr>
        <w:t>of</w:t>
      </w:r>
      <w:r w:rsidR="00E94037">
        <w:rPr>
          <w:rFonts w:eastAsia="Times New Roman" w:cs="Tahoma"/>
          <w:szCs w:val="23"/>
        </w:rPr>
        <w:t xml:space="preserve"> this manual for additional requirements for these services. </w:t>
      </w:r>
    </w:p>
    <w:p w14:paraId="50B7C7D1" w14:textId="6272C477" w:rsidR="00B3499D" w:rsidRPr="00BF4E0E" w:rsidRDefault="00B3499D" w:rsidP="002433EC">
      <w:pPr>
        <w:rPr>
          <w:rFonts w:cs="Tahoma"/>
          <w:szCs w:val="23"/>
        </w:rPr>
      </w:pPr>
      <w:r w:rsidRPr="00BF4E0E">
        <w:rPr>
          <w:rFonts w:cs="Tahoma"/>
          <w:szCs w:val="23"/>
        </w:rPr>
        <w:t xml:space="preserve">FMS is automatically </w:t>
      </w:r>
      <w:r w:rsidR="0087048E">
        <w:rPr>
          <w:rFonts w:cs="Tahoma"/>
          <w:szCs w:val="23"/>
        </w:rPr>
        <w:t>authorized</w:t>
      </w:r>
      <w:r w:rsidR="0087048E" w:rsidRPr="00BF4E0E">
        <w:rPr>
          <w:rFonts w:cs="Tahoma"/>
          <w:szCs w:val="23"/>
        </w:rPr>
        <w:t xml:space="preserve"> </w:t>
      </w:r>
      <w:r w:rsidRPr="00BF4E0E">
        <w:rPr>
          <w:rFonts w:cs="Tahoma"/>
          <w:szCs w:val="23"/>
        </w:rPr>
        <w:t xml:space="preserve">in the </w:t>
      </w:r>
      <w:r w:rsidR="0087048E">
        <w:rPr>
          <w:rFonts w:cs="Tahoma"/>
          <w:szCs w:val="23"/>
        </w:rPr>
        <w:t xml:space="preserve">participant’s </w:t>
      </w:r>
      <w:r w:rsidR="00497EB0">
        <w:rPr>
          <w:rFonts w:cs="Tahoma"/>
          <w:szCs w:val="23"/>
        </w:rPr>
        <w:t xml:space="preserve">electronic case </w:t>
      </w:r>
      <w:r w:rsidR="00A96C15">
        <w:rPr>
          <w:rFonts w:cs="Tahoma"/>
          <w:szCs w:val="23"/>
        </w:rPr>
        <w:t>record</w:t>
      </w:r>
      <w:r w:rsidR="00F10C49">
        <w:rPr>
          <w:rFonts w:cs="Tahoma"/>
          <w:szCs w:val="23"/>
        </w:rPr>
        <w:t xml:space="preserve"> when </w:t>
      </w:r>
      <w:r w:rsidR="00327653">
        <w:rPr>
          <w:rFonts w:cs="Tahoma"/>
          <w:szCs w:val="23"/>
        </w:rPr>
        <w:t>ILW</w:t>
      </w:r>
      <w:r w:rsidRPr="00BF4E0E">
        <w:rPr>
          <w:rFonts w:cs="Tahoma"/>
          <w:szCs w:val="23"/>
        </w:rPr>
        <w:t xml:space="preserve"> </w:t>
      </w:r>
      <w:r w:rsidR="0087048E">
        <w:rPr>
          <w:rFonts w:cs="Tahoma"/>
          <w:szCs w:val="23"/>
        </w:rPr>
        <w:t xml:space="preserve">CDS </w:t>
      </w:r>
      <w:r w:rsidRPr="00BF4E0E">
        <w:rPr>
          <w:rFonts w:cs="Tahoma"/>
          <w:szCs w:val="23"/>
        </w:rPr>
        <w:t>is</w:t>
      </w:r>
      <w:r w:rsidRPr="00BF4E0E">
        <w:rPr>
          <w:rFonts w:cs="Tahoma"/>
          <w:spacing w:val="-5"/>
          <w:szCs w:val="23"/>
        </w:rPr>
        <w:t xml:space="preserve"> </w:t>
      </w:r>
      <w:r w:rsidRPr="00BF4E0E">
        <w:rPr>
          <w:rFonts w:cs="Tahoma"/>
          <w:szCs w:val="23"/>
        </w:rPr>
        <w:t xml:space="preserve">approved. Providers shall bill for this service as provided and documents shall be saved in the provider-maintained participant case record. </w:t>
      </w:r>
      <w:r w:rsidR="00886A9D">
        <w:rPr>
          <w:rFonts w:cs="Tahoma"/>
          <w:szCs w:val="23"/>
        </w:rPr>
        <w:t xml:space="preserve">Refer to </w:t>
      </w:r>
      <w:hyperlink w:anchor="_3.1_Requirements" w:history="1">
        <w:r w:rsidR="00886A9D" w:rsidRPr="00E95BA9">
          <w:rPr>
            <w:rStyle w:val="Hyperlink"/>
          </w:rPr>
          <w:t>Section 3.</w:t>
        </w:r>
        <w:r w:rsidR="00FB6995" w:rsidRPr="00E95BA9">
          <w:rPr>
            <w:rStyle w:val="Hyperlink"/>
          </w:rPr>
          <w:t>1</w:t>
        </w:r>
      </w:hyperlink>
      <w:r w:rsidR="00886A9D">
        <w:rPr>
          <w:rFonts w:cs="Tahoma"/>
          <w:szCs w:val="23"/>
        </w:rPr>
        <w:t xml:space="preserve"> </w:t>
      </w:r>
      <w:r w:rsidR="007A614D">
        <w:rPr>
          <w:rFonts w:cs="Tahoma"/>
          <w:szCs w:val="23"/>
        </w:rPr>
        <w:t xml:space="preserve">of </w:t>
      </w:r>
      <w:r w:rsidR="00886A9D">
        <w:rPr>
          <w:rFonts w:cs="Tahoma"/>
          <w:szCs w:val="23"/>
        </w:rPr>
        <w:t xml:space="preserve">this manual for more information on the </w:t>
      </w:r>
      <w:r w:rsidR="00F00D0D">
        <w:rPr>
          <w:rFonts w:cs="Tahoma"/>
          <w:szCs w:val="23"/>
        </w:rPr>
        <w:t>PA</w:t>
      </w:r>
      <w:r w:rsidR="00886A9D">
        <w:rPr>
          <w:rFonts w:cs="Tahoma"/>
          <w:szCs w:val="23"/>
        </w:rPr>
        <w:t xml:space="preserve"> care plan. </w:t>
      </w:r>
    </w:p>
    <w:p w14:paraId="4DCDECB4" w14:textId="00210058" w:rsidR="009F02B3" w:rsidRDefault="00B3499D" w:rsidP="002433EC">
      <w:pPr>
        <w:rPr>
          <w:rFonts w:cs="Tahoma"/>
          <w:szCs w:val="23"/>
        </w:rPr>
      </w:pPr>
      <w:r w:rsidRPr="00BF4E0E" w:rsidDel="009F02B3">
        <w:rPr>
          <w:rFonts w:cs="Tahoma"/>
          <w:szCs w:val="23"/>
        </w:rPr>
        <w:t xml:space="preserve">All participants enrolled in </w:t>
      </w:r>
      <w:r w:rsidRPr="00BF4E0E" w:rsidDel="009F02B3">
        <w:rPr>
          <w:rFonts w:cs="Tahoma"/>
          <w:spacing w:val="-3"/>
          <w:szCs w:val="23"/>
        </w:rPr>
        <w:t xml:space="preserve">ILW </w:t>
      </w:r>
      <w:r w:rsidRPr="00BF4E0E" w:rsidDel="009F02B3">
        <w:rPr>
          <w:rFonts w:cs="Tahoma"/>
          <w:szCs w:val="23"/>
        </w:rPr>
        <w:t>shall be authorized for</w:t>
      </w:r>
      <w:r w:rsidR="00822310" w:rsidDel="009F02B3">
        <w:rPr>
          <w:rFonts w:cs="Tahoma"/>
          <w:szCs w:val="23"/>
        </w:rPr>
        <w:t xml:space="preserve"> </w:t>
      </w:r>
      <w:r w:rsidRPr="00BF4E0E" w:rsidDel="009F02B3">
        <w:rPr>
          <w:rFonts w:cs="Tahoma"/>
          <w:szCs w:val="23"/>
        </w:rPr>
        <w:t xml:space="preserve">CM. Case managers employed by the HCBS provider must deliver and document at least 12 hours of CM per year, which should include at least monthly contact with the participant to provide ongoing monitoring of the provision of services in the plan of care and other services needed to live independently. </w:t>
      </w:r>
      <w:r w:rsidR="00886A9D">
        <w:rPr>
          <w:rFonts w:cs="Tahoma"/>
          <w:szCs w:val="23"/>
        </w:rPr>
        <w:t>CM</w:t>
      </w:r>
      <w:r w:rsidRPr="00BF4E0E">
        <w:rPr>
          <w:rFonts w:cs="Tahoma"/>
          <w:szCs w:val="23"/>
        </w:rPr>
        <w:t xml:space="preserve"> documentation shall be saved in the provider-maintained participant case record. </w:t>
      </w:r>
      <w:r w:rsidR="009F02B3">
        <w:rPr>
          <w:rFonts w:cs="Tahoma"/>
          <w:szCs w:val="23"/>
        </w:rPr>
        <w:t xml:space="preserve">Refer to </w:t>
      </w:r>
      <w:hyperlink w:anchor="_2.1_Independent_Living_1" w:history="1">
        <w:r w:rsidR="009F02B3" w:rsidRPr="008321EA">
          <w:rPr>
            <w:rStyle w:val="Hyperlink"/>
          </w:rPr>
          <w:t>Section 2.1</w:t>
        </w:r>
      </w:hyperlink>
      <w:r w:rsidR="009F02B3">
        <w:rPr>
          <w:rFonts w:cs="Tahoma"/>
          <w:szCs w:val="23"/>
        </w:rPr>
        <w:t xml:space="preserve"> for more information on requirements for CM services. </w:t>
      </w:r>
    </w:p>
    <w:p w14:paraId="35797F15" w14:textId="72700071" w:rsidR="00B3499D" w:rsidRDefault="00B3499D" w:rsidP="002433EC">
      <w:pPr>
        <w:rPr>
          <w:rFonts w:cs="Tahoma"/>
          <w:szCs w:val="23"/>
        </w:rPr>
      </w:pPr>
      <w:r w:rsidRPr="00BF4E0E">
        <w:rPr>
          <w:rFonts w:cs="Tahoma"/>
          <w:szCs w:val="23"/>
        </w:rPr>
        <w:t xml:space="preserve">In accordance with </w:t>
      </w:r>
      <w:hyperlink r:id="rId31" w:history="1">
        <w:r w:rsidRPr="008321EA">
          <w:rPr>
            <w:rStyle w:val="Hyperlink"/>
          </w:rPr>
          <w:t>19 CSR 15-8</w:t>
        </w:r>
      </w:hyperlink>
      <w:r w:rsidRPr="00BF4E0E">
        <w:rPr>
          <w:rFonts w:cs="Tahoma"/>
          <w:szCs w:val="23"/>
        </w:rPr>
        <w:t>, providers must ensure the participant’s case record contains, at minimum, the following</w:t>
      </w:r>
      <w:r w:rsidR="00EC4967">
        <w:rPr>
          <w:rFonts w:cs="Tahoma"/>
          <w:szCs w:val="23"/>
        </w:rPr>
        <w:t xml:space="preserve">:   </w:t>
      </w:r>
      <w:r w:rsidRPr="00BF4E0E">
        <w:rPr>
          <w:rFonts w:cs="Tahoma"/>
          <w:szCs w:val="23"/>
        </w:rPr>
        <w:t xml:space="preserve"> </w:t>
      </w:r>
    </w:p>
    <w:p w14:paraId="110D2086" w14:textId="3D2C9759" w:rsidR="00B3499D" w:rsidRPr="00BF4E0E" w:rsidRDefault="00B3499D" w:rsidP="00AD4555">
      <w:pPr>
        <w:pStyle w:val="ListBullet"/>
      </w:pPr>
      <w:r w:rsidRPr="00BF4E0E">
        <w:t xml:space="preserve">Written </w:t>
      </w:r>
      <w:r w:rsidR="00367E1D">
        <w:t xml:space="preserve">care plan </w:t>
      </w:r>
      <w:r w:rsidRPr="00BF4E0E">
        <w:t>and service authorization that document</w:t>
      </w:r>
      <w:r w:rsidR="00886A9D">
        <w:t>s</w:t>
      </w:r>
      <w:r w:rsidRPr="00BF4E0E">
        <w:t xml:space="preserve"> the type of services and quantity of units to be provided </w:t>
      </w:r>
    </w:p>
    <w:p w14:paraId="3FA56AA1" w14:textId="0C382576" w:rsidR="00B3499D" w:rsidRPr="00BF4E0E" w:rsidRDefault="00B3499D" w:rsidP="00AD4555">
      <w:pPr>
        <w:pStyle w:val="ListBullet"/>
      </w:pPr>
      <w:r w:rsidRPr="00BF4E0E">
        <w:t>Copies of all correspondence with DHSS, the participant’s physician, other service providers, and other administrative agencies</w:t>
      </w:r>
    </w:p>
    <w:p w14:paraId="47F873EF" w14:textId="300DF09D" w:rsidR="00B3499D" w:rsidRPr="00BF4E0E" w:rsidRDefault="00B3499D" w:rsidP="00AD4555">
      <w:pPr>
        <w:pStyle w:val="ListBullet"/>
      </w:pPr>
      <w:r w:rsidRPr="00BF4E0E">
        <w:t>Documentation of the participant’s emergency and/or backup plans</w:t>
      </w:r>
    </w:p>
    <w:p w14:paraId="218482AD" w14:textId="5969404F" w:rsidR="00B3499D" w:rsidRPr="00BF4E0E" w:rsidRDefault="00B3499D" w:rsidP="00AD4555">
      <w:pPr>
        <w:pStyle w:val="ListBullet"/>
      </w:pPr>
      <w:r w:rsidRPr="00BF4E0E">
        <w:t>Documentation of training provided to the participant in the skills needed to understand and perform the essential functions of an employer</w:t>
      </w:r>
    </w:p>
    <w:p w14:paraId="7395DB12" w14:textId="7EF6ACF3" w:rsidR="00B3499D" w:rsidRPr="00BF4E0E" w:rsidRDefault="00B3499D" w:rsidP="00AD4555">
      <w:pPr>
        <w:pStyle w:val="ListBullet"/>
      </w:pPr>
      <w:r w:rsidRPr="00BF4E0E">
        <w:t xml:space="preserve">Signed documentation that the participant has been informed of their rights concerning hearings and </w:t>
      </w:r>
      <w:r w:rsidR="008E18C0">
        <w:t>participant</w:t>
      </w:r>
      <w:r w:rsidR="008E18C0" w:rsidRPr="00BF4E0E">
        <w:t xml:space="preserve"> </w:t>
      </w:r>
      <w:r w:rsidRPr="00BF4E0E">
        <w:t xml:space="preserve">responsibilities </w:t>
      </w:r>
    </w:p>
    <w:p w14:paraId="1E39CA38" w14:textId="4AD5A9AE" w:rsidR="00183ED0" w:rsidRDefault="00B3499D" w:rsidP="00AD4555">
      <w:pPr>
        <w:pStyle w:val="ListBullet"/>
      </w:pPr>
      <w:r w:rsidRPr="00327A97">
        <w:t>Any other pertinent documentation regarding the participant</w:t>
      </w:r>
    </w:p>
    <w:p w14:paraId="4CC269DF" w14:textId="77777777" w:rsidR="00CB20FA" w:rsidRPr="000B0AF5" w:rsidRDefault="00CB20FA" w:rsidP="00AD4555">
      <w:pPr>
        <w:pStyle w:val="Heading4ADA"/>
      </w:pPr>
      <w:r w:rsidRPr="000B0AF5">
        <w:rPr>
          <w:rFonts w:eastAsiaTheme="minorHAnsi"/>
        </w:rPr>
        <w:t>Retention of Records</w:t>
      </w:r>
    </w:p>
    <w:p w14:paraId="59645F0F" w14:textId="77777777" w:rsidR="00CB20FA" w:rsidRDefault="00CB20FA" w:rsidP="002433EC">
      <w:r>
        <w:t>MO HealthNet p</w:t>
      </w:r>
      <w:r w:rsidRPr="00FB7706">
        <w:t xml:space="preserve">roviders </w:t>
      </w:r>
      <w:r w:rsidRPr="00FB7706">
        <w:rPr>
          <w:rStyle w:val="Itlc"/>
          <w:rFonts w:cs="Tahoma"/>
          <w:i w:val="0"/>
          <w:iCs/>
          <w:color w:val="auto"/>
          <w:szCs w:val="23"/>
        </w:rPr>
        <w:t>must</w:t>
      </w:r>
      <w:r w:rsidRPr="00FB7706">
        <w:t xml:space="preserve"> retain</w:t>
      </w:r>
      <w:r>
        <w:t>,</w:t>
      </w:r>
      <w:r w:rsidRPr="00FB7706">
        <w:t xml:space="preserve"> for </w:t>
      </w:r>
      <w:r>
        <w:t>a minimum of six</w:t>
      </w:r>
      <w:r w:rsidRPr="00FB7706">
        <w:t xml:space="preserve"> (</w:t>
      </w:r>
      <w:r>
        <w:t>6</w:t>
      </w:r>
      <w:r w:rsidRPr="00FB7706">
        <w:t>) years from the date of service</w:t>
      </w:r>
      <w:r w:rsidRPr="00FB7706">
        <w:rPr>
          <w:rStyle w:val="Itlc"/>
          <w:rFonts w:cs="Tahoma"/>
          <w:i w:val="0"/>
          <w:iCs/>
          <w:color w:val="auto"/>
          <w:szCs w:val="23"/>
        </w:rPr>
        <w:t>,</w:t>
      </w:r>
      <w:r w:rsidRPr="00FB7706">
        <w:rPr>
          <w:i/>
        </w:rPr>
        <w:t xml:space="preserve"> </w:t>
      </w:r>
      <w:r>
        <w:rPr>
          <w:iCs/>
        </w:rPr>
        <w:t xml:space="preserve">fiscal and medical </w:t>
      </w:r>
      <w:r w:rsidRPr="00FB7706">
        <w:t xml:space="preserve">records that coincide with and fully document services billed to </w:t>
      </w:r>
      <w:r>
        <w:t>MHD</w:t>
      </w:r>
      <w:r w:rsidRPr="00FB7706">
        <w:t xml:space="preserve"> and </w:t>
      </w:r>
      <w:r w:rsidRPr="00FB7706">
        <w:rPr>
          <w:rStyle w:val="Itlc"/>
          <w:rFonts w:cs="Tahoma"/>
          <w:i w:val="0"/>
          <w:iCs/>
          <w:color w:val="auto"/>
          <w:szCs w:val="23"/>
        </w:rPr>
        <w:t>must</w:t>
      </w:r>
      <w:r w:rsidRPr="00FB7706">
        <w:t xml:space="preserve"> furnish or make the records available for inspection or audit by </w:t>
      </w:r>
      <w:r>
        <w:t>DSS and</w:t>
      </w:r>
      <w:r w:rsidRPr="00FB7706">
        <w:t xml:space="preserve"> DHSS</w:t>
      </w:r>
      <w:r>
        <w:t>,</w:t>
      </w:r>
      <w:r w:rsidRPr="00FB7706">
        <w:t xml:space="preserve"> or </w:t>
      </w:r>
      <w:r>
        <w:t>their representatives,</w:t>
      </w:r>
      <w:r w:rsidRPr="00FB7706">
        <w:t xml:space="preserve"> upon request</w:t>
      </w:r>
      <w:r>
        <w:t>.</w:t>
      </w:r>
      <w:r w:rsidRPr="00FB7706">
        <w:t xml:space="preserve"> </w:t>
      </w:r>
      <w:r>
        <w:t xml:space="preserve">Refer to the </w:t>
      </w:r>
      <w:hyperlink r:id="rId32" w:history="1">
        <w:r w:rsidRPr="000B0AF5">
          <w:rPr>
            <w:rStyle w:val="Hyperlink"/>
            <w:szCs w:val="20"/>
          </w:rPr>
          <w:t>General Sections Manual</w:t>
        </w:r>
      </w:hyperlink>
      <w:r>
        <w:t xml:space="preserve"> for further information on retention of records requirements. </w:t>
      </w:r>
    </w:p>
    <w:p w14:paraId="58695FE2" w14:textId="33C1A3DB" w:rsidR="00B3499D" w:rsidRPr="00B248AB" w:rsidRDefault="00B3499D" w:rsidP="00AD4555">
      <w:pPr>
        <w:pStyle w:val="Heading3"/>
        <w:rPr>
          <w:color w:val="215868" w:themeColor="accent5" w:themeShade="80"/>
        </w:rPr>
      </w:pPr>
      <w:bookmarkStart w:id="28" w:name="_Toc228793571"/>
      <w:r w:rsidRPr="00AD4555">
        <w:t>2.</w:t>
      </w:r>
      <w:r w:rsidR="00B5740A" w:rsidRPr="00AD4555">
        <w:t>8</w:t>
      </w:r>
      <w:r w:rsidR="00B248AB" w:rsidRPr="00AD4555">
        <w:t xml:space="preserve"> </w:t>
      </w:r>
      <w:r w:rsidR="00E11A63" w:rsidRPr="00AD4555">
        <w:t>Training</w:t>
      </w:r>
      <w:bookmarkEnd w:id="28"/>
    </w:p>
    <w:p w14:paraId="2AE3FA2C" w14:textId="77777777" w:rsidR="009F02B3" w:rsidRDefault="009F02B3" w:rsidP="002433EC">
      <w:bookmarkStart w:id="29" w:name="_Toc383416608"/>
      <w:r w:rsidRPr="00725467">
        <w:t xml:space="preserve">ILW participants self-direct their </w:t>
      </w:r>
      <w:r>
        <w:t>PC</w:t>
      </w:r>
      <w:r w:rsidRPr="00725467">
        <w:t xml:space="preserve"> services; therefore, they train their own CDS in-home service workers to meet their needs.</w:t>
      </w:r>
      <w:r>
        <w:t xml:space="preserve"> </w:t>
      </w:r>
    </w:p>
    <w:p w14:paraId="6AF3748F" w14:textId="3DC20D03" w:rsidR="00120ED2" w:rsidRPr="00AD4555" w:rsidRDefault="0012635C" w:rsidP="002433EC">
      <w:pPr>
        <w:rPr>
          <w:rFonts w:cs="Tahoma"/>
          <w:b/>
          <w:bCs/>
        </w:rPr>
      </w:pPr>
      <w:r>
        <w:rPr>
          <w:rFonts w:cs="Tahoma"/>
          <w:szCs w:val="23"/>
        </w:rPr>
        <w:t xml:space="preserve">Refer to </w:t>
      </w:r>
      <w:hyperlink r:id="rId33" w:history="1">
        <w:r w:rsidRPr="00E95BA9">
          <w:rPr>
            <w:rStyle w:val="Hyperlink"/>
          </w:rPr>
          <w:t>Section 2.1</w:t>
        </w:r>
        <w:r w:rsidR="00C17DDB" w:rsidRPr="00E95BA9">
          <w:rPr>
            <w:rStyle w:val="Hyperlink"/>
          </w:rPr>
          <w:t>1</w:t>
        </w:r>
      </w:hyperlink>
      <w:r>
        <w:rPr>
          <w:rFonts w:cs="Tahoma"/>
          <w:szCs w:val="23"/>
        </w:rPr>
        <w:t xml:space="preserve"> of the </w:t>
      </w:r>
      <w:hyperlink r:id="rId34" w:history="1">
        <w:r w:rsidR="00EC6B2D" w:rsidRPr="008321EA">
          <w:rPr>
            <w:rStyle w:val="Hyperlink"/>
          </w:rPr>
          <w:t xml:space="preserve">Personal Care </w:t>
        </w:r>
        <w:r w:rsidR="009F02B3" w:rsidRPr="008321EA">
          <w:rPr>
            <w:rStyle w:val="Hyperlink"/>
          </w:rPr>
          <w:t xml:space="preserve">Provider </w:t>
        </w:r>
        <w:r w:rsidR="00EC6B2D" w:rsidRPr="008321EA">
          <w:rPr>
            <w:rStyle w:val="Hyperlink"/>
          </w:rPr>
          <w:t>Manual</w:t>
        </w:r>
      </w:hyperlink>
      <w:r w:rsidR="00EC6B2D">
        <w:rPr>
          <w:rFonts w:cs="Tahoma"/>
          <w:b/>
          <w:color w:val="F79646" w:themeColor="accent6"/>
          <w:szCs w:val="23"/>
          <w:u w:val="single"/>
        </w:rPr>
        <w:t xml:space="preserve"> </w:t>
      </w:r>
      <w:r>
        <w:rPr>
          <w:rFonts w:cs="Tahoma"/>
          <w:szCs w:val="23"/>
        </w:rPr>
        <w:t xml:space="preserve">for information regarding CDS </w:t>
      </w:r>
      <w:r w:rsidR="00631BE7">
        <w:rPr>
          <w:rFonts w:cs="Tahoma"/>
          <w:szCs w:val="23"/>
        </w:rPr>
        <w:t xml:space="preserve">consumer </w:t>
      </w:r>
      <w:r>
        <w:rPr>
          <w:rFonts w:cs="Tahoma"/>
          <w:szCs w:val="23"/>
        </w:rPr>
        <w:t>training</w:t>
      </w:r>
      <w:r w:rsidR="00EF09FE">
        <w:rPr>
          <w:rFonts w:cs="Tahoma"/>
          <w:szCs w:val="23"/>
        </w:rPr>
        <w:t xml:space="preserve"> requirements</w:t>
      </w:r>
      <w:r>
        <w:rPr>
          <w:rFonts w:cs="Tahoma"/>
          <w:szCs w:val="23"/>
        </w:rPr>
        <w:t xml:space="preserve">. </w:t>
      </w:r>
    </w:p>
    <w:p w14:paraId="19C79894" w14:textId="231D3D5F" w:rsidR="00B3499D" w:rsidRPr="00AD4555" w:rsidRDefault="00426A62" w:rsidP="00AD4555">
      <w:pPr>
        <w:pStyle w:val="Heading3"/>
        <w:rPr>
          <w:bCs/>
        </w:rPr>
      </w:pPr>
      <w:bookmarkStart w:id="30" w:name="_Toc228793572"/>
      <w:r w:rsidRPr="00AD4555">
        <w:t>2.</w:t>
      </w:r>
      <w:r w:rsidR="00B5740A" w:rsidRPr="00AD4555">
        <w:t>9</w:t>
      </w:r>
      <w:r w:rsidRPr="00AD4555">
        <w:t xml:space="preserve"> Discharge Policies and Procedures</w:t>
      </w:r>
      <w:bookmarkEnd w:id="29"/>
      <w:bookmarkEnd w:id="30"/>
    </w:p>
    <w:p w14:paraId="1935126D" w14:textId="6CC886BA" w:rsidR="00B3499D" w:rsidRPr="00426A62" w:rsidRDefault="00B3499D" w:rsidP="00947EDB">
      <w:r w:rsidRPr="00426A62">
        <w:t>Providers shall refer situations that may require closure or termination of services to DSDS or its designee for review. Situations to be referred include but are not limited to</w:t>
      </w:r>
      <w:r w:rsidR="00EC4967">
        <w:t xml:space="preserve">:   </w:t>
      </w:r>
      <w:r w:rsidRPr="00426A62">
        <w:t xml:space="preserve">  </w:t>
      </w:r>
    </w:p>
    <w:p w14:paraId="24109CF7" w14:textId="78BEE5B6" w:rsidR="00B3499D" w:rsidRPr="00426A62" w:rsidRDefault="00B3499D" w:rsidP="00AD4555">
      <w:pPr>
        <w:pStyle w:val="ListBullet"/>
      </w:pPr>
      <w:r w:rsidRPr="00426A62">
        <w:t>Death</w:t>
      </w:r>
      <w:r w:rsidR="00326C1B">
        <w:t xml:space="preserve"> of the participant</w:t>
      </w:r>
      <w:r w:rsidRPr="00426A62">
        <w:t xml:space="preserve"> </w:t>
      </w:r>
      <w:r w:rsidRPr="00426A62">
        <w:tab/>
      </w:r>
    </w:p>
    <w:p w14:paraId="2C628081" w14:textId="0E1DAAF1" w:rsidR="00B3499D" w:rsidRDefault="00326C1B" w:rsidP="00AD4555">
      <w:pPr>
        <w:pStyle w:val="ListBullet"/>
      </w:pPr>
      <w:r>
        <w:t>Participant is a</w:t>
      </w:r>
      <w:r w:rsidR="00B3499D" w:rsidRPr="00426A62">
        <w:t>dmi</w:t>
      </w:r>
      <w:r>
        <w:t>tted</w:t>
      </w:r>
      <w:r w:rsidR="00B3499D" w:rsidRPr="00426A62">
        <w:t xml:space="preserve"> into a long-term care facility </w:t>
      </w:r>
    </w:p>
    <w:p w14:paraId="59E8A75C" w14:textId="1D3ECCC4" w:rsidR="00B3499D" w:rsidRPr="00426A62" w:rsidRDefault="00326C1B" w:rsidP="00AD4555">
      <w:pPr>
        <w:pStyle w:val="ListBullet"/>
      </w:pPr>
      <w:r>
        <w:t>P</w:t>
      </w:r>
      <w:r w:rsidR="00B3499D" w:rsidRPr="00426A62">
        <w:t xml:space="preserve">articipant no longer needs services </w:t>
      </w:r>
    </w:p>
    <w:p w14:paraId="4D694DBC" w14:textId="2921EE55" w:rsidR="00B3499D" w:rsidRPr="00426A62" w:rsidRDefault="00326C1B" w:rsidP="00AD4555">
      <w:pPr>
        <w:pStyle w:val="ListBullet"/>
      </w:pPr>
      <w:r>
        <w:t>I</w:t>
      </w:r>
      <w:r w:rsidR="00B3499D" w:rsidRPr="00426A62">
        <w:t>nability of the participant to self-direct</w:t>
      </w:r>
    </w:p>
    <w:p w14:paraId="5BD812EA" w14:textId="26B7E8B2" w:rsidR="00B3499D" w:rsidRPr="00426A62" w:rsidRDefault="00326C1B" w:rsidP="00AD4555">
      <w:pPr>
        <w:pStyle w:val="ListBullet"/>
      </w:pPr>
      <w:r>
        <w:t>I</w:t>
      </w:r>
      <w:r w:rsidR="00B3499D" w:rsidRPr="00426A62">
        <w:t xml:space="preserve">nability to continue to meet the maintenance needs of the participant because the </w:t>
      </w:r>
      <w:r w:rsidR="000E177B">
        <w:t xml:space="preserve">care </w:t>
      </w:r>
      <w:r w:rsidR="00B3499D" w:rsidRPr="00426A62">
        <w:t>plan hours needed to ensure the health and safety of the participant exceed availability</w:t>
      </w:r>
    </w:p>
    <w:p w14:paraId="0B5A9140" w14:textId="0A432E05" w:rsidR="00B3499D" w:rsidRPr="00426A62" w:rsidRDefault="00B3499D" w:rsidP="00947EDB">
      <w:r w:rsidRPr="00426A62">
        <w:t>After notice to DSDS, providers may suspend services to participants in the following circumstances</w:t>
      </w:r>
      <w:r w:rsidR="00EC4967">
        <w:t xml:space="preserve">:   </w:t>
      </w:r>
      <w:r w:rsidRPr="00426A62">
        <w:t xml:space="preserve"> </w:t>
      </w:r>
    </w:p>
    <w:p w14:paraId="2C82E97E" w14:textId="50A7FDE0" w:rsidR="00B3499D" w:rsidRPr="00426A62" w:rsidRDefault="00B3499D" w:rsidP="00AD4555">
      <w:pPr>
        <w:pStyle w:val="ListBullet"/>
      </w:pPr>
      <w:r w:rsidRPr="00426A62">
        <w:t>The inability of the participant to self-direct</w:t>
      </w:r>
    </w:p>
    <w:p w14:paraId="354444D1" w14:textId="6A35F567" w:rsidR="00B3499D" w:rsidRPr="00426A62" w:rsidRDefault="00B3499D" w:rsidP="00AD4555">
      <w:pPr>
        <w:pStyle w:val="ListBullet"/>
      </w:pPr>
      <w:r w:rsidRPr="00426A62">
        <w:t xml:space="preserve">Falsification of records or fraud </w:t>
      </w:r>
    </w:p>
    <w:p w14:paraId="1710C8B1" w14:textId="6F6DC820" w:rsidR="00B3499D" w:rsidRPr="00426A62" w:rsidRDefault="00B3499D" w:rsidP="00AD4555">
      <w:pPr>
        <w:pStyle w:val="ListBullet"/>
      </w:pPr>
      <w:r w:rsidRPr="00426A62">
        <w:t xml:space="preserve">Persistent actions by the participant of noncompliance with the care plan </w:t>
      </w:r>
    </w:p>
    <w:p w14:paraId="79EFDBB4" w14:textId="57C9CA22" w:rsidR="00B3499D" w:rsidRPr="00426A62" w:rsidRDefault="00B3499D" w:rsidP="00AD4555">
      <w:pPr>
        <w:pStyle w:val="ListBullet"/>
      </w:pPr>
      <w:r w:rsidRPr="00426A62">
        <w:t xml:space="preserve">The participant or a member of the participant’s household threatens or abuses the </w:t>
      </w:r>
      <w:r w:rsidR="0025309B" w:rsidRPr="00426A62">
        <w:t>attendant, provider</w:t>
      </w:r>
      <w:r w:rsidR="00156EB8">
        <w:t>,</w:t>
      </w:r>
      <w:r w:rsidRPr="00426A62">
        <w:t xml:space="preserve"> and/or state staff</w:t>
      </w:r>
    </w:p>
    <w:p w14:paraId="01CC8B72" w14:textId="60BDE0D9" w:rsidR="00B3499D" w:rsidRDefault="00B3499D" w:rsidP="00AD4555">
      <w:pPr>
        <w:pStyle w:val="ListBullet"/>
      </w:pPr>
      <w:r w:rsidRPr="00426A62">
        <w:t>The attendant is not providing the services outlined in the care plan and attempts to remedy the situation have been unsuccessful</w:t>
      </w:r>
    </w:p>
    <w:p w14:paraId="247E9614" w14:textId="52969FAF" w:rsidR="0012635C" w:rsidRDefault="0012635C" w:rsidP="00947EDB">
      <w:r>
        <w:rPr>
          <w:szCs w:val="23"/>
        </w:rPr>
        <w:t xml:space="preserve">For more information regarding </w:t>
      </w:r>
      <w:r w:rsidR="00C10E1C">
        <w:rPr>
          <w:szCs w:val="23"/>
        </w:rPr>
        <w:t xml:space="preserve">CDS </w:t>
      </w:r>
      <w:r>
        <w:rPr>
          <w:szCs w:val="23"/>
        </w:rPr>
        <w:t xml:space="preserve">discharge policies and procedures, refer to </w:t>
      </w:r>
      <w:r w:rsidRPr="00AD4555">
        <w:rPr>
          <w:rStyle w:val="Hyperlink"/>
          <w:b w:val="0"/>
          <w:bCs/>
          <w:color w:val="auto"/>
          <w:u w:val="none"/>
        </w:rPr>
        <w:t xml:space="preserve">the </w:t>
      </w:r>
      <w:hyperlink r:id="rId35" w:history="1">
        <w:r w:rsidRPr="00AD4555">
          <w:rPr>
            <w:rStyle w:val="Hyperlink"/>
          </w:rPr>
          <w:t>Personal Care</w:t>
        </w:r>
        <w:r w:rsidR="00156EB8">
          <w:rPr>
            <w:rStyle w:val="Hyperlink"/>
          </w:rPr>
          <w:t xml:space="preserve"> Provider</w:t>
        </w:r>
        <w:r w:rsidRPr="00AD4555">
          <w:rPr>
            <w:rStyle w:val="Hyperlink"/>
          </w:rPr>
          <w:t xml:space="preserve"> Manual</w:t>
        </w:r>
        <w:r w:rsidRPr="00AD4555">
          <w:rPr>
            <w:rStyle w:val="Hyperlink"/>
            <w:b w:val="0"/>
            <w:bCs/>
            <w:color w:val="auto"/>
            <w:u w:val="none"/>
          </w:rPr>
          <w:t>.</w:t>
        </w:r>
        <w:r w:rsidRPr="00AD4555">
          <w:rPr>
            <w:rStyle w:val="Hyperlink"/>
            <w:rFonts w:cs="Tahoma"/>
            <w:b w:val="0"/>
            <w:bCs/>
            <w:color w:val="auto"/>
            <w:szCs w:val="23"/>
            <w:u w:val="none"/>
          </w:rPr>
          <w:t xml:space="preserve"> </w:t>
        </w:r>
        <w:r w:rsidRPr="00156EB8">
          <w:rPr>
            <w:rStyle w:val="Hyperlink"/>
            <w:rFonts w:cs="Tahoma"/>
            <w:b w:val="0"/>
            <w:bCs/>
            <w:color w:val="auto"/>
            <w:u w:val="none"/>
          </w:rPr>
          <w:t xml:space="preserve"> </w:t>
        </w:r>
      </w:hyperlink>
    </w:p>
    <w:p w14:paraId="1F0E3C0E" w14:textId="53F041CB" w:rsidR="00B3499D" w:rsidRPr="00AD4555" w:rsidRDefault="00426A62" w:rsidP="00AD4555">
      <w:pPr>
        <w:pStyle w:val="Heading3"/>
        <w:rPr>
          <w:bCs/>
        </w:rPr>
      </w:pPr>
      <w:bookmarkStart w:id="31" w:name="_Toc228793573"/>
      <w:r w:rsidRPr="00AD4555">
        <w:t>2</w:t>
      </w:r>
      <w:r w:rsidRPr="00AD4555">
        <w:rPr>
          <w:rStyle w:val="Heading3Char"/>
          <w:b/>
        </w:rPr>
        <w:t>.</w:t>
      </w:r>
      <w:r w:rsidR="00B5740A" w:rsidRPr="00AD4555">
        <w:rPr>
          <w:rStyle w:val="Heading3Char"/>
          <w:b/>
        </w:rPr>
        <w:t>10</w:t>
      </w:r>
      <w:r w:rsidRPr="00AD4555">
        <w:rPr>
          <w:rStyle w:val="Heading3Char"/>
          <w:b/>
        </w:rPr>
        <w:t xml:space="preserve"> Provider Reassessments</w:t>
      </w:r>
      <w:bookmarkEnd w:id="31"/>
      <w:r w:rsidRPr="00AD4555">
        <w:t xml:space="preserve"> </w:t>
      </w:r>
    </w:p>
    <w:p w14:paraId="00229BF1" w14:textId="7514B8D6" w:rsidR="00B3499D" w:rsidRDefault="00B3499D" w:rsidP="00947EDB">
      <w:bookmarkStart w:id="32" w:name="AIDPriorAuthorizationRequest"/>
      <w:bookmarkEnd w:id="32"/>
      <w:r w:rsidRPr="00426A62">
        <w:t>HCBS providers have the option to partner with DSDS</w:t>
      </w:r>
      <w:r w:rsidR="00326C1B">
        <w:t>/</w:t>
      </w:r>
      <w:r w:rsidRPr="00426A62">
        <w:t>B</w:t>
      </w:r>
      <w:r w:rsidR="00367E1D">
        <w:t>FP</w:t>
      </w:r>
      <w:r w:rsidRPr="00426A62">
        <w:t xml:space="preserve"> to gather the necessary information </w:t>
      </w:r>
      <w:r w:rsidR="005463EA" w:rsidRPr="00426A62">
        <w:t>for</w:t>
      </w:r>
      <w:r w:rsidRPr="00426A62">
        <w:t xml:space="preserve"> DSDS/</w:t>
      </w:r>
      <w:r w:rsidR="00626D98">
        <w:t>BFP</w:t>
      </w:r>
      <w:r w:rsidR="00626D98" w:rsidRPr="00426A62">
        <w:t xml:space="preserve"> </w:t>
      </w:r>
      <w:r w:rsidRPr="00426A62">
        <w:t>to determine continued eligibility for HCBS</w:t>
      </w:r>
      <w:r w:rsidR="00856F04">
        <w:t xml:space="preserve">. </w:t>
      </w:r>
      <w:r w:rsidRPr="00426A62">
        <w:t>If a provider chooses not to participate in the reassessment and care planning process, DSDS/B</w:t>
      </w:r>
      <w:r w:rsidR="00367E1D">
        <w:t>FP</w:t>
      </w:r>
      <w:r w:rsidRPr="00426A62">
        <w:t xml:space="preserve"> </w:t>
      </w:r>
      <w:r w:rsidR="00366357">
        <w:t>will reassess</w:t>
      </w:r>
      <w:r w:rsidRPr="00426A62">
        <w:t xml:space="preserve"> the participant.</w:t>
      </w:r>
    </w:p>
    <w:p w14:paraId="2862F5F9" w14:textId="5E03AF89" w:rsidR="00B3499D" w:rsidRDefault="00B3499D" w:rsidP="00947EDB">
      <w:r w:rsidRPr="00426A62">
        <w:t>If a provider chooses to assist with the reassessment of participants</w:t>
      </w:r>
      <w:r w:rsidR="00366357">
        <w:t>, they</w:t>
      </w:r>
      <w:r w:rsidRPr="00426A62">
        <w:t xml:space="preserve"> </w:t>
      </w:r>
      <w:r w:rsidR="001647EE">
        <w:t xml:space="preserve">must meet </w:t>
      </w:r>
      <w:r w:rsidRPr="00426A62">
        <w:t xml:space="preserve">the </w:t>
      </w:r>
      <w:r w:rsidR="00366357">
        <w:t xml:space="preserve">reassessment provider </w:t>
      </w:r>
      <w:r w:rsidRPr="00426A62">
        <w:t xml:space="preserve">criteria </w:t>
      </w:r>
      <w:r w:rsidR="001647EE">
        <w:t xml:space="preserve">outlined in the </w:t>
      </w:r>
      <w:hyperlink r:id="rId36" w:history="1">
        <w:r w:rsidR="001647EE" w:rsidRPr="00AD4555">
          <w:rPr>
            <w:rStyle w:val="Hyperlink"/>
            <w:szCs w:val="20"/>
          </w:rPr>
          <w:t xml:space="preserve">Personal Care </w:t>
        </w:r>
        <w:r w:rsidR="00055860">
          <w:rPr>
            <w:rStyle w:val="Hyperlink"/>
          </w:rPr>
          <w:t xml:space="preserve">Provider </w:t>
        </w:r>
        <w:r w:rsidR="001647EE" w:rsidRPr="00AD4555">
          <w:rPr>
            <w:rStyle w:val="Hyperlink"/>
            <w:szCs w:val="20"/>
          </w:rPr>
          <w:t>Manual</w:t>
        </w:r>
      </w:hyperlink>
      <w:r w:rsidR="001647EE" w:rsidRPr="00E829F3">
        <w:t>.</w:t>
      </w:r>
      <w:r w:rsidR="001647EE">
        <w:t xml:space="preserve"> </w:t>
      </w:r>
    </w:p>
    <w:p w14:paraId="7BD5A655" w14:textId="10B22F3D" w:rsidR="00B3499D" w:rsidRPr="00426A62" w:rsidRDefault="00426A62" w:rsidP="00AD4555">
      <w:pPr>
        <w:pStyle w:val="Heading3"/>
        <w:rPr>
          <w:color w:val="215868" w:themeColor="accent5" w:themeShade="80"/>
        </w:rPr>
      </w:pPr>
      <w:bookmarkStart w:id="33" w:name="_Toc228793574"/>
      <w:r w:rsidRPr="00AD4555">
        <w:t>2.1</w:t>
      </w:r>
      <w:r w:rsidR="00B5740A" w:rsidRPr="00AD4555">
        <w:t>1</w:t>
      </w:r>
      <w:r w:rsidRPr="00AD4555">
        <w:t xml:space="preserve"> Home and Community</w:t>
      </w:r>
      <w:r w:rsidR="00A43809" w:rsidRPr="00AD4555">
        <w:t>-</w:t>
      </w:r>
      <w:r w:rsidRPr="00AD4555">
        <w:t>Based Services Setting Requirements</w:t>
      </w:r>
      <w:bookmarkEnd w:id="33"/>
      <w:r w:rsidRPr="00AD4555">
        <w:t xml:space="preserve"> </w:t>
      </w:r>
    </w:p>
    <w:p w14:paraId="4E5AFA4C" w14:textId="22EBDB74" w:rsidR="00B3499D" w:rsidRPr="00426A62" w:rsidRDefault="00B3499D" w:rsidP="00947EDB">
      <w:r w:rsidRPr="00426A62">
        <w:t xml:space="preserve">In accordance with </w:t>
      </w:r>
      <w:hyperlink r:id="rId37" w:history="1">
        <w:r w:rsidR="00AF1DDA" w:rsidRPr="00AD4555">
          <w:rPr>
            <w:rStyle w:val="Hyperlink"/>
          </w:rPr>
          <w:t>42 CFR 441.301(c)(4)</w:t>
        </w:r>
      </w:hyperlink>
      <w:r w:rsidR="00AF1DDA" w:rsidRPr="00AD4555">
        <w:rPr>
          <w:rStyle w:val="Hyperlink"/>
          <w:rFonts w:cs="Tahoma"/>
          <w:b w:val="0"/>
          <w:color w:val="auto"/>
          <w:szCs w:val="23"/>
          <w:u w:val="none"/>
        </w:rPr>
        <w:t xml:space="preserve">, </w:t>
      </w:r>
      <w:r w:rsidRPr="00426A62">
        <w:t>the setting in which HCBS are provided must be integrated in and support full access of individuals receiving HCBS to the greater community. This includes opportunities to seek employment and work in competitive and integrated settings, engage in community life, control personal resources, choose where they live</w:t>
      </w:r>
      <w:r w:rsidR="00845084">
        <w:t>,</w:t>
      </w:r>
      <w:r w:rsidRPr="00426A62">
        <w:t xml:space="preserve"> and receive services in the community to the same degree as individuals who do not receive </w:t>
      </w:r>
      <w:r w:rsidR="00403D77">
        <w:t>HCBS</w:t>
      </w:r>
      <w:r w:rsidRPr="00426A62">
        <w:t>.</w:t>
      </w:r>
      <w:r w:rsidRPr="00426A62" w:rsidDel="00715306">
        <w:t xml:space="preserve"> </w:t>
      </w:r>
    </w:p>
    <w:p w14:paraId="33B1B3F6" w14:textId="293A3D5D" w:rsidR="00AF1DDA" w:rsidRDefault="00426A62" w:rsidP="00947EDB">
      <w:r w:rsidRPr="002D0EA9">
        <w:t xml:space="preserve">To comply with </w:t>
      </w:r>
      <w:hyperlink r:id="rId38" w:history="1">
        <w:r w:rsidRPr="00AD4555">
          <w:rPr>
            <w:rStyle w:val="Hyperlink"/>
          </w:rPr>
          <w:t>42 CFR 441.301(c)(4)</w:t>
        </w:r>
      </w:hyperlink>
      <w:r w:rsidRPr="00AD4555">
        <w:rPr>
          <w:bCs/>
        </w:rPr>
        <w:t>,</w:t>
      </w:r>
      <w:r w:rsidRPr="00AD4555">
        <w:rPr>
          <w:b/>
        </w:rPr>
        <w:t xml:space="preserve"> </w:t>
      </w:r>
      <w:r w:rsidRPr="002D0EA9">
        <w:t xml:space="preserve">providers who enroll with </w:t>
      </w:r>
      <w:r w:rsidR="00403D77">
        <w:t>MHD</w:t>
      </w:r>
      <w:r w:rsidRPr="002D0EA9">
        <w:t xml:space="preserve"> must </w:t>
      </w:r>
      <w:r w:rsidR="00A7560A">
        <w:t xml:space="preserve">be in compliance and </w:t>
      </w:r>
      <w:r w:rsidRPr="002D0EA9">
        <w:t>maintain continued compliance with the following requirements</w:t>
      </w:r>
      <w:r w:rsidR="00EC4967">
        <w:t xml:space="preserve">:   </w:t>
      </w:r>
    </w:p>
    <w:p w14:paraId="286C177C" w14:textId="22BFF408" w:rsidR="00B3499D" w:rsidRPr="00AF1DDA" w:rsidRDefault="00B3499D" w:rsidP="00AD4555">
      <w:pPr>
        <w:pStyle w:val="ListBullet"/>
      </w:pPr>
      <w:r w:rsidRPr="00AF1DDA">
        <w:t>Be integrated in and support full access to the greater community</w:t>
      </w:r>
    </w:p>
    <w:p w14:paraId="55CDAB64" w14:textId="189CEAD5" w:rsidR="00B3499D" w:rsidRPr="00AF1DDA" w:rsidRDefault="00B3499D" w:rsidP="00AD4555">
      <w:pPr>
        <w:pStyle w:val="ListBullet"/>
      </w:pPr>
      <w:r w:rsidRPr="00AF1DDA">
        <w:t>Provide opportunities to seek employment, work in competitive integrated settings, engage in community life, and control personal resources</w:t>
      </w:r>
    </w:p>
    <w:p w14:paraId="4E34EFC6" w14:textId="66B384FC" w:rsidR="00B3499D" w:rsidRPr="00AF1DDA" w:rsidRDefault="00B3499D" w:rsidP="00AD4555">
      <w:pPr>
        <w:pStyle w:val="ListBullet"/>
      </w:pPr>
      <w:r w:rsidRPr="00AF1DDA">
        <w:t>Ensure the individual receives services in the community to the same degree of access as individuals not receiv</w:t>
      </w:r>
      <w:r w:rsidR="00F10C49">
        <w:t xml:space="preserve">ing </w:t>
      </w:r>
      <w:r w:rsidR="00055860">
        <w:t xml:space="preserve">MO HealthNet </w:t>
      </w:r>
      <w:r w:rsidR="00403D77">
        <w:t>HCBS</w:t>
      </w:r>
    </w:p>
    <w:p w14:paraId="5FDF4D9A" w14:textId="470DFE9C" w:rsidR="00B3499D" w:rsidRPr="00AF1DDA" w:rsidRDefault="00B3499D" w:rsidP="00AD4555">
      <w:pPr>
        <w:pStyle w:val="ListBullet"/>
      </w:pPr>
      <w:r w:rsidRPr="00AF1DDA">
        <w:t>Be selected by the individual from among setting options, including non-disability specific settings and options for a private unit in a residential setting</w:t>
      </w:r>
    </w:p>
    <w:p w14:paraId="14B10283" w14:textId="22A0B8A3" w:rsidR="00B3499D" w:rsidRPr="00AF1DDA" w:rsidRDefault="00B3499D" w:rsidP="00AD4555">
      <w:pPr>
        <w:pStyle w:val="ListBullet"/>
      </w:pPr>
      <w:r w:rsidRPr="00AF1DDA">
        <w:t>Ensure an individual’s rights of privacy, dignity, respect, and freedom from coercion and restraint</w:t>
      </w:r>
    </w:p>
    <w:p w14:paraId="65BA0ED7" w14:textId="764667C2" w:rsidR="00B3499D" w:rsidRPr="00AF1DDA" w:rsidRDefault="00B3499D" w:rsidP="00AD4555">
      <w:pPr>
        <w:pStyle w:val="ListBullet"/>
      </w:pPr>
      <w:r w:rsidRPr="00AF1DDA">
        <w:t xml:space="preserve">Optimize individual initiative, </w:t>
      </w:r>
      <w:r w:rsidR="00EE120C" w:rsidRPr="00AF1DDA">
        <w:t>autonomy,</w:t>
      </w:r>
      <w:r w:rsidRPr="00AF1DDA">
        <w:t xml:space="preserve"> and independence in making life choices, including but not limited to daily activities, physical environment, and with whom to interact</w:t>
      </w:r>
    </w:p>
    <w:p w14:paraId="2DD8313D" w14:textId="3C71558A" w:rsidR="00B3499D" w:rsidRPr="00AF1DDA" w:rsidRDefault="00B3499D" w:rsidP="00AD4555">
      <w:pPr>
        <w:pStyle w:val="ListBullet"/>
      </w:pPr>
      <w:r w:rsidRPr="00AF1DDA">
        <w:t>Facilitate individual choice regarding services and supports, and who provides them</w:t>
      </w:r>
    </w:p>
    <w:p w14:paraId="5DC630B1" w14:textId="085CB4E9" w:rsidR="00677B0C" w:rsidRDefault="00677B0C" w:rsidP="008F0899">
      <w:pPr>
        <w:pStyle w:val="Heading2"/>
      </w:pPr>
      <w:bookmarkStart w:id="34" w:name="AGELCDE_LTACSClientDataEntry_"/>
      <w:bookmarkStart w:id="35" w:name="AGEHomeandCommunityServicesIntakeScreeni"/>
      <w:bookmarkStart w:id="36" w:name="AGEServicePlan"/>
      <w:bookmarkStart w:id="37" w:name="PERMissouriDivisionofAgingHomeandCommuni"/>
      <w:bookmarkStart w:id="38" w:name="AGEServicePlanSupplement"/>
      <w:bookmarkStart w:id="39" w:name="_SECTION_14_-"/>
      <w:bookmarkStart w:id="40" w:name="_Toc228793575"/>
      <w:bookmarkEnd w:id="34"/>
      <w:bookmarkEnd w:id="35"/>
      <w:bookmarkEnd w:id="36"/>
      <w:bookmarkEnd w:id="37"/>
      <w:bookmarkEnd w:id="38"/>
      <w:bookmarkEnd w:id="39"/>
      <w:r w:rsidRPr="00EF23AD">
        <w:t>Section 3</w:t>
      </w:r>
      <w:r w:rsidR="00F10C49" w:rsidRPr="00EF23AD">
        <w:t>:</w:t>
      </w:r>
      <w:r w:rsidR="00AB3F22">
        <w:t xml:space="preserve"> </w:t>
      </w:r>
      <w:r w:rsidRPr="00EF23AD">
        <w:t>Special Documentation Requirements</w:t>
      </w:r>
      <w:bookmarkEnd w:id="40"/>
      <w:r w:rsidRPr="00EF23AD">
        <w:t xml:space="preserve"> </w:t>
      </w:r>
    </w:p>
    <w:p w14:paraId="1746E220" w14:textId="3F2F36DA" w:rsidR="00677B0C" w:rsidRPr="00EF23AD" w:rsidRDefault="00677B0C" w:rsidP="00EF23AD">
      <w:pPr>
        <w:pStyle w:val="Heading3"/>
      </w:pPr>
      <w:bookmarkStart w:id="41" w:name="_3.1_Requirements"/>
      <w:bookmarkStart w:id="42" w:name="_3.1_Prior_Authorization"/>
      <w:bookmarkStart w:id="43" w:name="_Toc228793576"/>
      <w:bookmarkEnd w:id="41"/>
      <w:bookmarkEnd w:id="42"/>
      <w:r w:rsidRPr="00EF23AD">
        <w:t xml:space="preserve">3.1 </w:t>
      </w:r>
      <w:r w:rsidR="00055860">
        <w:t>Prior Authorization</w:t>
      </w:r>
      <w:bookmarkEnd w:id="43"/>
    </w:p>
    <w:p w14:paraId="484CA6FC" w14:textId="65822302" w:rsidR="00CB20FA" w:rsidRDefault="00677B0C" w:rsidP="00947EDB">
      <w:r w:rsidRPr="00677B0C">
        <w:t xml:space="preserve">All services covered </w:t>
      </w:r>
      <w:r>
        <w:t>by</w:t>
      </w:r>
      <w:r w:rsidR="0098456E">
        <w:t xml:space="preserve"> </w:t>
      </w:r>
      <w:r w:rsidR="00F00D0D">
        <w:t>the</w:t>
      </w:r>
      <w:r w:rsidRPr="00677B0C">
        <w:t xml:space="preserve"> </w:t>
      </w:r>
      <w:r w:rsidR="00686048">
        <w:t xml:space="preserve">Missouri Title XIX </w:t>
      </w:r>
      <w:r w:rsidR="00F00D0D">
        <w:t>Independent Living Waiver (</w:t>
      </w:r>
      <w:r w:rsidR="00327653">
        <w:t>ILW</w:t>
      </w:r>
      <w:r w:rsidR="00F00D0D">
        <w:t>)</w:t>
      </w:r>
      <w:r w:rsidRPr="00677B0C">
        <w:t xml:space="preserve"> </w:t>
      </w:r>
      <w:r w:rsidRPr="00677B0C">
        <w:rPr>
          <w:rStyle w:val="Itlc"/>
          <w:rFonts w:eastAsiaTheme="minorEastAsia" w:cs="Tahoma"/>
          <w:i w:val="0"/>
          <w:iCs/>
          <w:color w:val="auto"/>
          <w:szCs w:val="23"/>
        </w:rPr>
        <w:t>must</w:t>
      </w:r>
      <w:r w:rsidRPr="00677B0C">
        <w:t xml:space="preserve"> be prior authorized by </w:t>
      </w:r>
      <w:r w:rsidR="00F00D0D">
        <w:t xml:space="preserve">the </w:t>
      </w:r>
      <w:r w:rsidR="00F00D0D" w:rsidRPr="003F229C">
        <w:t xml:space="preserve">Department of Health and Senior Services (DHSS), Division of Senior and Disability Services (DSDS), Bureau </w:t>
      </w:r>
      <w:r w:rsidR="00EF23AD">
        <w:t>of Federal Programs (BFP)</w:t>
      </w:r>
      <w:r w:rsidR="005921CC">
        <w:t>.</w:t>
      </w:r>
      <w:r w:rsidR="00F00D0D" w:rsidRPr="003F229C">
        <w:t xml:space="preserve"> </w:t>
      </w:r>
      <w:r w:rsidR="00CB20FA">
        <w:t xml:space="preserve">Refer to </w:t>
      </w:r>
      <w:hyperlink w:anchor="_2.6_Authorization_of" w:history="1">
        <w:r w:rsidR="00CB20FA" w:rsidRPr="005921CC">
          <w:rPr>
            <w:rStyle w:val="Hyperlink"/>
          </w:rPr>
          <w:t>Section 2.6</w:t>
        </w:r>
      </w:hyperlink>
      <w:r w:rsidR="00CB20FA">
        <w:t xml:space="preserve"> </w:t>
      </w:r>
      <w:r w:rsidR="007A614D">
        <w:t xml:space="preserve">of </w:t>
      </w:r>
      <w:r w:rsidR="00CB20FA">
        <w:t xml:space="preserve">this manual for more information. </w:t>
      </w:r>
    </w:p>
    <w:p w14:paraId="155DA7B7" w14:textId="281650E8" w:rsidR="00677B0C" w:rsidRPr="00677B0C" w:rsidRDefault="00677B0C" w:rsidP="00947EDB">
      <w:r w:rsidRPr="00677B0C">
        <w:t xml:space="preserve">DSDS </w:t>
      </w:r>
      <w:r w:rsidR="00F10C49">
        <w:t xml:space="preserve">utilizes </w:t>
      </w:r>
      <w:r w:rsidR="001B5320">
        <w:t>the participant’s electronic case record</w:t>
      </w:r>
      <w:r w:rsidR="00184C88">
        <w:t>, which can be accessed by Home and Community-Based Services (HCBS) providers</w:t>
      </w:r>
      <w:r w:rsidR="00856F04">
        <w:t xml:space="preserve">. </w:t>
      </w:r>
      <w:r w:rsidR="00184C88">
        <w:t>HCBS</w:t>
      </w:r>
      <w:r w:rsidRPr="00677B0C">
        <w:t xml:space="preserve"> providers can receive guidance </w:t>
      </w:r>
      <w:r w:rsidR="001B5320">
        <w:t xml:space="preserve">on the </w:t>
      </w:r>
      <w:r w:rsidR="00184C88">
        <w:t xml:space="preserve">participant’s </w:t>
      </w:r>
      <w:r w:rsidR="001B5320">
        <w:t xml:space="preserve">electronic case record </w:t>
      </w:r>
      <w:r w:rsidRPr="00677B0C">
        <w:t xml:space="preserve">by reviewing </w:t>
      </w:r>
      <w:r w:rsidR="00F00D0D">
        <w:t xml:space="preserve">the </w:t>
      </w:r>
      <w:hyperlink r:id="rId39" w:history="1">
        <w:r w:rsidR="00F00D0D" w:rsidRPr="005921CC">
          <w:rPr>
            <w:rStyle w:val="Hyperlink"/>
          </w:rPr>
          <w:t>H</w:t>
        </w:r>
        <w:r w:rsidR="001B5320" w:rsidRPr="005921CC">
          <w:rPr>
            <w:rStyle w:val="Hyperlink"/>
          </w:rPr>
          <w:t xml:space="preserve">ome and </w:t>
        </w:r>
        <w:r w:rsidR="00F00D0D" w:rsidRPr="005921CC">
          <w:rPr>
            <w:rStyle w:val="Hyperlink"/>
          </w:rPr>
          <w:t>C</w:t>
        </w:r>
        <w:r w:rsidR="001B5320" w:rsidRPr="005921CC">
          <w:rPr>
            <w:rStyle w:val="Hyperlink"/>
          </w:rPr>
          <w:t xml:space="preserve">ommunity Based Services </w:t>
        </w:r>
        <w:r w:rsidR="00F00D0D" w:rsidRPr="005921CC">
          <w:rPr>
            <w:rStyle w:val="Hyperlink"/>
          </w:rPr>
          <w:t>Manual</w:t>
        </w:r>
      </w:hyperlink>
      <w:r w:rsidRPr="00EF23AD">
        <w:rPr>
          <w:rStyle w:val="Hyperlink"/>
          <w:szCs w:val="20"/>
        </w:rPr>
        <w:t>.</w:t>
      </w:r>
    </w:p>
    <w:p w14:paraId="456A4FDD" w14:textId="77777777" w:rsidR="00746F03" w:rsidRPr="00866BED" w:rsidRDefault="00746F03" w:rsidP="00947EDB">
      <w:pPr>
        <w:rPr>
          <w:rFonts w:cs="Tahoma"/>
          <w:szCs w:val="23"/>
        </w:rPr>
      </w:pPr>
      <w:r w:rsidRPr="00866BED">
        <w:rPr>
          <w:rFonts w:cs="Tahoma"/>
          <w:szCs w:val="23"/>
        </w:rPr>
        <w:t xml:space="preserve">The participant’s electronic case record indicates an approved ‘posted’ prior authorization (PA) and includes the following specific information: </w:t>
      </w:r>
    </w:p>
    <w:p w14:paraId="1A86B923" w14:textId="77777777" w:rsidR="00746F03" w:rsidRPr="00866BED" w:rsidRDefault="00746F03" w:rsidP="00746F03">
      <w:pPr>
        <w:pStyle w:val="ListBullet"/>
      </w:pPr>
      <w:r w:rsidRPr="00866BED">
        <w:t>PA number</w:t>
      </w:r>
    </w:p>
    <w:p w14:paraId="3D79441D" w14:textId="77777777" w:rsidR="00746F03" w:rsidRPr="00866BED" w:rsidRDefault="00746F03" w:rsidP="00746F03">
      <w:pPr>
        <w:pStyle w:val="ListBullet"/>
      </w:pPr>
      <w:r w:rsidRPr="00866BED">
        <w:t>Services authorized</w:t>
      </w:r>
    </w:p>
    <w:p w14:paraId="7036E28D" w14:textId="77777777" w:rsidR="00746F03" w:rsidRPr="00866BED" w:rsidRDefault="00746F03" w:rsidP="00746F03">
      <w:pPr>
        <w:pStyle w:val="ListBullet"/>
      </w:pPr>
      <w:r w:rsidRPr="00866BED">
        <w:t>Period covered by the authorization</w:t>
      </w:r>
    </w:p>
    <w:p w14:paraId="049E2925" w14:textId="77777777" w:rsidR="00746F03" w:rsidRPr="00866BED" w:rsidRDefault="00746F03" w:rsidP="00746F03">
      <w:pPr>
        <w:pStyle w:val="ListBullet"/>
      </w:pPr>
      <w:r w:rsidRPr="00866BED">
        <w:t>Total monthly units</w:t>
      </w:r>
    </w:p>
    <w:p w14:paraId="429D35E6" w14:textId="77777777" w:rsidR="00746F03" w:rsidRPr="00866BED" w:rsidRDefault="00746F03" w:rsidP="00746F03">
      <w:pPr>
        <w:pStyle w:val="ListBullet"/>
      </w:pPr>
      <w:r w:rsidRPr="00866BED">
        <w:t>Associated tasks and frequencies</w:t>
      </w:r>
    </w:p>
    <w:p w14:paraId="72629CF7" w14:textId="4F30685B" w:rsidR="00677B0C" w:rsidRPr="00677B0C" w:rsidRDefault="00677B0C" w:rsidP="00947EDB">
      <w:r w:rsidRPr="00677B0C">
        <w:t>The effective date for the posted authorization cannot precede the completion date of the assessment</w:t>
      </w:r>
      <w:r w:rsidR="00856F04">
        <w:t xml:space="preserve">. </w:t>
      </w:r>
      <w:r w:rsidRPr="00677B0C">
        <w:t>The end date for the posted authorization shall not exceed the last full month within 365 days from the completion date of the assessment.</w:t>
      </w:r>
    </w:p>
    <w:p w14:paraId="4C2CA0A6" w14:textId="0171930C" w:rsidR="00677B0C" w:rsidRPr="00677B0C" w:rsidRDefault="00677B0C" w:rsidP="00947EDB">
      <w:r w:rsidRPr="00677B0C">
        <w:t xml:space="preserve">The provider should be aware that if a participant loses MO HealthNet eligibility during an ILW authorized </w:t>
      </w:r>
      <w:r w:rsidR="005463EA" w:rsidRPr="00677B0C">
        <w:t>period</w:t>
      </w:r>
      <w:r w:rsidRPr="00677B0C">
        <w:t xml:space="preserve">, services are not reimbursed for the ineligible dates. </w:t>
      </w:r>
      <w:r w:rsidR="006F2EFF">
        <w:t>Refer</w:t>
      </w:r>
      <w:r w:rsidRPr="00677B0C">
        <w:t xml:space="preserve"> to the </w:t>
      </w:r>
      <w:hyperlink r:id="rId40" w:history="1">
        <w:r w:rsidRPr="00EF23AD">
          <w:rPr>
            <w:rStyle w:val="Hyperlink"/>
            <w:szCs w:val="20"/>
          </w:rPr>
          <w:t xml:space="preserve">General </w:t>
        </w:r>
        <w:r w:rsidR="00BD6A13" w:rsidRPr="00EF23AD">
          <w:rPr>
            <w:rStyle w:val="Hyperlink"/>
            <w:szCs w:val="20"/>
          </w:rPr>
          <w:t xml:space="preserve">Sections </w:t>
        </w:r>
        <w:r w:rsidRPr="00EF23AD">
          <w:rPr>
            <w:rStyle w:val="Hyperlink"/>
            <w:szCs w:val="20"/>
          </w:rPr>
          <w:t>Manual</w:t>
        </w:r>
      </w:hyperlink>
      <w:r w:rsidRPr="00EF23AD">
        <w:rPr>
          <w:rStyle w:val="Hyperlink"/>
          <w:szCs w:val="20"/>
          <w:u w:val="none"/>
        </w:rPr>
        <w:t xml:space="preserve"> </w:t>
      </w:r>
      <w:r w:rsidRPr="00677B0C">
        <w:t>for details about participant eligibility.</w:t>
      </w:r>
    </w:p>
    <w:p w14:paraId="671BCFF4" w14:textId="714459B1" w:rsidR="00677B0C" w:rsidRPr="00677B0C" w:rsidRDefault="00677B0C" w:rsidP="00947EDB">
      <w:r w:rsidRPr="00677B0C">
        <w:t xml:space="preserve">Providers </w:t>
      </w:r>
      <w:r w:rsidR="00913C34">
        <w:t>must ensure</w:t>
      </w:r>
      <w:r w:rsidRPr="00677B0C">
        <w:t xml:space="preserve"> the participant's name and identification number </w:t>
      </w:r>
      <w:r w:rsidR="00D54375">
        <w:t xml:space="preserve">in the participant’s electronic case record </w:t>
      </w:r>
      <w:r w:rsidRPr="00677B0C">
        <w:t>match the participant's MO HealthNet ID card</w:t>
      </w:r>
      <w:r w:rsidR="00746F03">
        <w:t xml:space="preserve"> </w:t>
      </w:r>
      <w:r w:rsidRPr="00677B0C">
        <w:t>and that the</w:t>
      </w:r>
      <w:r w:rsidR="00746F03">
        <w:t xml:space="preserve"> </w:t>
      </w:r>
      <w:r w:rsidR="003F5827">
        <w:t xml:space="preserve">participant’s </w:t>
      </w:r>
      <w:r w:rsidR="00746F03">
        <w:t>electronic case record</w:t>
      </w:r>
      <w:r w:rsidRPr="00677B0C">
        <w:t xml:space="preserve"> contains the provider's correct name for the service to be provided. If any of these items are incorrect, the provider should immediately contact </w:t>
      </w:r>
      <w:r w:rsidR="00D54375">
        <w:t xml:space="preserve">the appropriate </w:t>
      </w:r>
      <w:hyperlink r:id="rId41" w:history="1">
        <w:r w:rsidR="00D54375" w:rsidRPr="00EF23AD">
          <w:rPr>
            <w:rStyle w:val="Hyperlink"/>
            <w:szCs w:val="20"/>
          </w:rPr>
          <w:t>DSDS Person</w:t>
        </w:r>
        <w:r w:rsidR="00367E1D">
          <w:rPr>
            <w:rStyle w:val="Hyperlink"/>
          </w:rPr>
          <w:t>-</w:t>
        </w:r>
        <w:r w:rsidR="00D54375" w:rsidRPr="00EF23AD">
          <w:rPr>
            <w:rStyle w:val="Hyperlink"/>
            <w:szCs w:val="20"/>
          </w:rPr>
          <w:t>Centered Care Plan</w:t>
        </w:r>
        <w:r w:rsidR="00055860">
          <w:rPr>
            <w:rStyle w:val="Hyperlink"/>
          </w:rPr>
          <w:t xml:space="preserve"> (PCCP)</w:t>
        </w:r>
        <w:r w:rsidR="00D54375" w:rsidRPr="00EF23AD">
          <w:rPr>
            <w:rStyle w:val="Hyperlink"/>
            <w:szCs w:val="20"/>
          </w:rPr>
          <w:t xml:space="preserve"> Team</w:t>
        </w:r>
      </w:hyperlink>
      <w:r w:rsidR="00D54375">
        <w:rPr>
          <w:rStyle w:val="Hyperlink"/>
          <w:rFonts w:cs="Tahoma"/>
          <w:color w:val="F79646" w:themeColor="accent6"/>
          <w:szCs w:val="23"/>
        </w:rPr>
        <w:t xml:space="preserve"> </w:t>
      </w:r>
      <w:r w:rsidRPr="00677B0C">
        <w:t>to initiate a correction</w:t>
      </w:r>
      <w:r w:rsidR="00D54375">
        <w:t xml:space="preserve"> or care plan change.</w:t>
      </w:r>
    </w:p>
    <w:p w14:paraId="3105A0B4" w14:textId="642BCD5E" w:rsidR="00677B0C" w:rsidRPr="00677B0C" w:rsidRDefault="00746F03" w:rsidP="00947EDB">
      <w:r>
        <w:t>T</w:t>
      </w:r>
      <w:r w:rsidR="00677B0C" w:rsidRPr="00677B0C">
        <w:t xml:space="preserve">he provider has access to scanned documents (e.g., </w:t>
      </w:r>
      <w:hyperlink r:id="rId42" w:history="1">
        <w:r w:rsidR="00677B0C" w:rsidRPr="009864D0">
          <w:rPr>
            <w:rStyle w:val="Hyperlink"/>
            <w:rFonts w:cstheme="minorBidi"/>
          </w:rPr>
          <w:t>Participant Choice Statement</w:t>
        </w:r>
      </w:hyperlink>
      <w:r w:rsidR="00677B0C" w:rsidRPr="00677B0C">
        <w:t xml:space="preserve">, HCBS General Health Evaluation &amp; </w:t>
      </w:r>
      <w:r w:rsidR="00913C34">
        <w:t>Level of Care (</w:t>
      </w:r>
      <w:r w:rsidR="00677B0C" w:rsidRPr="00677B0C">
        <w:t>LOC</w:t>
      </w:r>
      <w:r w:rsidR="00913C34">
        <w:t>)</w:t>
      </w:r>
      <w:r w:rsidR="00677B0C" w:rsidRPr="00677B0C">
        <w:t xml:space="preserve"> recommendation) and Case Notes within the participant’s </w:t>
      </w:r>
      <w:r w:rsidR="00D54375">
        <w:t>electronic case</w:t>
      </w:r>
      <w:r w:rsidR="00677B0C" w:rsidRPr="00677B0C">
        <w:t xml:space="preserve"> record</w:t>
      </w:r>
      <w:r>
        <w:t>.</w:t>
      </w:r>
      <w:r w:rsidR="00677B0C" w:rsidRPr="00677B0C">
        <w:t xml:space="preserve"> </w:t>
      </w:r>
    </w:p>
    <w:p w14:paraId="7A2A89FB" w14:textId="232693FD" w:rsidR="00677B0C" w:rsidRDefault="00D42FE5" w:rsidP="00947EDB">
      <w:r>
        <w:t>A</w:t>
      </w:r>
      <w:r w:rsidR="00677B0C" w:rsidRPr="00677B0C">
        <w:t xml:space="preserve">ny document used to bill for services rendered (e.g., </w:t>
      </w:r>
      <w:r w:rsidR="0045429D">
        <w:t>e</w:t>
      </w:r>
      <w:r w:rsidR="00677B0C" w:rsidRPr="00677B0C">
        <w:t xml:space="preserve">lectronic </w:t>
      </w:r>
      <w:r w:rsidR="0045429D">
        <w:t>v</w:t>
      </w:r>
      <w:r w:rsidR="00677B0C" w:rsidRPr="00677B0C">
        <w:t xml:space="preserve">isit </w:t>
      </w:r>
      <w:r w:rsidR="0045429D">
        <w:t>v</w:t>
      </w:r>
      <w:r w:rsidR="00677B0C" w:rsidRPr="00677B0C">
        <w:t>erification</w:t>
      </w:r>
      <w:r w:rsidR="00913C34">
        <w:t xml:space="preserve"> (EVV)</w:t>
      </w:r>
      <w:r w:rsidR="00677B0C" w:rsidRPr="00677B0C">
        <w:t xml:space="preserve"> records) </w:t>
      </w:r>
      <w:r w:rsidR="00677B0C" w:rsidRPr="00D42FE5">
        <w:rPr>
          <w:rStyle w:val="Itlc"/>
          <w:rFonts w:eastAsiaTheme="minorEastAsia" w:cs="Tahoma"/>
          <w:i w:val="0"/>
          <w:iCs/>
          <w:color w:val="auto"/>
          <w:szCs w:val="23"/>
        </w:rPr>
        <w:t>must</w:t>
      </w:r>
      <w:r w:rsidR="00677B0C" w:rsidRPr="00D42FE5">
        <w:t xml:space="preserve"> </w:t>
      </w:r>
      <w:r w:rsidR="00677B0C" w:rsidRPr="00677B0C">
        <w:t xml:space="preserve">be retained for </w:t>
      </w:r>
      <w:r w:rsidR="002C4F6F">
        <w:t>six</w:t>
      </w:r>
      <w:r w:rsidR="002C4F6F" w:rsidRPr="00677B0C">
        <w:t xml:space="preserve"> </w:t>
      </w:r>
      <w:r w:rsidR="00677B0C" w:rsidRPr="00677B0C">
        <w:t>(</w:t>
      </w:r>
      <w:r w:rsidR="002C4F6F">
        <w:t>6</w:t>
      </w:r>
      <w:r w:rsidR="00677B0C" w:rsidRPr="00677B0C">
        <w:t xml:space="preserve">) years and be open to inspection as specified in </w:t>
      </w:r>
      <w:hyperlink w:anchor="AIDMedicaidAIDSHIVWaiverProgramAddendumt" w:history="1">
        <w:r w:rsidR="00677B0C" w:rsidRPr="00EF23AD">
          <w:rPr>
            <w:rStyle w:val="Hyperlink"/>
            <w:szCs w:val="20"/>
          </w:rPr>
          <w:t>Section 2</w:t>
        </w:r>
        <w:r w:rsidR="00055860" w:rsidRPr="00055860">
          <w:rPr>
            <w:rStyle w:val="Hyperlink"/>
          </w:rPr>
          <w:t>.7</w:t>
        </w:r>
      </w:hyperlink>
      <w:r w:rsidR="00677B0C" w:rsidRPr="00677B0C">
        <w:t xml:space="preserve"> of this manual.</w:t>
      </w:r>
    </w:p>
    <w:p w14:paraId="4CFC50DA" w14:textId="303D9113" w:rsidR="00677B0C" w:rsidRPr="00D42FE5" w:rsidRDefault="00F10C49" w:rsidP="00EF23AD">
      <w:pPr>
        <w:pStyle w:val="Heading3"/>
      </w:pPr>
      <w:bookmarkStart w:id="44" w:name="_Toc228793577"/>
      <w:r>
        <w:t>3.2 Home and Community</w:t>
      </w:r>
      <w:r w:rsidR="00A43809">
        <w:t>-</w:t>
      </w:r>
      <w:r w:rsidR="00D42FE5" w:rsidRPr="00D42FE5">
        <w:t>Based Services Referral</w:t>
      </w:r>
      <w:bookmarkEnd w:id="44"/>
    </w:p>
    <w:p w14:paraId="7CA390B1" w14:textId="34A67C6A" w:rsidR="001D2182" w:rsidRDefault="00677B0C" w:rsidP="00947EDB">
      <w:r w:rsidRPr="00677B0C">
        <w:t xml:space="preserve">Referrals for HCBS can be made to DSDS by </w:t>
      </w:r>
      <w:r w:rsidR="001D2182">
        <w:t>using one</w:t>
      </w:r>
      <w:r w:rsidR="00055860">
        <w:t xml:space="preserve"> (1)</w:t>
      </w:r>
      <w:r w:rsidR="001D2182">
        <w:t xml:space="preserve"> of the following options: </w:t>
      </w:r>
    </w:p>
    <w:p w14:paraId="49AB906F" w14:textId="381C6430" w:rsidR="003777C5" w:rsidRPr="00677B0C" w:rsidRDefault="001D2182" w:rsidP="00EF23AD">
      <w:pPr>
        <w:pStyle w:val="ListBullet"/>
      </w:pPr>
      <w:r>
        <w:t>Submit</w:t>
      </w:r>
      <w:r w:rsidRPr="00677B0C">
        <w:t xml:space="preserve"> </w:t>
      </w:r>
      <w:r w:rsidR="00677B0C" w:rsidRPr="00677B0C">
        <w:t>the</w:t>
      </w:r>
      <w:r>
        <w:t xml:space="preserve"> referral using </w:t>
      </w:r>
      <w:r w:rsidR="00521E87" w:rsidRPr="00521E87">
        <w:t>the</w:t>
      </w:r>
      <w:r w:rsidR="00521E87" w:rsidRPr="00521E87">
        <w:rPr>
          <w:b/>
        </w:rPr>
        <w:t xml:space="preserve"> </w:t>
      </w:r>
      <w:hyperlink r:id="rId43" w:history="1">
        <w:r w:rsidR="00521E87" w:rsidRPr="00521E87">
          <w:rPr>
            <w:rStyle w:val="Hyperlink"/>
            <w:szCs w:val="20"/>
          </w:rPr>
          <w:t>Online HCBS Referral</w:t>
        </w:r>
      </w:hyperlink>
      <w:r w:rsidR="00677B0C" w:rsidRPr="00677B0C">
        <w:t xml:space="preserve">. This is the preferred method to submit referrals as this allows for increased efficiency with processing. </w:t>
      </w:r>
    </w:p>
    <w:p w14:paraId="2A1699FB" w14:textId="395A689C" w:rsidR="00677B0C" w:rsidRPr="00677B0C" w:rsidRDefault="001D2182" w:rsidP="00EF23AD">
      <w:pPr>
        <w:pStyle w:val="ListBullet"/>
      </w:pPr>
      <w:r>
        <w:t>Complete</w:t>
      </w:r>
      <w:r w:rsidR="00677B0C" w:rsidRPr="00677B0C">
        <w:t xml:space="preserve"> the </w:t>
      </w:r>
      <w:hyperlink r:id="rId44" w:history="1">
        <w:r w:rsidR="00677B0C" w:rsidRPr="00EF23AD">
          <w:rPr>
            <w:rStyle w:val="Hyperlink"/>
            <w:szCs w:val="20"/>
          </w:rPr>
          <w:t>Home and Community Based Services Referral Form</w:t>
        </w:r>
      </w:hyperlink>
      <w:r w:rsidR="00677B0C" w:rsidRPr="00677B0C">
        <w:t xml:space="preserve"> and email </w:t>
      </w:r>
      <w:r w:rsidR="00055860">
        <w:t xml:space="preserve">the completed form </w:t>
      </w:r>
      <w:r w:rsidR="00677B0C" w:rsidRPr="00677B0C">
        <w:t xml:space="preserve">to </w:t>
      </w:r>
      <w:hyperlink r:id="rId45" w:history="1">
        <w:r w:rsidR="00554AF7" w:rsidRPr="00EF23AD">
          <w:rPr>
            <w:rStyle w:val="Hyperlink"/>
            <w:szCs w:val="20"/>
          </w:rPr>
          <w:t>HCBSCallCenterReferrals@health.mo.gov</w:t>
        </w:r>
      </w:hyperlink>
      <w:r w:rsidR="00677B0C" w:rsidRPr="00677B0C">
        <w:t xml:space="preserve">. This form should be utilized in instances where referrals cannot be submitted online. </w:t>
      </w:r>
    </w:p>
    <w:p w14:paraId="10C7C861" w14:textId="05160B30" w:rsidR="00120ED2" w:rsidRDefault="00677B0C" w:rsidP="00947EDB">
      <w:r w:rsidRPr="00677B0C">
        <w:t>NOTE</w:t>
      </w:r>
      <w:r w:rsidR="00C77F81">
        <w:t>:</w:t>
      </w:r>
      <w:r w:rsidR="002433EC">
        <w:tab/>
      </w:r>
      <w:r w:rsidRPr="00677B0C">
        <w:t xml:space="preserve">The HCBS Intake and </w:t>
      </w:r>
      <w:r w:rsidR="00055860">
        <w:t>PCCP</w:t>
      </w:r>
      <w:r w:rsidRPr="00677B0C">
        <w:t xml:space="preserve"> Customer Service Center phone lines are reserved for participants and their supports who have no other means to initiate communication with DSDS. Providers and professional community partners must initiate HCBS referra</w:t>
      </w:r>
      <w:r w:rsidR="00AB3F5F">
        <w:t>ls and requests electronically.</w:t>
      </w:r>
      <w:r w:rsidR="00D40526">
        <w:t xml:space="preserve"> </w:t>
      </w:r>
      <w:r w:rsidR="003777C5">
        <w:t>R</w:t>
      </w:r>
      <w:r w:rsidR="00D40526">
        <w:t xml:space="preserve">efer to the </w:t>
      </w:r>
      <w:hyperlink r:id="rId46" w:history="1">
        <w:r w:rsidR="00D40526" w:rsidRPr="00EF23AD">
          <w:rPr>
            <w:rStyle w:val="Hyperlink"/>
          </w:rPr>
          <w:t>Communicating with HCBS Intake and PCCP Quick Guide</w:t>
        </w:r>
      </w:hyperlink>
      <w:r w:rsidR="00D40526" w:rsidRPr="00EF23AD">
        <w:rPr>
          <w:b/>
          <w:color w:val="F79646" w:themeColor="accent6"/>
        </w:rPr>
        <w:t xml:space="preserve"> </w:t>
      </w:r>
      <w:r w:rsidR="00D40526" w:rsidRPr="00F06520">
        <w:t>for more information</w:t>
      </w:r>
      <w:r w:rsidR="00D40526">
        <w:t xml:space="preserve">. </w:t>
      </w:r>
    </w:p>
    <w:p w14:paraId="0946B2AE" w14:textId="1D9331AD" w:rsidR="00677B0C" w:rsidRPr="00D42FE5" w:rsidRDefault="00677B0C" w:rsidP="00EF23AD">
      <w:pPr>
        <w:pStyle w:val="Heading3"/>
        <w:rPr>
          <w:color w:val="215868" w:themeColor="accent5" w:themeShade="80"/>
        </w:rPr>
      </w:pPr>
      <w:bookmarkStart w:id="45" w:name="_Toc228793578"/>
      <w:r w:rsidRPr="00EF23AD">
        <w:t xml:space="preserve">3.3 </w:t>
      </w:r>
      <w:r w:rsidR="00D42FE5" w:rsidRPr="00EF23AD">
        <w:t>Participant Choice Statement</w:t>
      </w:r>
      <w:bookmarkEnd w:id="45"/>
    </w:p>
    <w:p w14:paraId="78417CAC" w14:textId="3A99A8ED" w:rsidR="00677B0C" w:rsidRPr="00677B0C" w:rsidRDefault="00677B0C" w:rsidP="00947EDB">
      <w:r w:rsidRPr="00677B0C">
        <w:t xml:space="preserve">The </w:t>
      </w:r>
      <w:hyperlink r:id="rId47" w:history="1">
        <w:r w:rsidRPr="00521E87">
          <w:rPr>
            <w:rStyle w:val="Hyperlink"/>
            <w:bCs/>
            <w:color w:val="002060"/>
          </w:rPr>
          <w:t>Participant Choice Statement</w:t>
        </w:r>
      </w:hyperlink>
      <w:r w:rsidRPr="00677B0C">
        <w:t xml:space="preserve"> allows documentation of the participant’s involvement in determining the </w:t>
      </w:r>
      <w:r w:rsidR="00367E1D">
        <w:t xml:space="preserve">care plan </w:t>
      </w:r>
      <w:r w:rsidRPr="00677B0C">
        <w:t>by including the participant’s acknowledgment of their</w:t>
      </w:r>
      <w:r w:rsidR="00EC4967">
        <w:t xml:space="preserve">:   </w:t>
      </w:r>
    </w:p>
    <w:p w14:paraId="0358CCEC" w14:textId="343C60A0" w:rsidR="00677B0C" w:rsidRPr="006A3575" w:rsidRDefault="00677B0C" w:rsidP="00EF23AD">
      <w:pPr>
        <w:pStyle w:val="ListBullet"/>
      </w:pPr>
      <w:r w:rsidRPr="006A3575">
        <w:t xml:space="preserve">Participation in the development of the </w:t>
      </w:r>
      <w:r w:rsidR="003F5827">
        <w:t>care plan</w:t>
      </w:r>
    </w:p>
    <w:p w14:paraId="00BA25B9" w14:textId="257F38A7" w:rsidR="00677B0C" w:rsidRPr="006A3575" w:rsidRDefault="00677B0C" w:rsidP="00EF23AD">
      <w:pPr>
        <w:pStyle w:val="ListBullet"/>
      </w:pPr>
      <w:r w:rsidRPr="006A3575">
        <w:t>Right to have anyone involved in the development of the care plan</w:t>
      </w:r>
    </w:p>
    <w:p w14:paraId="0045CF3A" w14:textId="75DCBF30" w:rsidR="00677B0C" w:rsidRPr="006A3575" w:rsidRDefault="00677B0C" w:rsidP="00EF23AD">
      <w:pPr>
        <w:pStyle w:val="ListBullet"/>
      </w:pPr>
      <w:r w:rsidRPr="006A3575">
        <w:t xml:space="preserve">Right to choose and receive </w:t>
      </w:r>
      <w:r w:rsidR="00D869E4" w:rsidRPr="006A3575">
        <w:t>HCBS</w:t>
      </w:r>
      <w:r w:rsidRPr="006A3575">
        <w:t xml:space="preserve"> rather than nursing facility care</w:t>
      </w:r>
    </w:p>
    <w:p w14:paraId="112B8D36" w14:textId="5658E68C" w:rsidR="00677B0C" w:rsidRPr="006A3575" w:rsidRDefault="00677B0C" w:rsidP="00EF23AD">
      <w:pPr>
        <w:pStyle w:val="ListBullet"/>
      </w:pPr>
      <w:r w:rsidRPr="006A3575">
        <w:t xml:space="preserve">Right to choose a qualified home and </w:t>
      </w:r>
      <w:r w:rsidR="00360EEA" w:rsidRPr="006A3575">
        <w:t>community-based</w:t>
      </w:r>
      <w:r w:rsidRPr="006A3575">
        <w:t xml:space="preserve"> provider</w:t>
      </w:r>
    </w:p>
    <w:p w14:paraId="4ED504E1" w14:textId="4A2DFF9F" w:rsidR="00677B0C" w:rsidRPr="006A3575" w:rsidRDefault="006664A2" w:rsidP="00EF23AD">
      <w:pPr>
        <w:pStyle w:val="ListBullet"/>
      </w:pPr>
      <w:r w:rsidRPr="006A3575">
        <w:t xml:space="preserve">Notification of </w:t>
      </w:r>
      <w:hyperlink r:id="rId48" w:history="1">
        <w:r w:rsidRPr="006C0DD5">
          <w:rPr>
            <w:rStyle w:val="Hyperlink"/>
            <w:szCs w:val="20"/>
          </w:rPr>
          <w:t>DHSS Notice of Privacy Practices</w:t>
        </w:r>
      </w:hyperlink>
    </w:p>
    <w:p w14:paraId="5D28F8EA" w14:textId="5A107C38" w:rsidR="00677B0C" w:rsidRPr="006A3575" w:rsidRDefault="006664A2" w:rsidP="00EF23AD">
      <w:pPr>
        <w:pStyle w:val="ListBullet"/>
      </w:pPr>
      <w:r w:rsidRPr="006A3575">
        <w:t xml:space="preserve">Acknowledgment of rights </w:t>
      </w:r>
      <w:r w:rsidR="00677B0C" w:rsidRPr="006A3575">
        <w:t>and responsibilities</w:t>
      </w:r>
    </w:p>
    <w:p w14:paraId="07E2064C" w14:textId="1CAD33A4" w:rsidR="00677B0C" w:rsidRPr="006A3575" w:rsidRDefault="00677B0C" w:rsidP="00EF23AD">
      <w:pPr>
        <w:pStyle w:val="ListBullet"/>
      </w:pPr>
      <w:r w:rsidRPr="006A3575">
        <w:t xml:space="preserve">Need to notify </w:t>
      </w:r>
      <w:r w:rsidR="004B146E">
        <w:t xml:space="preserve">the </w:t>
      </w:r>
      <w:r w:rsidR="00CF6737" w:rsidRPr="006C0DD5">
        <w:rPr>
          <w:rStyle w:val="Hyperlink"/>
          <w:szCs w:val="20"/>
        </w:rPr>
        <w:t xml:space="preserve">DHSS </w:t>
      </w:r>
      <w:hyperlink r:id="rId49" w:anchor=":~:text=Make%20a%20Difference.-,Make%20the%20Call,%2D800%2D392%2D0210." w:history="1">
        <w:r w:rsidR="004B146E" w:rsidRPr="006C0DD5">
          <w:rPr>
            <w:rStyle w:val="Hyperlink"/>
            <w:szCs w:val="20"/>
          </w:rPr>
          <w:t>Adult, Abuse, and Neglect Hotline</w:t>
        </w:r>
      </w:hyperlink>
      <w:r w:rsidRPr="006A3575">
        <w:t xml:space="preserve"> to report abuse, </w:t>
      </w:r>
      <w:r w:rsidR="00EE120C" w:rsidRPr="006A3575">
        <w:t>neglect,</w:t>
      </w:r>
      <w:r w:rsidRPr="006A3575">
        <w:t xml:space="preserve"> or exploitation  </w:t>
      </w:r>
    </w:p>
    <w:p w14:paraId="05184A8F" w14:textId="6FAB020C" w:rsidR="00677B0C" w:rsidRPr="006A3575" w:rsidRDefault="00677B0C" w:rsidP="00EF23AD">
      <w:pPr>
        <w:pStyle w:val="ListBullet"/>
      </w:pPr>
      <w:r w:rsidRPr="006A3575">
        <w:t>Right to appeal any reduction or closing of their care plan</w:t>
      </w:r>
    </w:p>
    <w:p w14:paraId="0FF1053A" w14:textId="3DBF5191" w:rsidR="00677B0C" w:rsidRPr="006A3575" w:rsidRDefault="00677B0C" w:rsidP="00EF23AD">
      <w:pPr>
        <w:pStyle w:val="ListBullet"/>
      </w:pPr>
      <w:r w:rsidRPr="006A3575">
        <w:t xml:space="preserve">Need to notify the </w:t>
      </w:r>
      <w:r w:rsidR="006A3575" w:rsidRPr="006A3575">
        <w:t xml:space="preserve">appropriate </w:t>
      </w:r>
      <w:hyperlink r:id="rId50" w:history="1">
        <w:r w:rsidRPr="006C0DD5">
          <w:rPr>
            <w:rStyle w:val="Hyperlink"/>
            <w:szCs w:val="20"/>
          </w:rPr>
          <w:t xml:space="preserve">DSDS </w:t>
        </w:r>
        <w:r w:rsidR="00360EEA" w:rsidRPr="006C0DD5">
          <w:rPr>
            <w:rStyle w:val="Hyperlink"/>
            <w:szCs w:val="20"/>
          </w:rPr>
          <w:t>PCCP</w:t>
        </w:r>
        <w:r w:rsidRPr="006C0DD5">
          <w:rPr>
            <w:rStyle w:val="Hyperlink"/>
            <w:szCs w:val="20"/>
          </w:rPr>
          <w:t xml:space="preserve"> Team</w:t>
        </w:r>
      </w:hyperlink>
      <w:r w:rsidRPr="006A3575">
        <w:t xml:space="preserve"> of any problems concerning service delivery as well as changes in health, informal supports, satisfaction with the services provided, and/or functioning status that might require care plan adjustment</w:t>
      </w:r>
    </w:p>
    <w:p w14:paraId="2C623B2B" w14:textId="1AEDBE01" w:rsidR="00677B0C" w:rsidRPr="006A3575" w:rsidRDefault="006A3575" w:rsidP="00EF23AD">
      <w:pPr>
        <w:pStyle w:val="ListBullet"/>
      </w:pPr>
      <w:r w:rsidRPr="006A3575">
        <w:t xml:space="preserve">Acknowledgment that HCBS providers must </w:t>
      </w:r>
      <w:r w:rsidR="00E16F8C" w:rsidRPr="006A3575">
        <w:t>use an</w:t>
      </w:r>
      <w:r w:rsidR="00D869E4" w:rsidRPr="006A3575">
        <w:t xml:space="preserve"> </w:t>
      </w:r>
      <w:r w:rsidR="00677B0C" w:rsidRPr="006A3575">
        <w:t>EVV system</w:t>
      </w:r>
      <w:r w:rsidRPr="006A3575">
        <w:t>, as</w:t>
      </w:r>
      <w:r w:rsidR="00677B0C" w:rsidRPr="006A3575">
        <w:t xml:space="preserve"> required by </w:t>
      </w:r>
      <w:r w:rsidRPr="006A3575">
        <w:t>s</w:t>
      </w:r>
      <w:r w:rsidR="00677B0C" w:rsidRPr="006A3575">
        <w:t xml:space="preserve">tate and </w:t>
      </w:r>
      <w:r w:rsidRPr="006A3575">
        <w:t>f</w:t>
      </w:r>
      <w:r w:rsidR="00677B0C" w:rsidRPr="006A3575">
        <w:t>ederal law</w:t>
      </w:r>
      <w:r w:rsidRPr="006A3575">
        <w:t xml:space="preserve">; and providers and participants may not opt out of using an EVV system. </w:t>
      </w:r>
      <w:r w:rsidRPr="00E84F24">
        <w:rPr>
          <w:shd w:val="clear" w:color="auto" w:fill="FFFFFF"/>
        </w:rPr>
        <w:t xml:space="preserve">Refer to </w:t>
      </w:r>
      <w:hyperlink w:anchor="_2.3_Provider_Conditions" w:history="1">
        <w:r w:rsidRPr="00184C88">
          <w:rPr>
            <w:rStyle w:val="Hyperlink"/>
          </w:rPr>
          <w:t>Section 2.</w:t>
        </w:r>
        <w:r w:rsidR="00B3269B" w:rsidRPr="00184C88">
          <w:rPr>
            <w:rStyle w:val="Hyperlink"/>
          </w:rPr>
          <w:t>3</w:t>
        </w:r>
      </w:hyperlink>
      <w:r w:rsidR="00B3269B" w:rsidRPr="00E84F24">
        <w:rPr>
          <w:shd w:val="clear" w:color="auto" w:fill="FFFFFF"/>
        </w:rPr>
        <w:t xml:space="preserve"> </w:t>
      </w:r>
      <w:r w:rsidRPr="00E84F24">
        <w:rPr>
          <w:shd w:val="clear" w:color="auto" w:fill="FFFFFF"/>
        </w:rPr>
        <w:t xml:space="preserve">of </w:t>
      </w:r>
      <w:r w:rsidR="00B3269B">
        <w:rPr>
          <w:shd w:val="clear" w:color="auto" w:fill="FFFFFF"/>
        </w:rPr>
        <w:t>this manual</w:t>
      </w:r>
      <w:r w:rsidRPr="00E84F24">
        <w:rPr>
          <w:shd w:val="clear" w:color="auto" w:fill="FFFFFF"/>
        </w:rPr>
        <w:t xml:space="preserve"> for more information regarding EVV.</w:t>
      </w:r>
    </w:p>
    <w:p w14:paraId="4F84A3D5" w14:textId="02CAC7F5" w:rsidR="00677B0C" w:rsidRDefault="00677B0C" w:rsidP="002433EC">
      <w:r w:rsidRPr="00677B0C">
        <w:t xml:space="preserve">The </w:t>
      </w:r>
      <w:hyperlink r:id="rId51" w:history="1">
        <w:r w:rsidR="004E358E" w:rsidRPr="009864D0">
          <w:rPr>
            <w:rStyle w:val="Hyperlink"/>
            <w:szCs w:val="20"/>
          </w:rPr>
          <w:t>Participant Choice Statement</w:t>
        </w:r>
      </w:hyperlink>
      <w:r w:rsidRPr="006C0DD5">
        <w:rPr>
          <w:color w:val="04427D"/>
        </w:rPr>
        <w:t xml:space="preserve"> </w:t>
      </w:r>
      <w:r w:rsidRPr="00677B0C">
        <w:t>is completed by DSDS or its designee upon initial assessment and any subsequent assessment. DSDS or its designee reviews the information covered on the form with the participant and ensures the participant understands the information</w:t>
      </w:r>
      <w:r w:rsidR="00856F04">
        <w:t xml:space="preserve">. </w:t>
      </w:r>
      <w:r w:rsidRPr="00677B0C">
        <w:t xml:space="preserve">The document is </w:t>
      </w:r>
      <w:r w:rsidR="00EC0C33">
        <w:t>maintained</w:t>
      </w:r>
      <w:r w:rsidRPr="00677B0C">
        <w:t xml:space="preserve"> in the participant’s </w:t>
      </w:r>
      <w:r w:rsidR="00EC0C33">
        <w:t>electronic case</w:t>
      </w:r>
      <w:r w:rsidRPr="00677B0C">
        <w:t xml:space="preserve"> record</w:t>
      </w:r>
      <w:r w:rsidR="00856F04">
        <w:t xml:space="preserve">. </w:t>
      </w:r>
      <w:r w:rsidRPr="00677B0C">
        <w:t xml:space="preserve">A copy is provided to the </w:t>
      </w:r>
      <w:r w:rsidR="00873248" w:rsidRPr="00677B0C">
        <w:t>participants</w:t>
      </w:r>
      <w:r w:rsidRPr="00677B0C">
        <w:t xml:space="preserve">. </w:t>
      </w:r>
    </w:p>
    <w:p w14:paraId="2EECC23C" w14:textId="1173A255" w:rsidR="006977DD" w:rsidRDefault="006977DD" w:rsidP="008F0899">
      <w:pPr>
        <w:pStyle w:val="Heading2"/>
      </w:pPr>
      <w:bookmarkStart w:id="46" w:name="_3.4_Participant_Case"/>
      <w:bookmarkStart w:id="47" w:name="_Toc228793579"/>
      <w:bookmarkEnd w:id="46"/>
      <w:r w:rsidRPr="006C0DD5">
        <w:t>Section 4</w:t>
      </w:r>
      <w:r w:rsidR="00F10C49" w:rsidRPr="006C0DD5">
        <w:t>:</w:t>
      </w:r>
      <w:r w:rsidR="00AB3F22">
        <w:t xml:space="preserve"> </w:t>
      </w:r>
      <w:r w:rsidRPr="006C0DD5">
        <w:t>Billing Instructions</w:t>
      </w:r>
      <w:bookmarkEnd w:id="47"/>
      <w:r w:rsidRPr="006C0DD5">
        <w:t xml:space="preserve"> </w:t>
      </w:r>
    </w:p>
    <w:p w14:paraId="3BAD8674" w14:textId="22B21714" w:rsidR="00327A97" w:rsidRPr="00327A97" w:rsidRDefault="00327A97" w:rsidP="002433EC">
      <w:pPr>
        <w:rPr>
          <w:bCs/>
        </w:rPr>
      </w:pPr>
      <w:bookmarkStart w:id="48" w:name="_Toc226183106"/>
      <w:r>
        <w:t>Personal care providers may bill up to one</w:t>
      </w:r>
      <w:r w:rsidR="00FD7701">
        <w:t xml:space="preserve"> (1)</w:t>
      </w:r>
      <w:r>
        <w:t xml:space="preserve"> full month of services on one </w:t>
      </w:r>
      <w:r w:rsidR="00FD7701">
        <w:t xml:space="preserve">(1) </w:t>
      </w:r>
      <w:r>
        <w:t>detail line of a claim. It is permissible to accrue partial units of less than 15 minutes for several dates of service and bill the total, in whole units (15 minutes), at the end of the day, week</w:t>
      </w:r>
      <w:r w:rsidR="00FD7701">
        <w:t>,</w:t>
      </w:r>
      <w:r>
        <w:t xml:space="preserve"> or month, if care delivery is consistent with the written </w:t>
      </w:r>
      <w:r w:rsidR="000E177B">
        <w:t xml:space="preserve">care </w:t>
      </w:r>
      <w:r>
        <w:t xml:space="preserve">plan. Each month, providers must exhaust the current monthly maximum units of State Plan </w:t>
      </w:r>
      <w:r w:rsidR="00FD7701">
        <w:t>Consumer Directed Services (</w:t>
      </w:r>
      <w:r>
        <w:t>CDS</w:t>
      </w:r>
      <w:r w:rsidR="00FD7701">
        <w:t>)</w:t>
      </w:r>
      <w:r>
        <w:t xml:space="preserve"> prior to billing </w:t>
      </w:r>
      <w:r w:rsidR="00FD7701">
        <w:t>Independent Living Waiver (</w:t>
      </w:r>
      <w:r>
        <w:t>ILW</w:t>
      </w:r>
      <w:r w:rsidR="00FD7701">
        <w:t>)</w:t>
      </w:r>
      <w:r>
        <w:t xml:space="preserve"> CDS services. Refer to </w:t>
      </w:r>
      <w:hyperlink w:anchor="_Section_5:_Procedure" w:history="1">
        <w:r w:rsidRPr="004E5F28">
          <w:rPr>
            <w:rStyle w:val="Hyperlink"/>
          </w:rPr>
          <w:t>Section 5</w:t>
        </w:r>
      </w:hyperlink>
      <w:r w:rsidRPr="00FD7701">
        <w:rPr>
          <w:rStyle w:val="Hyperlink"/>
          <w:u w:val="none"/>
        </w:rPr>
        <w:t xml:space="preserve"> </w:t>
      </w:r>
      <w:r w:rsidRPr="00E709C2">
        <w:rPr>
          <w:rStyle w:val="Hyperlink"/>
          <w:b w:val="0"/>
          <w:bCs/>
          <w:color w:val="auto"/>
          <w:u w:val="none"/>
        </w:rPr>
        <w:t>of this manual for information regarding units of service.</w:t>
      </w:r>
    </w:p>
    <w:p w14:paraId="796AE5F5" w14:textId="0BC60006" w:rsidR="000F424B" w:rsidRPr="00B248AB" w:rsidRDefault="000F424B" w:rsidP="002433EC">
      <w:r w:rsidRPr="00B248AB">
        <w:t>The following instructions apply to billing accrued units on separate detail lines of a claim</w:t>
      </w:r>
      <w:r w:rsidR="00AC7FA9">
        <w:t>:</w:t>
      </w:r>
      <w:r>
        <w:t xml:space="preserve">  </w:t>
      </w:r>
    </w:p>
    <w:p w14:paraId="1504D4CD" w14:textId="6236BD33" w:rsidR="000F424B" w:rsidRPr="00B248AB" w:rsidRDefault="000F424B" w:rsidP="006C0DD5">
      <w:pPr>
        <w:pStyle w:val="ListBullet"/>
      </w:pPr>
      <w:r w:rsidRPr="00B248AB">
        <w:t>Wh</w:t>
      </w:r>
      <w:r w:rsidR="00AC7FA9">
        <w:t>en billing each date of service</w:t>
      </w:r>
      <w:r w:rsidRPr="00B248AB">
        <w:t>, partial units may be accrued and billed on the first date a whole unit is accrued. For example, a provider delivers care from 10</w:t>
      </w:r>
      <w:r>
        <w:t>:</w:t>
      </w:r>
      <w:r w:rsidRPr="00B248AB">
        <w:t xml:space="preserve">00 </w:t>
      </w:r>
      <w:r>
        <w:t>a.m.</w:t>
      </w:r>
      <w:r w:rsidRPr="00B248AB">
        <w:t xml:space="preserve"> to 11</w:t>
      </w:r>
      <w:r>
        <w:t>:</w:t>
      </w:r>
      <w:r w:rsidRPr="00B248AB">
        <w:t xml:space="preserve">40 </w:t>
      </w:r>
      <w:r>
        <w:t>a.m.</w:t>
      </w:r>
      <w:r w:rsidRPr="00B248AB">
        <w:t xml:space="preserve"> on June 1, then provides care from 10</w:t>
      </w:r>
      <w:r>
        <w:t>:</w:t>
      </w:r>
      <w:r w:rsidRPr="00B248AB">
        <w:t xml:space="preserve">00 </w:t>
      </w:r>
      <w:r>
        <w:t>a.m.</w:t>
      </w:r>
      <w:r w:rsidRPr="00B248AB">
        <w:t xml:space="preserve"> to 12</w:t>
      </w:r>
      <w:r>
        <w:t>:</w:t>
      </w:r>
      <w:r w:rsidRPr="00B248AB">
        <w:t xml:space="preserve">10 </w:t>
      </w:r>
      <w:r>
        <w:t>p.m.</w:t>
      </w:r>
      <w:r w:rsidRPr="00B248AB">
        <w:t xml:space="preserve"> on June 4. Six </w:t>
      </w:r>
      <w:r>
        <w:t xml:space="preserve">(6) </w:t>
      </w:r>
      <w:r w:rsidRPr="00B248AB">
        <w:t xml:space="preserve">units of service are billed for June 1, and </w:t>
      </w:r>
      <w:r>
        <w:t>nine (</w:t>
      </w:r>
      <w:r w:rsidRPr="00B248AB">
        <w:t>9</w:t>
      </w:r>
      <w:r>
        <w:t>)</w:t>
      </w:r>
      <w:r w:rsidRPr="00B248AB">
        <w:t xml:space="preserve"> units of service are billed on June 4.</w:t>
      </w:r>
    </w:p>
    <w:p w14:paraId="75648C6B" w14:textId="28295414" w:rsidR="000F424B" w:rsidRPr="00B248AB" w:rsidRDefault="000F424B" w:rsidP="000F424B">
      <w:pPr>
        <w:autoSpaceDE w:val="0"/>
        <w:autoSpaceDN w:val="0"/>
        <w:adjustRightInd w:val="0"/>
        <w:rPr>
          <w:rFonts w:cs="Tahoma"/>
          <w:szCs w:val="23"/>
        </w:rPr>
      </w:pPr>
      <w:r w:rsidRPr="00B248AB">
        <w:rPr>
          <w:rFonts w:cs="Tahoma"/>
          <w:szCs w:val="23"/>
        </w:rPr>
        <w:t xml:space="preserve">The following instructions apply to billing accrued units on one </w:t>
      </w:r>
      <w:r w:rsidR="00FD7701">
        <w:rPr>
          <w:rFonts w:cs="Tahoma"/>
          <w:szCs w:val="23"/>
        </w:rPr>
        <w:t xml:space="preserve">(1) </w:t>
      </w:r>
      <w:r w:rsidRPr="00B248AB">
        <w:rPr>
          <w:rFonts w:cs="Tahoma"/>
          <w:szCs w:val="23"/>
        </w:rPr>
        <w:t>detail line of a claim</w:t>
      </w:r>
      <w:r>
        <w:rPr>
          <w:rFonts w:cs="Tahoma"/>
          <w:szCs w:val="23"/>
        </w:rPr>
        <w:t xml:space="preserve">:   </w:t>
      </w:r>
    </w:p>
    <w:p w14:paraId="2D6BDDCF" w14:textId="77777777" w:rsidR="000F424B" w:rsidRPr="00B248AB" w:rsidRDefault="000F424B" w:rsidP="006C0DD5">
      <w:pPr>
        <w:pStyle w:val="ListBullet"/>
      </w:pPr>
      <w:r w:rsidRPr="00B248AB">
        <w:t>Total the time spent in minutes for each date, divide by 15, and bill the number of whole units. Do not round up to the nearest whole unit. For example, at the end of the month, time spent in the provision of personal care to an individual in a congregate living facility, who received services every day, totals 620 minutes. 620/15=41.33 units. Bill for 41 whole units of service.</w:t>
      </w:r>
    </w:p>
    <w:p w14:paraId="183FA4F2" w14:textId="6715C8EA" w:rsidR="00A746E2" w:rsidRDefault="000F424B" w:rsidP="006C0DD5">
      <w:pPr>
        <w:pStyle w:val="ListBullet"/>
      </w:pPr>
      <w:r w:rsidRPr="00450E3B">
        <w:t>Dates during which the client is in a hospital, in a nursing facility</w:t>
      </w:r>
      <w:r w:rsidR="00FD7701">
        <w:t xml:space="preserve"> (NF)</w:t>
      </w:r>
      <w:r w:rsidRPr="00450E3B">
        <w:t>, visiting relatives</w:t>
      </w:r>
      <w:r w:rsidR="00FD7701">
        <w:t>,</w:t>
      </w:r>
      <w:r w:rsidRPr="00450E3B">
        <w:t xml:space="preserve"> or is </w:t>
      </w:r>
      <w:r w:rsidR="00873248" w:rsidRPr="00450E3B">
        <w:t>ineligible,</w:t>
      </w:r>
      <w:r w:rsidRPr="00450E3B">
        <w:t xml:space="preserve"> should not be included in the range of dates.</w:t>
      </w:r>
      <w:r w:rsidR="00A746E2" w:rsidRPr="00450E3B">
        <w:t xml:space="preserve"> </w:t>
      </w:r>
      <w:r w:rsidRPr="00450E3B">
        <w:t>Do not bill for dates of service falling in two</w:t>
      </w:r>
      <w:r w:rsidR="00AC7FA9" w:rsidRPr="00450E3B">
        <w:t xml:space="preserve"> (2)</w:t>
      </w:r>
      <w:r w:rsidRPr="00450E3B">
        <w:t xml:space="preserve"> separate calendar months.</w:t>
      </w:r>
    </w:p>
    <w:p w14:paraId="4BE43BFB" w14:textId="06B992C1" w:rsidR="006977DD" w:rsidRPr="00A746E2" w:rsidRDefault="006977DD" w:rsidP="006C0DD5">
      <w:pPr>
        <w:pStyle w:val="Heading3"/>
        <w:rPr>
          <w:color w:val="215868" w:themeColor="accent5" w:themeShade="80"/>
        </w:rPr>
      </w:pPr>
      <w:bookmarkStart w:id="49" w:name="_Toc228793580"/>
      <w:r w:rsidRPr="006C0DD5">
        <w:t>4</w:t>
      </w:r>
      <w:r w:rsidR="00BA02D4" w:rsidRPr="006C0DD5">
        <w:t xml:space="preserve">.1 </w:t>
      </w:r>
      <w:r w:rsidRPr="006C0DD5">
        <w:t>Electronic Data Interchange</w:t>
      </w:r>
      <w:bookmarkEnd w:id="48"/>
      <w:bookmarkEnd w:id="49"/>
    </w:p>
    <w:p w14:paraId="236837C1" w14:textId="53A1E297" w:rsidR="00BA02D4" w:rsidRPr="00073432" w:rsidRDefault="00BA02D4" w:rsidP="002433EC">
      <w:pPr>
        <w:rPr>
          <w:rStyle w:val="Hyperlink"/>
        </w:rPr>
      </w:pPr>
      <w:r w:rsidRPr="00B25087">
        <w:t xml:space="preserve">Providers exchanging electronic transactions with </w:t>
      </w:r>
      <w:r w:rsidR="00FD7701">
        <w:t>the MO HealthNet Division (</w:t>
      </w:r>
      <w:r w:rsidRPr="00B25087">
        <w:t>MHD</w:t>
      </w:r>
      <w:r w:rsidR="00FD7701">
        <w:t>)</w:t>
      </w:r>
      <w:r w:rsidRPr="00B25087">
        <w:t xml:space="preserve"> should access the</w:t>
      </w:r>
      <w:r w:rsidRPr="004004F9">
        <w:rPr>
          <w:b/>
        </w:rPr>
        <w:t xml:space="preserve"> </w:t>
      </w:r>
      <w:hyperlink r:id="rId52" w:history="1">
        <w:r w:rsidRPr="00073432">
          <w:rPr>
            <w:rStyle w:val="Hyperlink"/>
          </w:rPr>
          <w:t>ASC X12 Implementation Guides</w:t>
        </w:r>
      </w:hyperlink>
      <w:r w:rsidRPr="00B25087">
        <w:t>,</w:t>
      </w:r>
      <w:r w:rsidRPr="004004F9">
        <w:rPr>
          <w:b/>
        </w:rPr>
        <w:t xml:space="preserve"> </w:t>
      </w:r>
      <w:r w:rsidRPr="00B25087">
        <w:t>adopted under the Health Insurance Portability and Accountability Act (HIPAA). For Missouri specific information, including connection methods, the biller’s responsibilities, forms to be completed prior to submitting electronic information, as well as supplemental information, reference the</w:t>
      </w:r>
      <w:r w:rsidR="00FB4B39">
        <w:t xml:space="preserve"> </w:t>
      </w:r>
      <w:hyperlink r:id="rId53" w:history="1">
        <w:r w:rsidR="00FB4B39" w:rsidRPr="00022578">
          <w:rPr>
            <w:rStyle w:val="Hyperlink"/>
          </w:rPr>
          <w:t>X12 Version v5010</w:t>
        </w:r>
      </w:hyperlink>
      <w:r w:rsidR="00FB4B39" w:rsidRPr="000803AB">
        <w:rPr>
          <w:rFonts w:cs="Tahoma"/>
          <w:b/>
          <w:szCs w:val="23"/>
        </w:rPr>
        <w:t xml:space="preserve"> </w:t>
      </w:r>
      <w:r w:rsidR="00FB4B39" w:rsidRPr="00FF5500">
        <w:rPr>
          <w:rFonts w:cs="Tahoma"/>
          <w:szCs w:val="23"/>
        </w:rPr>
        <w:t>and</w:t>
      </w:r>
      <w:r w:rsidR="00FB4B39" w:rsidRPr="000803AB">
        <w:rPr>
          <w:rFonts w:cs="Tahoma"/>
          <w:b/>
          <w:szCs w:val="23"/>
        </w:rPr>
        <w:t xml:space="preserve"> </w:t>
      </w:r>
      <w:hyperlink r:id="rId54" w:history="1">
        <w:r w:rsidR="00FB4B39" w:rsidRPr="00022578">
          <w:rPr>
            <w:rStyle w:val="Hyperlink"/>
          </w:rPr>
          <w:t>NCPDP Telecommunication D.0 &amp; Batch Transaction Standard V.1.1 Companion Guides</w:t>
        </w:r>
      </w:hyperlink>
      <w:r w:rsidR="00FB4B39">
        <w:rPr>
          <w:b/>
        </w:rPr>
        <w:t>.</w:t>
      </w:r>
    </w:p>
    <w:p w14:paraId="72B58486" w14:textId="75E17653" w:rsidR="006977DD" w:rsidRPr="006C0DD5" w:rsidRDefault="00BA02D4" w:rsidP="00521E87">
      <w:pPr>
        <w:pStyle w:val="Heading3"/>
      </w:pPr>
      <w:bookmarkStart w:id="50" w:name="_Toc228793581"/>
      <w:r w:rsidRPr="006C0DD5">
        <w:t>4.2 Electronic Claim Submission</w:t>
      </w:r>
      <w:bookmarkEnd w:id="50"/>
    </w:p>
    <w:p w14:paraId="38A9F600" w14:textId="4F1EED41" w:rsidR="006977DD" w:rsidRPr="006977DD" w:rsidRDefault="006977DD" w:rsidP="002433EC">
      <w:r w:rsidRPr="006977DD">
        <w:t xml:space="preserve">Providers may submit claims </w:t>
      </w:r>
      <w:r w:rsidR="00BA02D4">
        <w:t xml:space="preserve">online via </w:t>
      </w:r>
      <w:hyperlink r:id="rId55" w:history="1">
        <w:r w:rsidR="00FD7701" w:rsidRPr="00FD7701">
          <w:rPr>
            <w:rStyle w:val="Hyperlink"/>
          </w:rPr>
          <w:t>eMOMED</w:t>
        </w:r>
      </w:hyperlink>
      <w:r w:rsidRPr="006977DD">
        <w:t xml:space="preserve">. Providers are required to </w:t>
      </w:r>
      <w:r w:rsidR="006A6D18">
        <w:t>register</w:t>
      </w:r>
      <w:r w:rsidRPr="006977DD">
        <w:t xml:space="preserve">. An authorization is required for each individual user. </w:t>
      </w:r>
    </w:p>
    <w:p w14:paraId="6B4F3870" w14:textId="3A2B4F5A" w:rsidR="006977DD" w:rsidRDefault="006977DD" w:rsidP="002433EC">
      <w:r w:rsidRPr="006977DD">
        <w:t xml:space="preserve">The following claim types can be used in </w:t>
      </w:r>
      <w:hyperlink r:id="rId56" w:history="1">
        <w:r w:rsidR="00FD7701" w:rsidRPr="00FD7701">
          <w:rPr>
            <w:rStyle w:val="Hyperlink"/>
          </w:rPr>
          <w:t>eMOMED</w:t>
        </w:r>
      </w:hyperlink>
      <w:r w:rsidR="00D82121">
        <w:t xml:space="preserve">: </w:t>
      </w:r>
      <w:r w:rsidRPr="006977DD">
        <w:t>Medical (NSF), Inpatient and Outpatient (</w:t>
      </w:r>
      <w:hyperlink r:id="rId57" w:history="1">
        <w:r w:rsidRPr="006C0DD5">
          <w:rPr>
            <w:rStyle w:val="Hyperlink"/>
          </w:rPr>
          <w:t>UB-04</w:t>
        </w:r>
      </w:hyperlink>
      <w:r w:rsidRPr="006977DD">
        <w:t>), Dental (</w:t>
      </w:r>
      <w:hyperlink r:id="rId58" w:history="1">
        <w:r w:rsidR="00ED3AE6" w:rsidRPr="006C0DD5">
          <w:rPr>
            <w:rStyle w:val="Hyperlink"/>
          </w:rPr>
          <w:t>2019 American Dental Association</w:t>
        </w:r>
      </w:hyperlink>
      <w:r w:rsidRPr="006977DD">
        <w:t>), Nursing Home</w:t>
      </w:r>
      <w:r w:rsidR="00FD7701">
        <w:t>,</w:t>
      </w:r>
      <w:r w:rsidRPr="006977DD">
        <w:t xml:space="preserve"> and Pharmacy. For convenience, some of the input fields are set as indicators or accepted values in drop-down boxes. Providers have the option to input and submit claims individually or in a batch submission. A confirmation file is returned for each transmission.</w:t>
      </w:r>
    </w:p>
    <w:p w14:paraId="1557FFB5" w14:textId="040F1B2A" w:rsidR="00ED3AE6" w:rsidRDefault="00ED3AE6" w:rsidP="002433EC">
      <w:r>
        <w:t>Refer to the</w:t>
      </w:r>
      <w:r w:rsidRPr="002A0E56">
        <w:t xml:space="preserve"> </w:t>
      </w:r>
      <w:hyperlink r:id="rId59" w:history="1">
        <w:r w:rsidRPr="006C0DD5">
          <w:rPr>
            <w:rStyle w:val="Hyperlink"/>
          </w:rPr>
          <w:t>General Sections Manual</w:t>
        </w:r>
      </w:hyperlink>
      <w:r w:rsidRPr="002A0E56">
        <w:t xml:space="preserve"> for more information.</w:t>
      </w:r>
    </w:p>
    <w:p w14:paraId="593503BE" w14:textId="675B7DB8" w:rsidR="006977DD" w:rsidRPr="006977DD" w:rsidRDefault="00BA02D4" w:rsidP="006C0DD5">
      <w:pPr>
        <w:pStyle w:val="Heading3"/>
        <w:rPr>
          <w:szCs w:val="23"/>
        </w:rPr>
      </w:pPr>
      <w:bookmarkStart w:id="51" w:name="_Toc228793582"/>
      <w:r w:rsidRPr="006C0DD5">
        <w:t xml:space="preserve">4.3 </w:t>
      </w:r>
      <w:r w:rsidR="006977DD" w:rsidRPr="006C0DD5">
        <w:t xml:space="preserve">CMS-1500 </w:t>
      </w:r>
      <w:r w:rsidRPr="006C0DD5">
        <w:t>Claim Form</w:t>
      </w:r>
      <w:bookmarkEnd w:id="51"/>
    </w:p>
    <w:p w14:paraId="61DD6EF5" w14:textId="0305FCA5" w:rsidR="006977DD" w:rsidRDefault="006977DD" w:rsidP="002433EC">
      <w:r w:rsidRPr="006977DD">
        <w:t xml:space="preserve">The </w:t>
      </w:r>
      <w:hyperlink r:id="rId60" w:history="1">
        <w:r w:rsidRPr="004E5F28">
          <w:rPr>
            <w:rStyle w:val="Hyperlink"/>
          </w:rPr>
          <w:t>CMS-1500 claim form</w:t>
        </w:r>
      </w:hyperlink>
      <w:r w:rsidRPr="006977DD">
        <w:t xml:space="preserve"> is always used to bill </w:t>
      </w:r>
      <w:r w:rsidR="006A6D18">
        <w:t xml:space="preserve">MHD </w:t>
      </w:r>
      <w:r w:rsidRPr="006977DD">
        <w:t xml:space="preserve">for </w:t>
      </w:r>
      <w:r w:rsidR="00327653">
        <w:t>ILW</w:t>
      </w:r>
      <w:r w:rsidRPr="006977DD">
        <w:t xml:space="preserve"> services unless a provider bills those services electronically. Instructions on how to complete the CMS-1500 claim form are </w:t>
      </w:r>
      <w:r w:rsidR="00BA02D4">
        <w:t>below</w:t>
      </w:r>
      <w:r w:rsidRPr="006977DD">
        <w:t>.</w:t>
      </w:r>
    </w:p>
    <w:p w14:paraId="10D8F07A" w14:textId="4E859419" w:rsidR="00BA02D4" w:rsidRPr="006977DD" w:rsidRDefault="00BA02D4" w:rsidP="002433EC">
      <w:r w:rsidRPr="006977DD">
        <w:t xml:space="preserve">The CMS-1500 </w:t>
      </w:r>
      <w:r w:rsidR="00FD7701">
        <w:t>c</w:t>
      </w:r>
      <w:r w:rsidRPr="006977DD">
        <w:t xml:space="preserve">laim form should be typed or legibly printed. It may be duplicated if the copy is legible. </w:t>
      </w:r>
      <w:r w:rsidR="00FD7701">
        <w:t>MHD</w:t>
      </w:r>
      <w:r w:rsidRPr="006977DD">
        <w:t xml:space="preserve"> claims should be mailed to</w:t>
      </w:r>
      <w:r w:rsidR="00EC4967">
        <w:t xml:space="preserve">:   </w:t>
      </w:r>
    </w:p>
    <w:p w14:paraId="6D8E4485" w14:textId="77777777" w:rsidR="00BA02D4" w:rsidRPr="004E5F28" w:rsidRDefault="00BA02D4" w:rsidP="004E5F28">
      <w:pPr>
        <w:pStyle w:val="Address"/>
        <w:rPr>
          <w:rFonts w:eastAsiaTheme="minorHAnsi"/>
        </w:rPr>
      </w:pPr>
      <w:r w:rsidRPr="004E5F28">
        <w:rPr>
          <w:rFonts w:eastAsiaTheme="minorHAnsi"/>
        </w:rPr>
        <w:t xml:space="preserve">Wipro Infocrossing </w:t>
      </w:r>
      <w:r w:rsidRPr="004E5F28">
        <w:rPr>
          <w:rFonts w:eastAsiaTheme="minorHAnsi"/>
        </w:rPr>
        <w:br/>
        <w:t>P.O. Box 5600</w:t>
      </w:r>
      <w:r w:rsidRPr="004E5F28">
        <w:rPr>
          <w:rFonts w:eastAsiaTheme="minorHAnsi"/>
        </w:rPr>
        <w:br/>
        <w:t>Jefferson City, MO 65102</w:t>
      </w:r>
    </w:p>
    <w:p w14:paraId="5409C5ED" w14:textId="77A499EB" w:rsidR="00DE37D9" w:rsidRDefault="00BA02D4" w:rsidP="00E31AFE">
      <w:pPr>
        <w:tabs>
          <w:tab w:val="left" w:pos="720"/>
          <w:tab w:val="left" w:pos="1680"/>
          <w:tab w:val="left" w:pos="2400"/>
          <w:tab w:val="left" w:pos="3120"/>
        </w:tabs>
        <w:rPr>
          <w:rFonts w:cs="Tahoma"/>
          <w:szCs w:val="23"/>
        </w:rPr>
      </w:pPr>
      <w:r w:rsidRPr="006977DD">
        <w:rPr>
          <w:rFonts w:cs="Tahoma"/>
          <w:szCs w:val="23"/>
        </w:rPr>
        <w:t>NOTE</w:t>
      </w:r>
      <w:r w:rsidR="00873248">
        <w:rPr>
          <w:rFonts w:cs="Tahoma"/>
          <w:szCs w:val="23"/>
        </w:rPr>
        <w:t xml:space="preserve">: </w:t>
      </w:r>
      <w:r w:rsidR="00873248" w:rsidRPr="006977DD">
        <w:rPr>
          <w:rFonts w:cs="Tahoma"/>
          <w:szCs w:val="23"/>
        </w:rPr>
        <w:t>An</w:t>
      </w:r>
      <w:r w:rsidRPr="006977DD">
        <w:rPr>
          <w:rFonts w:cs="Tahoma"/>
          <w:szCs w:val="23"/>
        </w:rPr>
        <w:t xml:space="preserve"> asterisk (*) </w:t>
      </w:r>
      <w:r w:rsidR="00A657F8" w:rsidRPr="006977DD">
        <w:rPr>
          <w:rFonts w:cs="Tahoma"/>
          <w:szCs w:val="23"/>
        </w:rPr>
        <w:t>besides</w:t>
      </w:r>
      <w:r w:rsidRPr="006977DD">
        <w:rPr>
          <w:rFonts w:cs="Tahoma"/>
          <w:szCs w:val="23"/>
        </w:rPr>
        <w:t xml:space="preserve"> field numbers indicates required fields. These fields </w:t>
      </w:r>
      <w:r w:rsidRPr="00194B30">
        <w:rPr>
          <w:rFonts w:cs="Tahoma"/>
          <w:iCs/>
          <w:szCs w:val="23"/>
        </w:rPr>
        <w:t>must</w:t>
      </w:r>
      <w:r w:rsidRPr="006977DD">
        <w:rPr>
          <w:rFonts w:cs="Tahoma"/>
          <w:szCs w:val="23"/>
        </w:rPr>
        <w:t xml:space="preserve"> be completed</w:t>
      </w:r>
      <w:r w:rsidR="00FD7701">
        <w:rPr>
          <w:rFonts w:cs="Tahoma"/>
          <w:szCs w:val="23"/>
        </w:rPr>
        <w:t>,</w:t>
      </w:r>
      <w:r w:rsidRPr="006977DD">
        <w:rPr>
          <w:rFonts w:cs="Tahoma"/>
          <w:szCs w:val="23"/>
        </w:rPr>
        <w:t xml:space="preserve"> or the claim is denied. All other fields should be completed as applicable. Two</w:t>
      </w:r>
      <w:r w:rsidR="00FD7701">
        <w:rPr>
          <w:rFonts w:cs="Tahoma"/>
          <w:szCs w:val="23"/>
        </w:rPr>
        <w:t xml:space="preserve"> (2)</w:t>
      </w:r>
      <w:r w:rsidRPr="006977DD">
        <w:rPr>
          <w:rFonts w:cs="Tahoma"/>
          <w:szCs w:val="23"/>
        </w:rPr>
        <w:t xml:space="preserve"> asterisks (**) beside the field number indicate a field is required in specific situations.</w:t>
      </w:r>
    </w:p>
    <w:p w14:paraId="637DA896" w14:textId="77777777" w:rsidR="00FB4B39" w:rsidRDefault="00FB4B39" w:rsidP="00E31AFE">
      <w:pPr>
        <w:tabs>
          <w:tab w:val="left" w:pos="720"/>
          <w:tab w:val="left" w:pos="1680"/>
          <w:tab w:val="left" w:pos="2400"/>
          <w:tab w:val="left" w:pos="3120"/>
        </w:tabs>
        <w:rPr>
          <w:rFonts w:cs="Tahoma"/>
          <w:szCs w:val="23"/>
        </w:rPr>
      </w:pPr>
    </w:p>
    <w:tbl>
      <w:tblPr>
        <w:tblW w:w="1036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63"/>
        <w:gridCol w:w="3147"/>
        <w:gridCol w:w="5958"/>
      </w:tblGrid>
      <w:tr w:rsidR="00DE37D9" w:rsidRPr="00DE37D9" w14:paraId="6F22EF8A" w14:textId="77777777" w:rsidTr="006C0DD5">
        <w:trPr>
          <w:cantSplit/>
          <w:trHeight w:val="660"/>
          <w:tblHeader/>
        </w:trPr>
        <w:tc>
          <w:tcPr>
            <w:tcW w:w="1263" w:type="dxa"/>
            <w:shd w:val="clear" w:color="auto" w:fill="04427D"/>
            <w:vAlign w:val="center"/>
            <w:hideMark/>
          </w:tcPr>
          <w:p w14:paraId="63C7801F" w14:textId="77777777" w:rsidR="00DE37D9" w:rsidRPr="00DE37D9" w:rsidRDefault="00DE37D9" w:rsidP="00716031">
            <w:pPr>
              <w:jc w:val="center"/>
              <w:rPr>
                <w:rFonts w:eastAsia="Times New Roman" w:cs="Tahoma"/>
                <w:b/>
                <w:bCs/>
                <w:color w:val="FFFFFF"/>
                <w:sz w:val="26"/>
                <w:szCs w:val="26"/>
              </w:rPr>
            </w:pPr>
            <w:r w:rsidRPr="00DE37D9">
              <w:rPr>
                <w:rFonts w:eastAsia="Times New Roman" w:cs="Tahoma"/>
                <w:b/>
                <w:bCs/>
                <w:color w:val="FFFFFF"/>
                <w:sz w:val="26"/>
                <w:szCs w:val="26"/>
              </w:rPr>
              <w:t>Field Number</w:t>
            </w:r>
          </w:p>
        </w:tc>
        <w:tc>
          <w:tcPr>
            <w:tcW w:w="3147" w:type="dxa"/>
            <w:shd w:val="clear" w:color="auto" w:fill="04427D"/>
            <w:vAlign w:val="center"/>
            <w:hideMark/>
          </w:tcPr>
          <w:p w14:paraId="778B101B" w14:textId="77777777" w:rsidR="00DE37D9" w:rsidRPr="00DE37D9" w:rsidRDefault="00DE37D9" w:rsidP="00716031">
            <w:pPr>
              <w:jc w:val="center"/>
              <w:rPr>
                <w:rFonts w:eastAsia="Times New Roman" w:cs="Tahoma"/>
                <w:b/>
                <w:bCs/>
                <w:color w:val="FFFFFF"/>
                <w:sz w:val="26"/>
                <w:szCs w:val="26"/>
              </w:rPr>
            </w:pPr>
            <w:r w:rsidRPr="00DE37D9">
              <w:rPr>
                <w:rFonts w:eastAsia="Times New Roman" w:cs="Tahoma"/>
                <w:b/>
                <w:bCs/>
                <w:color w:val="FFFFFF"/>
                <w:sz w:val="26"/>
                <w:szCs w:val="26"/>
              </w:rPr>
              <w:t>Field Name</w:t>
            </w:r>
          </w:p>
        </w:tc>
        <w:tc>
          <w:tcPr>
            <w:tcW w:w="5958" w:type="dxa"/>
            <w:shd w:val="clear" w:color="auto" w:fill="04427D"/>
            <w:vAlign w:val="center"/>
            <w:hideMark/>
          </w:tcPr>
          <w:p w14:paraId="2CF5DCC3" w14:textId="77777777" w:rsidR="00DE37D9" w:rsidRPr="00DE37D9" w:rsidRDefault="00DE37D9" w:rsidP="00716031">
            <w:pPr>
              <w:ind w:right="90"/>
              <w:jc w:val="center"/>
              <w:rPr>
                <w:rFonts w:eastAsia="Times New Roman" w:cs="Tahoma"/>
                <w:b/>
                <w:bCs/>
                <w:color w:val="FFFFFF"/>
                <w:sz w:val="26"/>
                <w:szCs w:val="26"/>
              </w:rPr>
            </w:pPr>
            <w:r w:rsidRPr="00DE37D9">
              <w:rPr>
                <w:rFonts w:eastAsia="Times New Roman" w:cs="Tahoma"/>
                <w:b/>
                <w:bCs/>
                <w:color w:val="FFFFFF"/>
                <w:sz w:val="26"/>
                <w:szCs w:val="26"/>
              </w:rPr>
              <w:t>Instructions for Completion</w:t>
            </w:r>
          </w:p>
        </w:tc>
      </w:tr>
      <w:tr w:rsidR="00DE37D9" w:rsidRPr="00DE37D9" w14:paraId="32344C37" w14:textId="77777777" w:rsidTr="006C0DD5">
        <w:trPr>
          <w:cantSplit/>
          <w:trHeight w:val="1140"/>
        </w:trPr>
        <w:tc>
          <w:tcPr>
            <w:tcW w:w="1263" w:type="dxa"/>
            <w:shd w:val="clear" w:color="F8CBAD" w:fill="F8CBAD"/>
            <w:vAlign w:val="center"/>
            <w:hideMark/>
          </w:tcPr>
          <w:p w14:paraId="2A4C8502" w14:textId="5668991A" w:rsidR="00DE37D9" w:rsidRPr="00DE37D9" w:rsidRDefault="00DE37D9" w:rsidP="00716031">
            <w:pPr>
              <w:jc w:val="center"/>
              <w:rPr>
                <w:rFonts w:eastAsia="Times New Roman" w:cs="Tahoma"/>
                <w:color w:val="000000"/>
                <w:szCs w:val="23"/>
              </w:rPr>
            </w:pPr>
            <w:r w:rsidRPr="00DE37D9">
              <w:rPr>
                <w:rFonts w:eastAsia="Times New Roman" w:cs="Tahoma"/>
                <w:color w:val="000000"/>
                <w:szCs w:val="23"/>
              </w:rPr>
              <w:t>1</w:t>
            </w:r>
          </w:p>
        </w:tc>
        <w:tc>
          <w:tcPr>
            <w:tcW w:w="3147" w:type="dxa"/>
            <w:shd w:val="clear" w:color="F8CBAD" w:fill="F8CBAD"/>
            <w:vAlign w:val="center"/>
            <w:hideMark/>
          </w:tcPr>
          <w:p w14:paraId="54976B93"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Type of Health Insurance Coverage</w:t>
            </w:r>
          </w:p>
        </w:tc>
        <w:tc>
          <w:tcPr>
            <w:tcW w:w="5958" w:type="dxa"/>
            <w:shd w:val="clear" w:color="F8CBAD" w:fill="F8CBAD"/>
            <w:vAlign w:val="center"/>
            <w:hideMark/>
          </w:tcPr>
          <w:p w14:paraId="5006DC0A" w14:textId="2F8B8B35"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Show the type of health insurance coverage applicable to this claim by checking the appropriate box</w:t>
            </w:r>
            <w:r w:rsidR="000669C4">
              <w:rPr>
                <w:rFonts w:eastAsia="Times New Roman" w:cs="Tahoma"/>
                <w:color w:val="000000"/>
                <w:szCs w:val="23"/>
              </w:rPr>
              <w:t>.</w:t>
            </w:r>
            <w:r w:rsidRPr="00DE37D9">
              <w:rPr>
                <w:rFonts w:eastAsia="Times New Roman" w:cs="Tahoma"/>
                <w:color w:val="000000"/>
                <w:szCs w:val="23"/>
              </w:rPr>
              <w:t xml:space="preserve"> For example, if a Medicare claim is being filed, check the Medicare box; if a MO HealthNet claim is being filed, check the Medicaid box</w:t>
            </w:r>
            <w:r w:rsidR="005E4502">
              <w:rPr>
                <w:rFonts w:eastAsia="Times New Roman" w:cs="Tahoma"/>
                <w:color w:val="000000"/>
                <w:szCs w:val="23"/>
              </w:rPr>
              <w:t>;</w:t>
            </w:r>
            <w:r w:rsidRPr="00DE37D9">
              <w:rPr>
                <w:rFonts w:eastAsia="Times New Roman" w:cs="Tahoma"/>
                <w:color w:val="000000"/>
                <w:szCs w:val="23"/>
              </w:rPr>
              <w:t xml:space="preserve"> and if the participant has both Medicare and MO HealthNet, check both boxes. </w:t>
            </w:r>
          </w:p>
        </w:tc>
      </w:tr>
      <w:tr w:rsidR="00DE37D9" w:rsidRPr="00DE37D9" w14:paraId="3D206CB1" w14:textId="77777777" w:rsidTr="006C0DD5">
        <w:trPr>
          <w:cantSplit/>
          <w:trHeight w:val="570"/>
        </w:trPr>
        <w:tc>
          <w:tcPr>
            <w:tcW w:w="1263" w:type="dxa"/>
            <w:shd w:val="clear" w:color="FCE4D6" w:fill="FCE4D6"/>
            <w:vAlign w:val="center"/>
            <w:hideMark/>
          </w:tcPr>
          <w:p w14:paraId="1B5CB8FE" w14:textId="1C8E799C" w:rsidR="00DE37D9" w:rsidRPr="00DE37D9" w:rsidRDefault="008042D8" w:rsidP="00716031">
            <w:pPr>
              <w:jc w:val="center"/>
              <w:rPr>
                <w:rFonts w:eastAsia="Times New Roman" w:cs="Tahoma"/>
                <w:color w:val="000000"/>
                <w:szCs w:val="23"/>
              </w:rPr>
            </w:pPr>
            <w:r>
              <w:rPr>
                <w:rFonts w:eastAsia="Times New Roman" w:cs="Tahoma"/>
                <w:color w:val="000000"/>
                <w:szCs w:val="23"/>
              </w:rPr>
              <w:t>1a*</w:t>
            </w:r>
          </w:p>
        </w:tc>
        <w:tc>
          <w:tcPr>
            <w:tcW w:w="3147" w:type="dxa"/>
            <w:shd w:val="clear" w:color="FCE4D6" w:fill="FCE4D6"/>
            <w:vAlign w:val="center"/>
            <w:hideMark/>
          </w:tcPr>
          <w:p w14:paraId="4F31A809"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Insured’s I.D. Number</w:t>
            </w:r>
          </w:p>
        </w:tc>
        <w:tc>
          <w:tcPr>
            <w:tcW w:w="5958" w:type="dxa"/>
            <w:shd w:val="clear" w:color="FCE4D6" w:fill="FCE4D6"/>
            <w:vAlign w:val="center"/>
            <w:hideMark/>
          </w:tcPr>
          <w:p w14:paraId="3F085136" w14:textId="39A9433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Enter the patient’s eight</w:t>
            </w:r>
            <w:r w:rsidR="00635C50">
              <w:rPr>
                <w:rFonts w:eastAsia="Times New Roman" w:cs="Tahoma"/>
                <w:color w:val="000000"/>
                <w:szCs w:val="23"/>
              </w:rPr>
              <w:t xml:space="preserve"> (8)</w:t>
            </w:r>
            <w:r w:rsidR="005E4502">
              <w:rPr>
                <w:rFonts w:eastAsia="Times New Roman" w:cs="Tahoma"/>
                <w:color w:val="000000"/>
                <w:szCs w:val="23"/>
              </w:rPr>
              <w:t>-</w:t>
            </w:r>
            <w:r w:rsidRPr="00DE37D9">
              <w:rPr>
                <w:rFonts w:eastAsia="Times New Roman" w:cs="Tahoma"/>
                <w:color w:val="000000"/>
                <w:szCs w:val="23"/>
              </w:rPr>
              <w:t>digit MO HealthNet number (DCN) as shown on the participant’s ID card</w:t>
            </w:r>
          </w:p>
        </w:tc>
      </w:tr>
      <w:tr w:rsidR="00DE37D9" w:rsidRPr="00DE37D9" w14:paraId="7A425753" w14:textId="77777777" w:rsidTr="006C0DD5">
        <w:trPr>
          <w:cantSplit/>
          <w:trHeight w:val="300"/>
        </w:trPr>
        <w:tc>
          <w:tcPr>
            <w:tcW w:w="1263" w:type="dxa"/>
            <w:shd w:val="clear" w:color="F8CBAD" w:fill="F8CBAD"/>
            <w:vAlign w:val="center"/>
            <w:hideMark/>
          </w:tcPr>
          <w:p w14:paraId="1FF6A79B" w14:textId="3C6674CF" w:rsidR="00DE37D9" w:rsidRPr="00DE37D9" w:rsidRDefault="008042D8" w:rsidP="00716031">
            <w:pPr>
              <w:jc w:val="center"/>
              <w:rPr>
                <w:rFonts w:eastAsia="Times New Roman" w:cs="Tahoma"/>
                <w:color w:val="000000"/>
                <w:szCs w:val="23"/>
              </w:rPr>
            </w:pPr>
            <w:r>
              <w:rPr>
                <w:rFonts w:eastAsia="Times New Roman" w:cs="Tahoma"/>
                <w:color w:val="000000"/>
                <w:szCs w:val="23"/>
              </w:rPr>
              <w:t>2*</w:t>
            </w:r>
          </w:p>
        </w:tc>
        <w:tc>
          <w:tcPr>
            <w:tcW w:w="3147" w:type="dxa"/>
            <w:shd w:val="clear" w:color="F8CBAD" w:fill="F8CBAD"/>
            <w:vAlign w:val="center"/>
            <w:hideMark/>
          </w:tcPr>
          <w:p w14:paraId="5488AEF6"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Patient’s Name</w:t>
            </w:r>
          </w:p>
        </w:tc>
        <w:tc>
          <w:tcPr>
            <w:tcW w:w="5958" w:type="dxa"/>
            <w:shd w:val="clear" w:color="F8CBAD" w:fill="F8CBAD"/>
            <w:vAlign w:val="center"/>
            <w:hideMark/>
          </w:tcPr>
          <w:p w14:paraId="1AAD026A" w14:textId="050EC496"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Enter last name, first name, middle initial in that order as it appears on the ID card</w:t>
            </w:r>
          </w:p>
        </w:tc>
      </w:tr>
      <w:tr w:rsidR="00DE37D9" w:rsidRPr="00DE37D9" w14:paraId="45B87198" w14:textId="77777777" w:rsidTr="006C0DD5">
        <w:trPr>
          <w:cantSplit/>
          <w:trHeight w:val="300"/>
        </w:trPr>
        <w:tc>
          <w:tcPr>
            <w:tcW w:w="1263" w:type="dxa"/>
            <w:shd w:val="clear" w:color="FCE4D6" w:fill="FCE4D6"/>
            <w:vAlign w:val="center"/>
            <w:hideMark/>
          </w:tcPr>
          <w:p w14:paraId="5E1CFB8B" w14:textId="15FA2D2A" w:rsidR="00DE37D9" w:rsidRPr="00DE37D9" w:rsidRDefault="008042D8" w:rsidP="00716031">
            <w:pPr>
              <w:jc w:val="center"/>
              <w:rPr>
                <w:rFonts w:eastAsia="Times New Roman" w:cs="Tahoma"/>
                <w:color w:val="000000"/>
                <w:szCs w:val="23"/>
              </w:rPr>
            </w:pPr>
            <w:r>
              <w:rPr>
                <w:rFonts w:eastAsia="Times New Roman" w:cs="Tahoma"/>
                <w:color w:val="000000"/>
                <w:szCs w:val="23"/>
              </w:rPr>
              <w:t>3</w:t>
            </w:r>
          </w:p>
        </w:tc>
        <w:tc>
          <w:tcPr>
            <w:tcW w:w="3147" w:type="dxa"/>
            <w:shd w:val="clear" w:color="FCE4D6" w:fill="FCE4D6"/>
            <w:vAlign w:val="center"/>
            <w:hideMark/>
          </w:tcPr>
          <w:p w14:paraId="0C05EDBA" w14:textId="77777777" w:rsidR="00DE37D9" w:rsidRDefault="00DE37D9" w:rsidP="00E9415C">
            <w:pPr>
              <w:jc w:val="left"/>
              <w:rPr>
                <w:rFonts w:eastAsia="Times New Roman" w:cs="Tahoma"/>
                <w:color w:val="000000"/>
                <w:szCs w:val="23"/>
              </w:rPr>
            </w:pPr>
            <w:r w:rsidRPr="00DE37D9">
              <w:rPr>
                <w:rFonts w:eastAsia="Times New Roman" w:cs="Tahoma"/>
                <w:color w:val="000000"/>
                <w:szCs w:val="23"/>
              </w:rPr>
              <w:t>Patient’s Birth Date</w:t>
            </w:r>
          </w:p>
          <w:p w14:paraId="18EAEF05" w14:textId="2E0B59A4" w:rsidR="00FD7701" w:rsidRPr="00DE37D9" w:rsidRDefault="00FD7701" w:rsidP="00E9415C">
            <w:pPr>
              <w:jc w:val="left"/>
              <w:rPr>
                <w:rFonts w:eastAsia="Times New Roman" w:cs="Tahoma"/>
                <w:color w:val="000000"/>
                <w:szCs w:val="23"/>
              </w:rPr>
            </w:pPr>
            <w:r>
              <w:rPr>
                <w:rFonts w:eastAsia="Times New Roman" w:cs="Tahoma"/>
                <w:color w:val="000000"/>
                <w:szCs w:val="23"/>
              </w:rPr>
              <w:t>Sex</w:t>
            </w:r>
          </w:p>
        </w:tc>
        <w:tc>
          <w:tcPr>
            <w:tcW w:w="5958" w:type="dxa"/>
            <w:shd w:val="clear" w:color="FCE4D6" w:fill="FCE4D6"/>
            <w:vAlign w:val="center"/>
            <w:hideMark/>
          </w:tcPr>
          <w:p w14:paraId="152F01DB" w14:textId="77777777" w:rsidR="00DE37D9" w:rsidRDefault="00DE37D9" w:rsidP="00E9415C">
            <w:pPr>
              <w:jc w:val="left"/>
              <w:rPr>
                <w:rFonts w:eastAsia="Times New Roman" w:cs="Tahoma"/>
                <w:color w:val="000000"/>
                <w:szCs w:val="23"/>
              </w:rPr>
            </w:pPr>
            <w:r w:rsidRPr="00DE37D9">
              <w:rPr>
                <w:rFonts w:eastAsia="Times New Roman" w:cs="Tahoma"/>
                <w:color w:val="000000"/>
                <w:szCs w:val="23"/>
              </w:rPr>
              <w:t>Enter month, day, and year of birth</w:t>
            </w:r>
          </w:p>
          <w:p w14:paraId="07E05F66" w14:textId="52BC795D" w:rsidR="00FD7701" w:rsidRPr="00DE37D9" w:rsidRDefault="00FD7701" w:rsidP="00E9415C">
            <w:pPr>
              <w:jc w:val="left"/>
              <w:rPr>
                <w:rFonts w:eastAsia="Times New Roman" w:cs="Tahoma"/>
                <w:color w:val="000000"/>
                <w:szCs w:val="23"/>
              </w:rPr>
            </w:pPr>
            <w:r w:rsidRPr="00DE37D9">
              <w:rPr>
                <w:rFonts w:eastAsia="Times New Roman" w:cs="Tahoma"/>
                <w:color w:val="000000"/>
                <w:szCs w:val="23"/>
              </w:rPr>
              <w:t>Mark appropriate box</w:t>
            </w:r>
          </w:p>
        </w:tc>
      </w:tr>
      <w:tr w:rsidR="00DE37D9" w:rsidRPr="00DE37D9" w14:paraId="0C4B4279" w14:textId="77777777" w:rsidTr="006C0DD5">
        <w:trPr>
          <w:cantSplit/>
          <w:trHeight w:val="855"/>
        </w:trPr>
        <w:tc>
          <w:tcPr>
            <w:tcW w:w="1263" w:type="dxa"/>
            <w:shd w:val="clear" w:color="000000" w:fill="F8CBAD"/>
            <w:vAlign w:val="center"/>
            <w:hideMark/>
          </w:tcPr>
          <w:p w14:paraId="02FB0922" w14:textId="670DB339" w:rsidR="00DE37D9" w:rsidRPr="00DE37D9" w:rsidRDefault="008042D8" w:rsidP="00716031">
            <w:pPr>
              <w:jc w:val="center"/>
              <w:rPr>
                <w:rFonts w:eastAsia="Times New Roman" w:cs="Tahoma"/>
                <w:color w:val="000000"/>
                <w:szCs w:val="23"/>
              </w:rPr>
            </w:pPr>
            <w:r>
              <w:rPr>
                <w:rFonts w:eastAsia="Times New Roman" w:cs="Tahoma"/>
                <w:color w:val="000000"/>
                <w:szCs w:val="23"/>
              </w:rPr>
              <w:t>4**</w:t>
            </w:r>
          </w:p>
        </w:tc>
        <w:tc>
          <w:tcPr>
            <w:tcW w:w="3147" w:type="dxa"/>
            <w:shd w:val="clear" w:color="000000" w:fill="F8CBAD"/>
            <w:vAlign w:val="center"/>
            <w:hideMark/>
          </w:tcPr>
          <w:p w14:paraId="739A1386"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Insured’s Name</w:t>
            </w:r>
          </w:p>
        </w:tc>
        <w:tc>
          <w:tcPr>
            <w:tcW w:w="5958" w:type="dxa"/>
            <w:shd w:val="clear" w:color="000000" w:fill="F8CBAD"/>
            <w:vAlign w:val="center"/>
            <w:hideMark/>
          </w:tcPr>
          <w:p w14:paraId="78EBE208" w14:textId="2CE0CD6B"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If there is individual or group insurance besides MO HealthNet, enter the name of the primary policyholder. If this field is completed, also complete Fields 6, 7, 11</w:t>
            </w:r>
            <w:r w:rsidR="00FD7701">
              <w:rPr>
                <w:rFonts w:eastAsia="Times New Roman" w:cs="Tahoma"/>
                <w:color w:val="000000"/>
                <w:szCs w:val="23"/>
              </w:rPr>
              <w:t>,</w:t>
            </w:r>
            <w:r w:rsidRPr="00DE37D9">
              <w:rPr>
                <w:rFonts w:eastAsia="Times New Roman" w:cs="Tahoma"/>
                <w:color w:val="000000"/>
                <w:szCs w:val="23"/>
              </w:rPr>
              <w:t xml:space="preserve"> and 13</w:t>
            </w:r>
            <w:r w:rsidR="00856F04">
              <w:rPr>
                <w:rFonts w:eastAsia="Times New Roman" w:cs="Tahoma"/>
                <w:color w:val="000000"/>
                <w:szCs w:val="23"/>
              </w:rPr>
              <w:t xml:space="preserve">. </w:t>
            </w:r>
            <w:r w:rsidRPr="00DE37D9">
              <w:rPr>
                <w:rFonts w:eastAsia="Times New Roman" w:cs="Tahoma"/>
                <w:color w:val="000000"/>
                <w:szCs w:val="23"/>
              </w:rPr>
              <w:t>If no private insurance is involved, leave blank.</w:t>
            </w:r>
          </w:p>
        </w:tc>
      </w:tr>
      <w:tr w:rsidR="00DE37D9" w:rsidRPr="00DE37D9" w14:paraId="1D696071" w14:textId="77777777" w:rsidTr="006C0DD5">
        <w:trPr>
          <w:cantSplit/>
          <w:trHeight w:val="300"/>
        </w:trPr>
        <w:tc>
          <w:tcPr>
            <w:tcW w:w="1263" w:type="dxa"/>
            <w:shd w:val="clear" w:color="000000" w:fill="FCE4D6"/>
            <w:vAlign w:val="center"/>
            <w:hideMark/>
          </w:tcPr>
          <w:p w14:paraId="3E41CF49" w14:textId="32ECA86E" w:rsidR="00DE37D9" w:rsidRPr="00DE37D9" w:rsidRDefault="008042D8" w:rsidP="00716031">
            <w:pPr>
              <w:jc w:val="center"/>
              <w:rPr>
                <w:rFonts w:eastAsia="Times New Roman" w:cs="Tahoma"/>
                <w:color w:val="000000"/>
                <w:szCs w:val="23"/>
              </w:rPr>
            </w:pPr>
            <w:r>
              <w:rPr>
                <w:rFonts w:eastAsia="Times New Roman" w:cs="Tahoma"/>
                <w:color w:val="000000"/>
                <w:szCs w:val="23"/>
              </w:rPr>
              <w:t>5</w:t>
            </w:r>
          </w:p>
        </w:tc>
        <w:tc>
          <w:tcPr>
            <w:tcW w:w="3147" w:type="dxa"/>
            <w:shd w:val="clear" w:color="000000" w:fill="FCE4D6"/>
            <w:vAlign w:val="center"/>
            <w:hideMark/>
          </w:tcPr>
          <w:p w14:paraId="7DB9E740"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Patient’s Address</w:t>
            </w:r>
          </w:p>
        </w:tc>
        <w:tc>
          <w:tcPr>
            <w:tcW w:w="5958" w:type="dxa"/>
            <w:shd w:val="clear" w:color="000000" w:fill="FCE4D6"/>
            <w:vAlign w:val="center"/>
            <w:hideMark/>
          </w:tcPr>
          <w:p w14:paraId="5FE98A3E" w14:textId="4A6C0FFD"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Enter address and telephone number if available</w:t>
            </w:r>
          </w:p>
        </w:tc>
      </w:tr>
      <w:tr w:rsidR="00DE37D9" w:rsidRPr="00DE37D9" w14:paraId="335DCFE8" w14:textId="77777777" w:rsidTr="006C0DD5">
        <w:trPr>
          <w:cantSplit/>
          <w:trHeight w:val="570"/>
        </w:trPr>
        <w:tc>
          <w:tcPr>
            <w:tcW w:w="1263" w:type="dxa"/>
            <w:shd w:val="clear" w:color="000000" w:fill="F8CBAD"/>
            <w:vAlign w:val="center"/>
            <w:hideMark/>
          </w:tcPr>
          <w:p w14:paraId="6EA58273" w14:textId="19AF129F" w:rsidR="00DE37D9" w:rsidRPr="00DE37D9" w:rsidRDefault="008042D8" w:rsidP="00716031">
            <w:pPr>
              <w:jc w:val="center"/>
              <w:rPr>
                <w:rFonts w:eastAsia="Times New Roman" w:cs="Tahoma"/>
                <w:color w:val="000000"/>
                <w:szCs w:val="23"/>
              </w:rPr>
            </w:pPr>
            <w:r>
              <w:rPr>
                <w:rFonts w:eastAsia="Times New Roman" w:cs="Tahoma"/>
                <w:color w:val="000000"/>
                <w:szCs w:val="23"/>
              </w:rPr>
              <w:t>6**</w:t>
            </w:r>
          </w:p>
        </w:tc>
        <w:tc>
          <w:tcPr>
            <w:tcW w:w="3147" w:type="dxa"/>
            <w:shd w:val="clear" w:color="000000" w:fill="F8CBAD"/>
            <w:vAlign w:val="center"/>
            <w:hideMark/>
          </w:tcPr>
          <w:p w14:paraId="5E8A66D8"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Patient’s Relationship to Insured</w:t>
            </w:r>
          </w:p>
        </w:tc>
        <w:tc>
          <w:tcPr>
            <w:tcW w:w="5958" w:type="dxa"/>
            <w:shd w:val="clear" w:color="000000" w:fill="F8CBAD"/>
            <w:vAlign w:val="center"/>
            <w:hideMark/>
          </w:tcPr>
          <w:p w14:paraId="7E984A0D" w14:textId="68306CFF"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Mark appropriate box if there is no other insurance</w:t>
            </w:r>
            <w:r w:rsidR="00856F04">
              <w:rPr>
                <w:rFonts w:eastAsia="Times New Roman" w:cs="Tahoma"/>
                <w:color w:val="000000"/>
                <w:szCs w:val="23"/>
              </w:rPr>
              <w:t xml:space="preserve">. </w:t>
            </w:r>
            <w:r w:rsidRPr="00DE37D9">
              <w:rPr>
                <w:rFonts w:eastAsia="Times New Roman" w:cs="Tahoma"/>
                <w:color w:val="000000"/>
                <w:szCs w:val="23"/>
              </w:rPr>
              <w:t>If no private insurance is involved</w:t>
            </w:r>
            <w:r w:rsidR="005E4502">
              <w:rPr>
                <w:rFonts w:eastAsia="Times New Roman" w:cs="Tahoma"/>
                <w:color w:val="000000"/>
                <w:szCs w:val="23"/>
              </w:rPr>
              <w:t>,</w:t>
            </w:r>
            <w:r w:rsidRPr="00DE37D9">
              <w:rPr>
                <w:rFonts w:eastAsia="Times New Roman" w:cs="Tahoma"/>
                <w:color w:val="000000"/>
                <w:szCs w:val="23"/>
              </w:rPr>
              <w:t xml:space="preserve"> leave blank. </w:t>
            </w:r>
          </w:p>
        </w:tc>
      </w:tr>
      <w:tr w:rsidR="00DE37D9" w:rsidRPr="00DE37D9" w14:paraId="60A22176" w14:textId="77777777" w:rsidTr="006C0DD5">
        <w:trPr>
          <w:cantSplit/>
          <w:trHeight w:val="570"/>
        </w:trPr>
        <w:tc>
          <w:tcPr>
            <w:tcW w:w="1263" w:type="dxa"/>
            <w:shd w:val="clear" w:color="000000" w:fill="FCE4D6"/>
            <w:vAlign w:val="center"/>
            <w:hideMark/>
          </w:tcPr>
          <w:p w14:paraId="30FDC270" w14:textId="3254527F" w:rsidR="00DE37D9" w:rsidRPr="00DE37D9" w:rsidRDefault="008042D8" w:rsidP="00716031">
            <w:pPr>
              <w:jc w:val="center"/>
              <w:rPr>
                <w:rFonts w:eastAsia="Times New Roman" w:cs="Tahoma"/>
                <w:color w:val="000000"/>
                <w:szCs w:val="23"/>
              </w:rPr>
            </w:pPr>
            <w:r>
              <w:rPr>
                <w:rFonts w:eastAsia="Times New Roman" w:cs="Tahoma"/>
                <w:color w:val="000000"/>
                <w:szCs w:val="23"/>
              </w:rPr>
              <w:t>7**</w:t>
            </w:r>
          </w:p>
        </w:tc>
        <w:tc>
          <w:tcPr>
            <w:tcW w:w="3147" w:type="dxa"/>
            <w:shd w:val="clear" w:color="000000" w:fill="FCE4D6"/>
            <w:vAlign w:val="center"/>
            <w:hideMark/>
          </w:tcPr>
          <w:p w14:paraId="1218FD49"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Insured’s Address</w:t>
            </w:r>
          </w:p>
        </w:tc>
        <w:tc>
          <w:tcPr>
            <w:tcW w:w="5958" w:type="dxa"/>
            <w:shd w:val="clear" w:color="000000" w:fill="FCE4D6"/>
            <w:vAlign w:val="center"/>
            <w:hideMark/>
          </w:tcPr>
          <w:p w14:paraId="63B98EA4" w14:textId="6A3F439A"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Enter the primary policyholder’s address; enter policyholder’s telephone number, if available</w:t>
            </w:r>
            <w:r w:rsidR="00856F04">
              <w:rPr>
                <w:rFonts w:eastAsia="Times New Roman" w:cs="Tahoma"/>
                <w:color w:val="000000"/>
                <w:szCs w:val="23"/>
              </w:rPr>
              <w:t xml:space="preserve">. </w:t>
            </w:r>
            <w:r w:rsidRPr="00DE37D9">
              <w:rPr>
                <w:rFonts w:eastAsia="Times New Roman" w:cs="Tahoma"/>
                <w:color w:val="000000"/>
                <w:szCs w:val="23"/>
              </w:rPr>
              <w:t>If no private insurance is involved, leave blank.</w:t>
            </w:r>
          </w:p>
        </w:tc>
      </w:tr>
      <w:tr w:rsidR="00DE37D9" w:rsidRPr="00DE37D9" w14:paraId="40CA8105" w14:textId="77777777" w:rsidTr="006C0DD5">
        <w:trPr>
          <w:cantSplit/>
          <w:trHeight w:val="570"/>
        </w:trPr>
        <w:tc>
          <w:tcPr>
            <w:tcW w:w="1263" w:type="dxa"/>
            <w:shd w:val="clear" w:color="000000" w:fill="F8CBAD"/>
            <w:vAlign w:val="center"/>
            <w:hideMark/>
          </w:tcPr>
          <w:p w14:paraId="46EA9DAF" w14:textId="2136A6A9" w:rsidR="00DE37D9" w:rsidRPr="00DE37D9" w:rsidRDefault="008042D8" w:rsidP="00716031">
            <w:pPr>
              <w:jc w:val="center"/>
              <w:rPr>
                <w:rFonts w:eastAsia="Times New Roman" w:cs="Tahoma"/>
                <w:color w:val="000000"/>
                <w:szCs w:val="23"/>
              </w:rPr>
            </w:pPr>
            <w:r>
              <w:rPr>
                <w:rFonts w:eastAsia="Times New Roman" w:cs="Tahoma"/>
                <w:color w:val="000000"/>
                <w:szCs w:val="23"/>
              </w:rPr>
              <w:t>8</w:t>
            </w:r>
          </w:p>
        </w:tc>
        <w:tc>
          <w:tcPr>
            <w:tcW w:w="3147" w:type="dxa"/>
            <w:shd w:val="clear" w:color="000000" w:fill="F8CBAD"/>
            <w:vAlign w:val="center"/>
            <w:hideMark/>
          </w:tcPr>
          <w:p w14:paraId="31B0190B" w14:textId="48867459"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 xml:space="preserve">Reserved for </w:t>
            </w:r>
            <w:r w:rsidR="00635C50">
              <w:rPr>
                <w:rFonts w:eastAsia="Times New Roman" w:cs="Tahoma"/>
                <w:color w:val="000000"/>
                <w:szCs w:val="23"/>
              </w:rPr>
              <w:t>National Uniform Claim Committee (</w:t>
            </w:r>
            <w:r w:rsidRPr="00DE37D9">
              <w:rPr>
                <w:rFonts w:eastAsia="Times New Roman" w:cs="Tahoma"/>
                <w:color w:val="000000"/>
                <w:szCs w:val="23"/>
              </w:rPr>
              <w:t>NUCC</w:t>
            </w:r>
            <w:r w:rsidR="00635C50">
              <w:rPr>
                <w:rFonts w:eastAsia="Times New Roman" w:cs="Tahoma"/>
                <w:color w:val="000000"/>
                <w:szCs w:val="23"/>
              </w:rPr>
              <w:t>)</w:t>
            </w:r>
            <w:r w:rsidRPr="00DE37D9">
              <w:rPr>
                <w:rFonts w:eastAsia="Times New Roman" w:cs="Tahoma"/>
                <w:color w:val="000000"/>
                <w:szCs w:val="23"/>
              </w:rPr>
              <w:t xml:space="preserve"> Use</w:t>
            </w:r>
          </w:p>
        </w:tc>
        <w:tc>
          <w:tcPr>
            <w:tcW w:w="5958" w:type="dxa"/>
            <w:shd w:val="clear" w:color="000000" w:fill="F8CBAD"/>
            <w:vAlign w:val="center"/>
            <w:hideMark/>
          </w:tcPr>
          <w:p w14:paraId="4BBD8600" w14:textId="2EAE382D"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Leave blank</w:t>
            </w:r>
          </w:p>
        </w:tc>
      </w:tr>
      <w:tr w:rsidR="00DE37D9" w:rsidRPr="00DE37D9" w14:paraId="358827A6" w14:textId="77777777" w:rsidTr="006C0DD5">
        <w:trPr>
          <w:cantSplit/>
          <w:trHeight w:val="600"/>
        </w:trPr>
        <w:tc>
          <w:tcPr>
            <w:tcW w:w="1263" w:type="dxa"/>
            <w:shd w:val="clear" w:color="000000" w:fill="FCE4D6"/>
            <w:vAlign w:val="center"/>
            <w:hideMark/>
          </w:tcPr>
          <w:p w14:paraId="33C4808C" w14:textId="7414875F" w:rsidR="00DE37D9" w:rsidRPr="00DE37D9" w:rsidRDefault="008042D8" w:rsidP="00716031">
            <w:pPr>
              <w:jc w:val="center"/>
              <w:rPr>
                <w:rFonts w:eastAsia="Times New Roman" w:cs="Tahoma"/>
                <w:color w:val="000000"/>
                <w:szCs w:val="23"/>
              </w:rPr>
            </w:pPr>
            <w:r>
              <w:rPr>
                <w:rFonts w:eastAsia="Times New Roman" w:cs="Tahoma"/>
                <w:color w:val="000000"/>
                <w:szCs w:val="23"/>
              </w:rPr>
              <w:t>9**</w:t>
            </w:r>
          </w:p>
        </w:tc>
        <w:tc>
          <w:tcPr>
            <w:tcW w:w="3147" w:type="dxa"/>
            <w:shd w:val="clear" w:color="000000" w:fill="FCE4D6"/>
            <w:vAlign w:val="center"/>
            <w:hideMark/>
          </w:tcPr>
          <w:p w14:paraId="14844BA3"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Other Insured’s Name</w:t>
            </w:r>
          </w:p>
        </w:tc>
        <w:tc>
          <w:tcPr>
            <w:tcW w:w="5958" w:type="dxa"/>
            <w:shd w:val="clear" w:color="000000" w:fill="FCE4D6"/>
            <w:vAlign w:val="center"/>
            <w:hideMark/>
          </w:tcPr>
          <w:p w14:paraId="00549C90" w14:textId="77777777" w:rsidR="00E669EC" w:rsidRDefault="00DE37D9" w:rsidP="00E9415C">
            <w:pPr>
              <w:jc w:val="left"/>
              <w:rPr>
                <w:rFonts w:eastAsia="Times New Roman" w:cs="Tahoma"/>
                <w:color w:val="000000"/>
                <w:szCs w:val="23"/>
              </w:rPr>
            </w:pPr>
            <w:r w:rsidRPr="00DE37D9">
              <w:rPr>
                <w:rFonts w:eastAsia="Times New Roman" w:cs="Tahoma"/>
                <w:color w:val="000000"/>
                <w:szCs w:val="23"/>
              </w:rPr>
              <w:t xml:space="preserve">Enter other insured’s full last name, first name, and middle initial of the enrollee in another health plan if it is different from that shown in Item Number 2. </w:t>
            </w:r>
          </w:p>
          <w:p w14:paraId="32565859" w14:textId="12048B0F" w:rsidR="00DE37D9" w:rsidRPr="00DE37D9" w:rsidRDefault="00635C50" w:rsidP="00E9415C">
            <w:pPr>
              <w:jc w:val="left"/>
              <w:rPr>
                <w:rFonts w:eastAsia="Times New Roman" w:cs="Tahoma"/>
                <w:color w:val="000000"/>
                <w:szCs w:val="23"/>
              </w:rPr>
            </w:pPr>
            <w:r w:rsidRPr="00DE37D9">
              <w:rPr>
                <w:rFonts w:cs="Tahoma"/>
                <w:szCs w:val="23"/>
              </w:rPr>
              <w:t>This field is for private insurance information only. If no private insurance is involved</w:t>
            </w:r>
            <w:r w:rsidR="005E4502">
              <w:rPr>
                <w:rFonts w:cs="Tahoma"/>
                <w:szCs w:val="23"/>
              </w:rPr>
              <w:t>,</w:t>
            </w:r>
            <w:r w:rsidRPr="00DE37D9">
              <w:rPr>
                <w:rFonts w:cs="Tahoma"/>
                <w:szCs w:val="23"/>
              </w:rPr>
              <w:t xml:space="preserve"> </w:t>
            </w:r>
            <w:r>
              <w:rPr>
                <w:rFonts w:cs="Tahoma"/>
                <w:szCs w:val="23"/>
              </w:rPr>
              <w:t>leave blank</w:t>
            </w:r>
            <w:r w:rsidRPr="00DE37D9">
              <w:rPr>
                <w:rFonts w:cs="Tahoma"/>
                <w:szCs w:val="23"/>
              </w:rPr>
              <w:t xml:space="preserve">. </w:t>
            </w:r>
          </w:p>
        </w:tc>
      </w:tr>
      <w:tr w:rsidR="00DE37D9" w:rsidRPr="00DE37D9" w14:paraId="29C0EB0A" w14:textId="77777777" w:rsidTr="006C0DD5">
        <w:trPr>
          <w:cantSplit/>
          <w:trHeight w:val="885"/>
        </w:trPr>
        <w:tc>
          <w:tcPr>
            <w:tcW w:w="1263" w:type="dxa"/>
            <w:shd w:val="clear" w:color="000000" w:fill="F8CBAD"/>
            <w:vAlign w:val="center"/>
            <w:hideMark/>
          </w:tcPr>
          <w:p w14:paraId="4365D290" w14:textId="64D566D9" w:rsidR="00DE37D9" w:rsidRPr="00DE37D9" w:rsidRDefault="008042D8" w:rsidP="00716031">
            <w:pPr>
              <w:jc w:val="center"/>
              <w:rPr>
                <w:rFonts w:eastAsia="Times New Roman" w:cs="Tahoma"/>
                <w:color w:val="000000"/>
                <w:szCs w:val="23"/>
              </w:rPr>
            </w:pPr>
            <w:r>
              <w:rPr>
                <w:rFonts w:eastAsia="Times New Roman" w:cs="Tahoma"/>
                <w:color w:val="000000"/>
                <w:szCs w:val="23"/>
              </w:rPr>
              <w:t>9a**</w:t>
            </w:r>
          </w:p>
        </w:tc>
        <w:tc>
          <w:tcPr>
            <w:tcW w:w="3147" w:type="dxa"/>
            <w:shd w:val="clear" w:color="000000" w:fill="F8CBAD"/>
            <w:vAlign w:val="center"/>
            <w:hideMark/>
          </w:tcPr>
          <w:p w14:paraId="344BAE30"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Other Insured’s Policy or Group Number</w:t>
            </w:r>
          </w:p>
        </w:tc>
        <w:tc>
          <w:tcPr>
            <w:tcW w:w="5958" w:type="dxa"/>
            <w:shd w:val="clear" w:color="000000" w:fill="F8CBAD"/>
            <w:vAlign w:val="center"/>
            <w:hideMark/>
          </w:tcPr>
          <w:p w14:paraId="406639EA" w14:textId="77777777" w:rsidR="00E669EC" w:rsidRDefault="00DE37D9" w:rsidP="00E9415C">
            <w:pPr>
              <w:jc w:val="left"/>
              <w:rPr>
                <w:rFonts w:eastAsia="Times New Roman" w:cs="Tahoma"/>
                <w:color w:val="000000"/>
                <w:szCs w:val="23"/>
              </w:rPr>
            </w:pPr>
            <w:r w:rsidRPr="00DE37D9">
              <w:rPr>
                <w:rFonts w:eastAsia="Times New Roman" w:cs="Tahoma"/>
                <w:color w:val="000000"/>
                <w:szCs w:val="23"/>
              </w:rPr>
              <w:t xml:space="preserve">Enter the secondary policyholder’s insurance policy number or group number, if the insurance is through a group such as an employer, union, etc. </w:t>
            </w:r>
          </w:p>
          <w:p w14:paraId="5666330A" w14:textId="2A76780C" w:rsidR="00DE37D9" w:rsidRPr="00DE37D9" w:rsidRDefault="00635C50" w:rsidP="00E9415C">
            <w:pPr>
              <w:jc w:val="left"/>
              <w:rPr>
                <w:rFonts w:eastAsia="Times New Roman" w:cs="Tahoma"/>
                <w:color w:val="000000"/>
                <w:szCs w:val="23"/>
              </w:rPr>
            </w:pPr>
            <w:r w:rsidRPr="00DE37D9">
              <w:rPr>
                <w:rFonts w:cs="Tahoma"/>
                <w:szCs w:val="23"/>
              </w:rPr>
              <w:t>This field is for private insurance information only. If no private insurance is involved</w:t>
            </w:r>
            <w:r w:rsidR="00E669EC">
              <w:rPr>
                <w:rFonts w:cs="Tahoma"/>
                <w:szCs w:val="23"/>
              </w:rPr>
              <w:t>,</w:t>
            </w:r>
            <w:r w:rsidRPr="00DE37D9">
              <w:rPr>
                <w:rFonts w:cs="Tahoma"/>
                <w:szCs w:val="23"/>
              </w:rPr>
              <w:t xml:space="preserve"> </w:t>
            </w:r>
            <w:r>
              <w:rPr>
                <w:rFonts w:cs="Tahoma"/>
                <w:szCs w:val="23"/>
              </w:rPr>
              <w:t>leave blank</w:t>
            </w:r>
            <w:r w:rsidRPr="00DE37D9">
              <w:rPr>
                <w:rFonts w:cs="Tahoma"/>
                <w:szCs w:val="23"/>
              </w:rPr>
              <w:t>.</w:t>
            </w:r>
            <w:r w:rsidR="00E669EC">
              <w:rPr>
                <w:rFonts w:cs="Tahoma"/>
                <w:szCs w:val="23"/>
              </w:rPr>
              <w:t xml:space="preserve"> </w:t>
            </w:r>
          </w:p>
        </w:tc>
      </w:tr>
      <w:tr w:rsidR="00DE37D9" w:rsidRPr="00DE37D9" w14:paraId="1B52DF84" w14:textId="77777777" w:rsidTr="006C0DD5">
        <w:trPr>
          <w:cantSplit/>
          <w:trHeight w:val="570"/>
        </w:trPr>
        <w:tc>
          <w:tcPr>
            <w:tcW w:w="1263" w:type="dxa"/>
            <w:shd w:val="clear" w:color="000000" w:fill="FCE4D6"/>
            <w:vAlign w:val="center"/>
            <w:hideMark/>
          </w:tcPr>
          <w:p w14:paraId="6905A164" w14:textId="4629B76C" w:rsidR="00DE37D9" w:rsidRPr="00DE37D9" w:rsidRDefault="008042D8" w:rsidP="00716031">
            <w:pPr>
              <w:jc w:val="center"/>
              <w:rPr>
                <w:rFonts w:eastAsia="Times New Roman" w:cs="Tahoma"/>
                <w:color w:val="000000"/>
                <w:szCs w:val="23"/>
              </w:rPr>
            </w:pPr>
            <w:r>
              <w:rPr>
                <w:rFonts w:eastAsia="Times New Roman" w:cs="Tahoma"/>
                <w:color w:val="000000"/>
                <w:szCs w:val="23"/>
              </w:rPr>
              <w:t>9b**</w:t>
            </w:r>
          </w:p>
        </w:tc>
        <w:tc>
          <w:tcPr>
            <w:tcW w:w="3147" w:type="dxa"/>
            <w:shd w:val="clear" w:color="000000" w:fill="FCE4D6"/>
            <w:vAlign w:val="center"/>
            <w:hideMark/>
          </w:tcPr>
          <w:p w14:paraId="180D7377"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Reserved for NUCC Use</w:t>
            </w:r>
          </w:p>
        </w:tc>
        <w:tc>
          <w:tcPr>
            <w:tcW w:w="5958" w:type="dxa"/>
            <w:shd w:val="clear" w:color="000000" w:fill="FCE4D6"/>
            <w:vAlign w:val="center"/>
            <w:hideMark/>
          </w:tcPr>
          <w:p w14:paraId="5713528D" w14:textId="5B9CA3EE"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Leave blank</w:t>
            </w:r>
          </w:p>
        </w:tc>
      </w:tr>
      <w:tr w:rsidR="00DE37D9" w:rsidRPr="00DE37D9" w14:paraId="09F99A05" w14:textId="77777777" w:rsidTr="006C0DD5">
        <w:trPr>
          <w:cantSplit/>
          <w:trHeight w:val="570"/>
        </w:trPr>
        <w:tc>
          <w:tcPr>
            <w:tcW w:w="1263" w:type="dxa"/>
            <w:shd w:val="clear" w:color="000000" w:fill="F8CBAD"/>
            <w:vAlign w:val="center"/>
            <w:hideMark/>
          </w:tcPr>
          <w:p w14:paraId="55557AD5" w14:textId="02DC5121" w:rsidR="00DE37D9" w:rsidRPr="00DE37D9" w:rsidRDefault="008042D8" w:rsidP="00716031">
            <w:pPr>
              <w:jc w:val="center"/>
              <w:rPr>
                <w:rFonts w:eastAsia="Times New Roman" w:cs="Tahoma"/>
                <w:color w:val="000000"/>
                <w:szCs w:val="23"/>
              </w:rPr>
            </w:pPr>
            <w:r>
              <w:rPr>
                <w:rFonts w:eastAsia="Times New Roman" w:cs="Tahoma"/>
                <w:color w:val="000000"/>
                <w:szCs w:val="23"/>
              </w:rPr>
              <w:t>9c**</w:t>
            </w:r>
          </w:p>
        </w:tc>
        <w:tc>
          <w:tcPr>
            <w:tcW w:w="3147" w:type="dxa"/>
            <w:shd w:val="clear" w:color="000000" w:fill="F8CBAD"/>
            <w:vAlign w:val="center"/>
            <w:hideMark/>
          </w:tcPr>
          <w:p w14:paraId="4B5619D7"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Reserved for NUCC Use</w:t>
            </w:r>
          </w:p>
        </w:tc>
        <w:tc>
          <w:tcPr>
            <w:tcW w:w="5958" w:type="dxa"/>
            <w:shd w:val="clear" w:color="000000" w:fill="F8CBAD"/>
            <w:vAlign w:val="center"/>
            <w:hideMark/>
          </w:tcPr>
          <w:p w14:paraId="412A2C7D" w14:textId="2349C0B2"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 xml:space="preserve">Leave blank </w:t>
            </w:r>
          </w:p>
        </w:tc>
      </w:tr>
      <w:tr w:rsidR="00DE37D9" w:rsidRPr="00DE37D9" w14:paraId="7E071231" w14:textId="77777777" w:rsidTr="006C0DD5">
        <w:trPr>
          <w:cantSplit/>
          <w:trHeight w:val="855"/>
        </w:trPr>
        <w:tc>
          <w:tcPr>
            <w:tcW w:w="1263" w:type="dxa"/>
            <w:shd w:val="clear" w:color="000000" w:fill="FCE4D6"/>
            <w:vAlign w:val="center"/>
            <w:hideMark/>
          </w:tcPr>
          <w:p w14:paraId="479666CA" w14:textId="3490B7C8" w:rsidR="00DE37D9" w:rsidRPr="00DE37D9" w:rsidRDefault="008042D8" w:rsidP="00716031">
            <w:pPr>
              <w:jc w:val="center"/>
              <w:rPr>
                <w:rFonts w:eastAsia="Times New Roman" w:cs="Tahoma"/>
                <w:color w:val="000000"/>
                <w:szCs w:val="23"/>
              </w:rPr>
            </w:pPr>
            <w:r>
              <w:rPr>
                <w:rFonts w:eastAsia="Times New Roman" w:cs="Tahoma"/>
                <w:color w:val="000000"/>
                <w:szCs w:val="23"/>
              </w:rPr>
              <w:t>9d**</w:t>
            </w:r>
          </w:p>
        </w:tc>
        <w:tc>
          <w:tcPr>
            <w:tcW w:w="3147" w:type="dxa"/>
            <w:shd w:val="clear" w:color="000000" w:fill="FCE4D6"/>
            <w:vAlign w:val="center"/>
            <w:hideMark/>
          </w:tcPr>
          <w:p w14:paraId="6FF23D54"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Insurance Plan Name or Program Name</w:t>
            </w:r>
          </w:p>
        </w:tc>
        <w:tc>
          <w:tcPr>
            <w:tcW w:w="5958" w:type="dxa"/>
            <w:shd w:val="clear" w:color="000000" w:fill="FCE4D6"/>
            <w:vAlign w:val="center"/>
            <w:hideMark/>
          </w:tcPr>
          <w:p w14:paraId="40E08A01" w14:textId="5ED96E0F" w:rsidR="00635C50" w:rsidRDefault="00DE37D9" w:rsidP="00E9415C">
            <w:pPr>
              <w:jc w:val="left"/>
              <w:rPr>
                <w:rFonts w:eastAsia="Times New Roman" w:cs="Tahoma"/>
                <w:color w:val="000000"/>
                <w:szCs w:val="23"/>
              </w:rPr>
            </w:pPr>
            <w:r w:rsidRPr="00DE37D9">
              <w:rPr>
                <w:rFonts w:eastAsia="Times New Roman" w:cs="Tahoma"/>
                <w:color w:val="000000"/>
                <w:szCs w:val="23"/>
              </w:rPr>
              <w:t>Enter the other insured’s insurance plan or program name</w:t>
            </w:r>
            <w:r w:rsidR="00B445CF">
              <w:rPr>
                <w:rFonts w:eastAsia="Times New Roman" w:cs="Tahoma"/>
                <w:color w:val="000000"/>
                <w:szCs w:val="23"/>
              </w:rPr>
              <w:t>.</w:t>
            </w:r>
            <w:r w:rsidRPr="00DE37D9">
              <w:rPr>
                <w:rFonts w:eastAsia="Times New Roman" w:cs="Tahoma"/>
                <w:color w:val="000000"/>
                <w:szCs w:val="23"/>
              </w:rPr>
              <w:t xml:space="preserve"> </w:t>
            </w:r>
          </w:p>
          <w:p w14:paraId="17BE6174" w14:textId="5299ADF3" w:rsidR="00635C50" w:rsidRDefault="00DE37D9" w:rsidP="00E9415C">
            <w:pPr>
              <w:jc w:val="left"/>
              <w:rPr>
                <w:rFonts w:eastAsia="Times New Roman" w:cs="Tahoma"/>
                <w:color w:val="000000"/>
                <w:szCs w:val="23"/>
              </w:rPr>
            </w:pPr>
            <w:r w:rsidRPr="00DE37D9">
              <w:rPr>
                <w:rFonts w:eastAsia="Times New Roman" w:cs="Tahoma"/>
                <w:color w:val="000000"/>
                <w:szCs w:val="23"/>
              </w:rPr>
              <w:t>If the insurance plan denied payment for the service provided, attach a valid denial from the insurance plan</w:t>
            </w:r>
            <w:r w:rsidR="00B445CF">
              <w:rPr>
                <w:rFonts w:eastAsia="Times New Roman" w:cs="Tahoma"/>
                <w:color w:val="000000"/>
                <w:szCs w:val="23"/>
              </w:rPr>
              <w:t>.</w:t>
            </w:r>
          </w:p>
          <w:p w14:paraId="3B27B993" w14:textId="624B2E0F" w:rsidR="00DE37D9" w:rsidRPr="00DE37D9" w:rsidRDefault="00635C50" w:rsidP="00E9415C">
            <w:pPr>
              <w:jc w:val="left"/>
              <w:rPr>
                <w:rFonts w:eastAsia="Times New Roman" w:cs="Tahoma"/>
                <w:color w:val="000000"/>
                <w:szCs w:val="23"/>
              </w:rPr>
            </w:pPr>
            <w:r w:rsidRPr="00DE37D9">
              <w:rPr>
                <w:rFonts w:cs="Tahoma"/>
                <w:szCs w:val="23"/>
              </w:rPr>
              <w:t>This field is for private insurance information only. If no private insurance is involved</w:t>
            </w:r>
            <w:r w:rsidR="00B445CF">
              <w:rPr>
                <w:rFonts w:cs="Tahoma"/>
                <w:szCs w:val="23"/>
              </w:rPr>
              <w:t>,</w:t>
            </w:r>
            <w:r w:rsidRPr="00DE37D9">
              <w:rPr>
                <w:rFonts w:cs="Tahoma"/>
                <w:szCs w:val="23"/>
              </w:rPr>
              <w:t xml:space="preserve"> </w:t>
            </w:r>
            <w:r>
              <w:rPr>
                <w:rFonts w:cs="Tahoma"/>
                <w:szCs w:val="23"/>
              </w:rPr>
              <w:t>leave blank</w:t>
            </w:r>
            <w:r w:rsidRPr="00DE37D9">
              <w:rPr>
                <w:rFonts w:cs="Tahoma"/>
                <w:szCs w:val="23"/>
              </w:rPr>
              <w:t>.</w:t>
            </w:r>
            <w:r w:rsidR="00B445CF">
              <w:rPr>
                <w:rFonts w:cs="Tahoma"/>
                <w:szCs w:val="23"/>
              </w:rPr>
              <w:t xml:space="preserve"> </w:t>
            </w:r>
          </w:p>
        </w:tc>
      </w:tr>
      <w:tr w:rsidR="00DE37D9" w:rsidRPr="00DE37D9" w14:paraId="2EE5DB43" w14:textId="77777777" w:rsidTr="006C0DD5">
        <w:trPr>
          <w:cantSplit/>
          <w:trHeight w:val="570"/>
        </w:trPr>
        <w:tc>
          <w:tcPr>
            <w:tcW w:w="1263" w:type="dxa"/>
            <w:shd w:val="clear" w:color="000000" w:fill="F8CBAD"/>
            <w:vAlign w:val="center"/>
            <w:hideMark/>
          </w:tcPr>
          <w:p w14:paraId="7051E12D" w14:textId="46BF7671" w:rsidR="00DE37D9" w:rsidRPr="00DE37D9" w:rsidRDefault="008042D8" w:rsidP="00716031">
            <w:pPr>
              <w:jc w:val="center"/>
              <w:rPr>
                <w:rFonts w:eastAsia="Times New Roman" w:cs="Tahoma"/>
                <w:color w:val="000000"/>
                <w:szCs w:val="23"/>
              </w:rPr>
            </w:pPr>
            <w:r>
              <w:rPr>
                <w:rFonts w:eastAsia="Times New Roman" w:cs="Tahoma"/>
                <w:color w:val="000000"/>
                <w:szCs w:val="23"/>
              </w:rPr>
              <w:t>10a-10c**</w:t>
            </w:r>
          </w:p>
        </w:tc>
        <w:tc>
          <w:tcPr>
            <w:tcW w:w="3147" w:type="dxa"/>
            <w:shd w:val="clear" w:color="000000" w:fill="F8CBAD"/>
            <w:vAlign w:val="center"/>
            <w:hideMark/>
          </w:tcPr>
          <w:p w14:paraId="10387376" w14:textId="7F2A45AA"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Is Condition Related to</w:t>
            </w:r>
            <w:r w:rsidR="00EC4967">
              <w:rPr>
                <w:rFonts w:eastAsia="Times New Roman" w:cs="Tahoma"/>
                <w:color w:val="000000"/>
                <w:szCs w:val="23"/>
              </w:rPr>
              <w:t xml:space="preserve">:   </w:t>
            </w:r>
          </w:p>
        </w:tc>
        <w:tc>
          <w:tcPr>
            <w:tcW w:w="5958" w:type="dxa"/>
            <w:shd w:val="clear" w:color="000000" w:fill="F8CBAD"/>
            <w:vAlign w:val="center"/>
            <w:hideMark/>
          </w:tcPr>
          <w:p w14:paraId="60B22FEF"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 xml:space="preserve">If services on the claim are related to patient’s employment, auto accident, or other accident, mark the appropriate box. If the services are not related to an accident, leave blank. </w:t>
            </w:r>
          </w:p>
        </w:tc>
      </w:tr>
      <w:tr w:rsidR="00DE37D9" w:rsidRPr="00DE37D9" w14:paraId="0D9FDB3E" w14:textId="77777777" w:rsidTr="006C0DD5">
        <w:trPr>
          <w:cantSplit/>
          <w:trHeight w:val="855"/>
        </w:trPr>
        <w:tc>
          <w:tcPr>
            <w:tcW w:w="1263" w:type="dxa"/>
            <w:shd w:val="clear" w:color="000000" w:fill="FCE4D6"/>
            <w:vAlign w:val="center"/>
            <w:hideMark/>
          </w:tcPr>
          <w:p w14:paraId="43196159" w14:textId="532A9317" w:rsidR="00DE37D9" w:rsidRPr="00DE37D9" w:rsidRDefault="008042D8" w:rsidP="00716031">
            <w:pPr>
              <w:jc w:val="center"/>
              <w:rPr>
                <w:rFonts w:eastAsia="Times New Roman" w:cs="Tahoma"/>
                <w:color w:val="000000"/>
                <w:szCs w:val="23"/>
              </w:rPr>
            </w:pPr>
            <w:r>
              <w:rPr>
                <w:rFonts w:eastAsia="Times New Roman" w:cs="Tahoma"/>
                <w:color w:val="000000"/>
                <w:szCs w:val="23"/>
              </w:rPr>
              <w:t>10d</w:t>
            </w:r>
          </w:p>
        </w:tc>
        <w:tc>
          <w:tcPr>
            <w:tcW w:w="3147" w:type="dxa"/>
            <w:shd w:val="clear" w:color="000000" w:fill="FCE4D6"/>
            <w:vAlign w:val="center"/>
            <w:hideMark/>
          </w:tcPr>
          <w:p w14:paraId="3FB85C2A"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Claim Codes (Designated by NUCC)</w:t>
            </w:r>
          </w:p>
        </w:tc>
        <w:tc>
          <w:tcPr>
            <w:tcW w:w="5958" w:type="dxa"/>
            <w:shd w:val="clear" w:color="000000" w:fill="FCE4D6"/>
            <w:vAlign w:val="center"/>
            <w:hideMark/>
          </w:tcPr>
          <w:p w14:paraId="1EB48004" w14:textId="6643B88D"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Leave blank</w:t>
            </w:r>
          </w:p>
        </w:tc>
      </w:tr>
      <w:tr w:rsidR="00DE37D9" w:rsidRPr="00DE37D9" w14:paraId="61FF0E7B" w14:textId="77777777" w:rsidTr="006C0DD5">
        <w:trPr>
          <w:cantSplit/>
          <w:trHeight w:val="885"/>
        </w:trPr>
        <w:tc>
          <w:tcPr>
            <w:tcW w:w="1263" w:type="dxa"/>
            <w:shd w:val="clear" w:color="000000" w:fill="F8CBAD"/>
            <w:vAlign w:val="center"/>
            <w:hideMark/>
          </w:tcPr>
          <w:p w14:paraId="48AA9F6E" w14:textId="15C5934D" w:rsidR="00DE37D9" w:rsidRPr="00DE37D9" w:rsidRDefault="008042D8" w:rsidP="00716031">
            <w:pPr>
              <w:jc w:val="center"/>
              <w:rPr>
                <w:rFonts w:eastAsia="Times New Roman" w:cs="Tahoma"/>
                <w:color w:val="000000"/>
                <w:szCs w:val="23"/>
              </w:rPr>
            </w:pPr>
            <w:r>
              <w:rPr>
                <w:rFonts w:eastAsia="Times New Roman" w:cs="Tahoma"/>
                <w:color w:val="000000"/>
                <w:szCs w:val="23"/>
              </w:rPr>
              <w:t>11**</w:t>
            </w:r>
          </w:p>
        </w:tc>
        <w:tc>
          <w:tcPr>
            <w:tcW w:w="3147" w:type="dxa"/>
            <w:shd w:val="clear" w:color="000000" w:fill="F8CBAD"/>
            <w:vAlign w:val="center"/>
            <w:hideMark/>
          </w:tcPr>
          <w:p w14:paraId="54B32ADB"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Insured’s Group Policy or FECA Number</w:t>
            </w:r>
          </w:p>
        </w:tc>
        <w:tc>
          <w:tcPr>
            <w:tcW w:w="5958" w:type="dxa"/>
            <w:shd w:val="clear" w:color="000000" w:fill="F8CBAD"/>
            <w:vAlign w:val="center"/>
            <w:hideMark/>
          </w:tcPr>
          <w:p w14:paraId="12A8D397" w14:textId="77777777" w:rsidR="00896DB8" w:rsidRDefault="00DE37D9" w:rsidP="00E9415C">
            <w:pPr>
              <w:jc w:val="left"/>
              <w:rPr>
                <w:rFonts w:eastAsia="Times New Roman" w:cs="Tahoma"/>
                <w:color w:val="000000"/>
                <w:szCs w:val="23"/>
              </w:rPr>
            </w:pPr>
            <w:r w:rsidRPr="00DE37D9">
              <w:rPr>
                <w:rFonts w:eastAsia="Times New Roman" w:cs="Tahoma"/>
                <w:color w:val="000000"/>
                <w:szCs w:val="23"/>
              </w:rPr>
              <w:t xml:space="preserve">Enter the primary policyholder’s insurance policy number or group number, if the insurance is through a group, such as an employer, union, etc. </w:t>
            </w:r>
          </w:p>
          <w:p w14:paraId="788002F9" w14:textId="56E46405" w:rsidR="00DE37D9" w:rsidRPr="00DE37D9" w:rsidRDefault="00635C50" w:rsidP="00E9415C">
            <w:pPr>
              <w:jc w:val="left"/>
              <w:rPr>
                <w:rFonts w:eastAsia="Times New Roman" w:cs="Tahoma"/>
                <w:color w:val="000000"/>
                <w:szCs w:val="23"/>
              </w:rPr>
            </w:pPr>
            <w:r w:rsidRPr="00DE37D9">
              <w:rPr>
                <w:rFonts w:cs="Tahoma"/>
                <w:szCs w:val="23"/>
              </w:rPr>
              <w:t>This field is for private insurance information only. If no private insurance is involved</w:t>
            </w:r>
            <w:r w:rsidR="008F5C7C">
              <w:rPr>
                <w:rFonts w:cs="Tahoma"/>
                <w:szCs w:val="23"/>
              </w:rPr>
              <w:t>,</w:t>
            </w:r>
            <w:r w:rsidRPr="00DE37D9">
              <w:rPr>
                <w:rFonts w:cs="Tahoma"/>
                <w:szCs w:val="23"/>
              </w:rPr>
              <w:t xml:space="preserve"> </w:t>
            </w:r>
            <w:r>
              <w:rPr>
                <w:rFonts w:cs="Tahoma"/>
                <w:szCs w:val="23"/>
              </w:rPr>
              <w:t>leave blank</w:t>
            </w:r>
            <w:r w:rsidRPr="00DE37D9">
              <w:rPr>
                <w:rFonts w:cs="Tahoma"/>
                <w:szCs w:val="23"/>
              </w:rPr>
              <w:t>.</w:t>
            </w:r>
            <w:r w:rsidR="008F5C7C">
              <w:rPr>
                <w:rFonts w:cs="Tahoma"/>
                <w:szCs w:val="23"/>
              </w:rPr>
              <w:t xml:space="preserve"> </w:t>
            </w:r>
          </w:p>
        </w:tc>
      </w:tr>
      <w:tr w:rsidR="00DE37D9" w:rsidRPr="00DE37D9" w14:paraId="191989E6" w14:textId="77777777" w:rsidTr="006C0DD5">
        <w:trPr>
          <w:cantSplit/>
          <w:trHeight w:val="600"/>
        </w:trPr>
        <w:tc>
          <w:tcPr>
            <w:tcW w:w="1263" w:type="dxa"/>
            <w:shd w:val="clear" w:color="000000" w:fill="FCE4D6"/>
            <w:vAlign w:val="center"/>
            <w:hideMark/>
          </w:tcPr>
          <w:p w14:paraId="10DB60A0" w14:textId="77DE4664" w:rsidR="00DE37D9" w:rsidRPr="00DE37D9" w:rsidRDefault="008042D8" w:rsidP="00716031">
            <w:pPr>
              <w:jc w:val="center"/>
              <w:rPr>
                <w:rFonts w:eastAsia="Times New Roman" w:cs="Tahoma"/>
                <w:color w:val="000000"/>
                <w:szCs w:val="23"/>
              </w:rPr>
            </w:pPr>
            <w:r>
              <w:rPr>
                <w:rFonts w:eastAsia="Times New Roman" w:cs="Tahoma"/>
                <w:color w:val="000000"/>
                <w:szCs w:val="23"/>
              </w:rPr>
              <w:t>11a**</w:t>
            </w:r>
          </w:p>
        </w:tc>
        <w:tc>
          <w:tcPr>
            <w:tcW w:w="3147" w:type="dxa"/>
            <w:shd w:val="clear" w:color="000000" w:fill="FCE4D6"/>
            <w:vAlign w:val="center"/>
            <w:hideMark/>
          </w:tcPr>
          <w:p w14:paraId="4B1688BB"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Insured’s Date of Birth, Sex</w:t>
            </w:r>
          </w:p>
        </w:tc>
        <w:tc>
          <w:tcPr>
            <w:tcW w:w="5958" w:type="dxa"/>
            <w:shd w:val="clear" w:color="000000" w:fill="FCE4D6"/>
            <w:vAlign w:val="center"/>
            <w:hideMark/>
          </w:tcPr>
          <w:p w14:paraId="0C0B6BA5" w14:textId="77777777" w:rsidR="008F5C7C" w:rsidRDefault="00DE37D9" w:rsidP="00E9415C">
            <w:pPr>
              <w:jc w:val="left"/>
              <w:rPr>
                <w:rFonts w:eastAsia="Times New Roman" w:cs="Tahoma"/>
                <w:color w:val="000000"/>
                <w:szCs w:val="23"/>
              </w:rPr>
            </w:pPr>
            <w:r w:rsidRPr="00DE37D9">
              <w:rPr>
                <w:rFonts w:eastAsia="Times New Roman" w:cs="Tahoma"/>
                <w:color w:val="000000"/>
                <w:szCs w:val="23"/>
              </w:rPr>
              <w:t xml:space="preserve">Enter primary policyholder’s date of birth and mark the appropriate box reflecting the sex of the primary policyholder. </w:t>
            </w:r>
          </w:p>
          <w:p w14:paraId="3A884706" w14:textId="0DE5DB58" w:rsidR="00DE37D9" w:rsidRPr="00DE37D9" w:rsidRDefault="00635C50" w:rsidP="00E9415C">
            <w:pPr>
              <w:jc w:val="left"/>
              <w:rPr>
                <w:rFonts w:eastAsia="Times New Roman" w:cs="Tahoma"/>
                <w:color w:val="000000"/>
                <w:szCs w:val="23"/>
              </w:rPr>
            </w:pPr>
            <w:r w:rsidRPr="00DE37D9">
              <w:rPr>
                <w:rFonts w:cs="Tahoma"/>
                <w:szCs w:val="23"/>
              </w:rPr>
              <w:t>This field is for private insurance information only. If no private insurance is involved</w:t>
            </w:r>
            <w:r w:rsidR="008F5C7C">
              <w:rPr>
                <w:rFonts w:cs="Tahoma"/>
                <w:szCs w:val="23"/>
              </w:rPr>
              <w:t>,</w:t>
            </w:r>
            <w:r w:rsidRPr="00DE37D9">
              <w:rPr>
                <w:rFonts w:cs="Tahoma"/>
                <w:szCs w:val="23"/>
              </w:rPr>
              <w:t xml:space="preserve"> </w:t>
            </w:r>
            <w:r>
              <w:rPr>
                <w:rFonts w:cs="Tahoma"/>
                <w:szCs w:val="23"/>
              </w:rPr>
              <w:t>leave blank</w:t>
            </w:r>
            <w:r w:rsidRPr="00DE37D9">
              <w:rPr>
                <w:rFonts w:cs="Tahoma"/>
                <w:szCs w:val="23"/>
              </w:rPr>
              <w:t>.</w:t>
            </w:r>
          </w:p>
        </w:tc>
      </w:tr>
      <w:tr w:rsidR="00DE37D9" w:rsidRPr="00DE37D9" w14:paraId="5CD1323E" w14:textId="77777777" w:rsidTr="006C0DD5">
        <w:trPr>
          <w:cantSplit/>
          <w:trHeight w:val="855"/>
        </w:trPr>
        <w:tc>
          <w:tcPr>
            <w:tcW w:w="1263" w:type="dxa"/>
            <w:shd w:val="clear" w:color="000000" w:fill="F8CBAD"/>
            <w:vAlign w:val="center"/>
            <w:hideMark/>
          </w:tcPr>
          <w:p w14:paraId="03CBF26F" w14:textId="1BB5B84E" w:rsidR="00DE37D9" w:rsidRPr="00DE37D9" w:rsidRDefault="008042D8" w:rsidP="00716031">
            <w:pPr>
              <w:jc w:val="center"/>
              <w:rPr>
                <w:rFonts w:eastAsia="Times New Roman" w:cs="Tahoma"/>
                <w:color w:val="000000"/>
                <w:szCs w:val="23"/>
              </w:rPr>
            </w:pPr>
            <w:r>
              <w:rPr>
                <w:rFonts w:eastAsia="Times New Roman" w:cs="Tahoma"/>
                <w:color w:val="000000"/>
                <w:szCs w:val="23"/>
              </w:rPr>
              <w:t>11b**</w:t>
            </w:r>
          </w:p>
        </w:tc>
        <w:tc>
          <w:tcPr>
            <w:tcW w:w="3147" w:type="dxa"/>
            <w:shd w:val="clear" w:color="000000" w:fill="F8CBAD"/>
            <w:vAlign w:val="center"/>
            <w:hideMark/>
          </w:tcPr>
          <w:p w14:paraId="42203071"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Other Claim ID (Designated by NUCC)</w:t>
            </w:r>
          </w:p>
        </w:tc>
        <w:tc>
          <w:tcPr>
            <w:tcW w:w="5958" w:type="dxa"/>
            <w:shd w:val="clear" w:color="000000" w:fill="F8CBAD"/>
            <w:vAlign w:val="center"/>
            <w:hideMark/>
          </w:tcPr>
          <w:p w14:paraId="67EF27A7" w14:textId="7D5B28C0"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 xml:space="preserve">Enter the </w:t>
            </w:r>
            <w:r w:rsidR="00FD7701">
              <w:rPr>
                <w:rFonts w:eastAsia="Times New Roman" w:cs="Tahoma"/>
                <w:color w:val="000000"/>
                <w:szCs w:val="23"/>
              </w:rPr>
              <w:t>‘</w:t>
            </w:r>
            <w:r w:rsidRPr="00DE37D9">
              <w:rPr>
                <w:rFonts w:eastAsia="Times New Roman" w:cs="Tahoma"/>
                <w:color w:val="000000"/>
                <w:szCs w:val="23"/>
              </w:rPr>
              <w:t>Other Claim ID.</w:t>
            </w:r>
            <w:r w:rsidR="00FD7701">
              <w:rPr>
                <w:rFonts w:eastAsia="Times New Roman" w:cs="Tahoma"/>
                <w:color w:val="000000"/>
                <w:szCs w:val="23"/>
              </w:rPr>
              <w:t>’</w:t>
            </w:r>
            <w:r w:rsidRPr="00DE37D9">
              <w:rPr>
                <w:rFonts w:eastAsia="Times New Roman" w:cs="Tahoma"/>
                <w:color w:val="000000"/>
                <w:szCs w:val="23"/>
              </w:rPr>
              <w:t xml:space="preserve">  Applicable claim identifiers are designated by NUCC</w:t>
            </w:r>
            <w:r w:rsidR="00856F04">
              <w:rPr>
                <w:rFonts w:eastAsia="Times New Roman" w:cs="Tahoma"/>
                <w:color w:val="000000"/>
                <w:szCs w:val="23"/>
              </w:rPr>
              <w:t xml:space="preserve">. </w:t>
            </w:r>
          </w:p>
        </w:tc>
      </w:tr>
      <w:tr w:rsidR="00DE37D9" w:rsidRPr="00DE37D9" w14:paraId="46B2F39A" w14:textId="77777777" w:rsidTr="006C0DD5">
        <w:trPr>
          <w:cantSplit/>
          <w:trHeight w:val="885"/>
        </w:trPr>
        <w:tc>
          <w:tcPr>
            <w:tcW w:w="1263" w:type="dxa"/>
            <w:shd w:val="clear" w:color="000000" w:fill="FCE4D6"/>
            <w:vAlign w:val="center"/>
            <w:hideMark/>
          </w:tcPr>
          <w:p w14:paraId="60816909" w14:textId="7A8204A0" w:rsidR="00DE37D9" w:rsidRPr="00DE37D9" w:rsidRDefault="008042D8" w:rsidP="00716031">
            <w:pPr>
              <w:jc w:val="center"/>
              <w:rPr>
                <w:rFonts w:eastAsia="Times New Roman" w:cs="Tahoma"/>
                <w:color w:val="000000"/>
                <w:szCs w:val="23"/>
              </w:rPr>
            </w:pPr>
            <w:r>
              <w:rPr>
                <w:rFonts w:eastAsia="Times New Roman" w:cs="Tahoma"/>
                <w:color w:val="000000"/>
                <w:szCs w:val="23"/>
              </w:rPr>
              <w:t>11c**</w:t>
            </w:r>
          </w:p>
        </w:tc>
        <w:tc>
          <w:tcPr>
            <w:tcW w:w="3147" w:type="dxa"/>
            <w:shd w:val="clear" w:color="000000" w:fill="FCE4D6"/>
            <w:vAlign w:val="center"/>
            <w:hideMark/>
          </w:tcPr>
          <w:p w14:paraId="5FA7696A"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Insurance Plan Name or Program Name</w:t>
            </w:r>
          </w:p>
        </w:tc>
        <w:tc>
          <w:tcPr>
            <w:tcW w:w="5958" w:type="dxa"/>
            <w:shd w:val="clear" w:color="000000" w:fill="FCE4D6"/>
            <w:vAlign w:val="center"/>
            <w:hideMark/>
          </w:tcPr>
          <w:p w14:paraId="292A16F1" w14:textId="77777777" w:rsidR="008F5C7C" w:rsidRDefault="00DE37D9" w:rsidP="00E9415C">
            <w:pPr>
              <w:jc w:val="left"/>
              <w:rPr>
                <w:rFonts w:eastAsia="Times New Roman" w:cs="Tahoma"/>
                <w:color w:val="000000"/>
                <w:szCs w:val="23"/>
              </w:rPr>
            </w:pPr>
            <w:r w:rsidRPr="00DE37D9">
              <w:rPr>
                <w:rFonts w:eastAsia="Times New Roman" w:cs="Tahoma"/>
                <w:color w:val="000000"/>
                <w:szCs w:val="23"/>
              </w:rPr>
              <w:t>Enter the primary policyholder's insurance plan name</w:t>
            </w:r>
            <w:r w:rsidR="00856F04">
              <w:rPr>
                <w:rFonts w:eastAsia="Times New Roman" w:cs="Tahoma"/>
                <w:color w:val="000000"/>
                <w:szCs w:val="23"/>
              </w:rPr>
              <w:t xml:space="preserve">. </w:t>
            </w:r>
            <w:r w:rsidRPr="00DE37D9">
              <w:rPr>
                <w:rFonts w:eastAsia="Times New Roman" w:cs="Tahoma"/>
                <w:color w:val="000000"/>
                <w:szCs w:val="23"/>
              </w:rPr>
              <w:t>If the insurance plan denied payment for the service provided, attach a valid denial from the insurance plan</w:t>
            </w:r>
            <w:r w:rsidR="00856F04">
              <w:rPr>
                <w:rFonts w:eastAsia="Times New Roman" w:cs="Tahoma"/>
                <w:color w:val="000000"/>
                <w:szCs w:val="23"/>
              </w:rPr>
              <w:t xml:space="preserve">. </w:t>
            </w:r>
          </w:p>
          <w:p w14:paraId="3483FDF8" w14:textId="0825724D" w:rsidR="00DE37D9" w:rsidRPr="00DE37D9" w:rsidRDefault="00635C50" w:rsidP="00E9415C">
            <w:pPr>
              <w:jc w:val="left"/>
              <w:rPr>
                <w:rFonts w:eastAsia="Times New Roman" w:cs="Tahoma"/>
                <w:color w:val="000000"/>
                <w:szCs w:val="23"/>
              </w:rPr>
            </w:pPr>
            <w:r w:rsidRPr="00DE37D9">
              <w:rPr>
                <w:rFonts w:cs="Tahoma"/>
                <w:szCs w:val="23"/>
              </w:rPr>
              <w:t>This field is for private insurance information only. If no private insurance is involved</w:t>
            </w:r>
            <w:r w:rsidR="008F5C7C">
              <w:rPr>
                <w:rFonts w:cs="Tahoma"/>
                <w:szCs w:val="23"/>
              </w:rPr>
              <w:t>,</w:t>
            </w:r>
            <w:r w:rsidRPr="00DE37D9">
              <w:rPr>
                <w:rFonts w:cs="Tahoma"/>
                <w:szCs w:val="23"/>
              </w:rPr>
              <w:t xml:space="preserve"> </w:t>
            </w:r>
            <w:r>
              <w:rPr>
                <w:rFonts w:cs="Tahoma"/>
                <w:szCs w:val="23"/>
              </w:rPr>
              <w:t>leave blank</w:t>
            </w:r>
            <w:r w:rsidRPr="00DE37D9">
              <w:rPr>
                <w:rFonts w:cs="Tahoma"/>
                <w:szCs w:val="23"/>
              </w:rPr>
              <w:t>.</w:t>
            </w:r>
          </w:p>
        </w:tc>
      </w:tr>
      <w:tr w:rsidR="00DE37D9" w:rsidRPr="00DE37D9" w14:paraId="2106C6A9" w14:textId="77777777" w:rsidTr="006C0DD5">
        <w:trPr>
          <w:cantSplit/>
          <w:trHeight w:val="885"/>
        </w:trPr>
        <w:tc>
          <w:tcPr>
            <w:tcW w:w="1263" w:type="dxa"/>
            <w:shd w:val="clear" w:color="000000" w:fill="F8CBAD"/>
            <w:vAlign w:val="center"/>
            <w:hideMark/>
          </w:tcPr>
          <w:p w14:paraId="5A3832FC" w14:textId="6E20B720" w:rsidR="00DE37D9" w:rsidRPr="00DE37D9" w:rsidRDefault="008042D8" w:rsidP="00716031">
            <w:pPr>
              <w:jc w:val="center"/>
              <w:rPr>
                <w:rFonts w:eastAsia="Times New Roman" w:cs="Tahoma"/>
                <w:color w:val="000000"/>
                <w:szCs w:val="23"/>
              </w:rPr>
            </w:pPr>
            <w:r>
              <w:rPr>
                <w:rFonts w:eastAsia="Times New Roman" w:cs="Tahoma"/>
                <w:color w:val="000000"/>
                <w:szCs w:val="23"/>
              </w:rPr>
              <w:t>11d**</w:t>
            </w:r>
          </w:p>
        </w:tc>
        <w:tc>
          <w:tcPr>
            <w:tcW w:w="3147" w:type="dxa"/>
            <w:shd w:val="clear" w:color="000000" w:fill="F8CBAD"/>
            <w:vAlign w:val="center"/>
            <w:hideMark/>
          </w:tcPr>
          <w:p w14:paraId="3908D7CC"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Other Health Benefit Plan</w:t>
            </w:r>
          </w:p>
        </w:tc>
        <w:tc>
          <w:tcPr>
            <w:tcW w:w="5958" w:type="dxa"/>
            <w:shd w:val="clear" w:color="000000" w:fill="F8CBAD"/>
            <w:vAlign w:val="center"/>
            <w:hideMark/>
          </w:tcPr>
          <w:p w14:paraId="25D7D8FE" w14:textId="75E3A94A" w:rsidR="00346646" w:rsidRDefault="00DE37D9" w:rsidP="00E9415C">
            <w:pPr>
              <w:jc w:val="left"/>
              <w:rPr>
                <w:rFonts w:eastAsia="Times New Roman" w:cs="Tahoma"/>
                <w:color w:val="000000"/>
                <w:szCs w:val="23"/>
              </w:rPr>
            </w:pPr>
            <w:r w:rsidRPr="00DE37D9">
              <w:rPr>
                <w:rFonts w:eastAsia="Times New Roman" w:cs="Tahoma"/>
                <w:color w:val="000000"/>
                <w:szCs w:val="23"/>
              </w:rPr>
              <w:t>Indicate whether the patient has a secondary health insurance plan; if so, complete Fields 9, 9a</w:t>
            </w:r>
            <w:r w:rsidR="00FD7701">
              <w:rPr>
                <w:rFonts w:eastAsia="Times New Roman" w:cs="Tahoma"/>
                <w:color w:val="000000"/>
                <w:szCs w:val="23"/>
              </w:rPr>
              <w:t>,</w:t>
            </w:r>
            <w:r w:rsidRPr="00DE37D9">
              <w:rPr>
                <w:rFonts w:eastAsia="Times New Roman" w:cs="Tahoma"/>
                <w:color w:val="000000"/>
                <w:szCs w:val="23"/>
              </w:rPr>
              <w:t xml:space="preserve"> and 9d with the secondary insurance information. </w:t>
            </w:r>
          </w:p>
          <w:p w14:paraId="234B7651" w14:textId="3A92D1D3" w:rsidR="00DE37D9" w:rsidRPr="00DE37D9" w:rsidRDefault="00635C50" w:rsidP="00E9415C">
            <w:pPr>
              <w:jc w:val="left"/>
              <w:rPr>
                <w:rFonts w:eastAsia="Times New Roman" w:cs="Tahoma"/>
                <w:color w:val="000000"/>
                <w:szCs w:val="23"/>
              </w:rPr>
            </w:pPr>
            <w:r w:rsidRPr="00DE37D9">
              <w:rPr>
                <w:rFonts w:cs="Tahoma"/>
                <w:szCs w:val="23"/>
              </w:rPr>
              <w:t>This field is for private insurance information only. If no private insurance is involved</w:t>
            </w:r>
            <w:r w:rsidR="00346646">
              <w:rPr>
                <w:rFonts w:cs="Tahoma"/>
                <w:szCs w:val="23"/>
              </w:rPr>
              <w:t>,</w:t>
            </w:r>
            <w:r w:rsidRPr="00DE37D9">
              <w:rPr>
                <w:rFonts w:cs="Tahoma"/>
                <w:szCs w:val="23"/>
              </w:rPr>
              <w:t xml:space="preserve"> </w:t>
            </w:r>
            <w:r>
              <w:rPr>
                <w:rFonts w:cs="Tahoma"/>
                <w:szCs w:val="23"/>
              </w:rPr>
              <w:t>leave blank</w:t>
            </w:r>
            <w:r w:rsidRPr="00DE37D9">
              <w:rPr>
                <w:rFonts w:cs="Tahoma"/>
                <w:szCs w:val="23"/>
              </w:rPr>
              <w:t>.</w:t>
            </w:r>
          </w:p>
        </w:tc>
      </w:tr>
      <w:tr w:rsidR="00DE37D9" w:rsidRPr="00DE37D9" w14:paraId="24DE52BE" w14:textId="77777777" w:rsidTr="006C0DD5">
        <w:trPr>
          <w:cantSplit/>
          <w:trHeight w:val="570"/>
        </w:trPr>
        <w:tc>
          <w:tcPr>
            <w:tcW w:w="1263" w:type="dxa"/>
            <w:shd w:val="clear" w:color="000000" w:fill="FCE4D6"/>
            <w:vAlign w:val="center"/>
            <w:hideMark/>
          </w:tcPr>
          <w:p w14:paraId="1C0014F1" w14:textId="37C77BDB" w:rsidR="00DE37D9" w:rsidRPr="00DE37D9" w:rsidRDefault="008042D8" w:rsidP="00716031">
            <w:pPr>
              <w:jc w:val="center"/>
              <w:rPr>
                <w:rFonts w:eastAsia="Times New Roman" w:cs="Tahoma"/>
                <w:color w:val="000000"/>
                <w:szCs w:val="23"/>
              </w:rPr>
            </w:pPr>
            <w:r>
              <w:rPr>
                <w:rFonts w:eastAsia="Times New Roman" w:cs="Tahoma"/>
                <w:color w:val="000000"/>
                <w:szCs w:val="23"/>
              </w:rPr>
              <w:t>12</w:t>
            </w:r>
          </w:p>
        </w:tc>
        <w:tc>
          <w:tcPr>
            <w:tcW w:w="3147" w:type="dxa"/>
            <w:shd w:val="clear" w:color="000000" w:fill="FCE4D6"/>
            <w:vAlign w:val="center"/>
            <w:hideMark/>
          </w:tcPr>
          <w:p w14:paraId="4A302955"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Patient’s or Authorized Person’s Signature</w:t>
            </w:r>
          </w:p>
        </w:tc>
        <w:tc>
          <w:tcPr>
            <w:tcW w:w="5958" w:type="dxa"/>
            <w:shd w:val="clear" w:color="000000" w:fill="FCE4D6"/>
            <w:vAlign w:val="center"/>
            <w:hideMark/>
          </w:tcPr>
          <w:p w14:paraId="34AE7C2B" w14:textId="18221120" w:rsidR="00DE37D9" w:rsidRPr="00DE37D9" w:rsidRDefault="008042D8" w:rsidP="00E9415C">
            <w:pPr>
              <w:jc w:val="left"/>
              <w:rPr>
                <w:rFonts w:eastAsia="Times New Roman" w:cs="Tahoma"/>
                <w:color w:val="000000"/>
                <w:szCs w:val="23"/>
              </w:rPr>
            </w:pPr>
            <w:r>
              <w:rPr>
                <w:rFonts w:eastAsia="Times New Roman" w:cs="Tahoma"/>
                <w:color w:val="000000"/>
                <w:szCs w:val="23"/>
              </w:rPr>
              <w:t>Leave blank</w:t>
            </w:r>
          </w:p>
        </w:tc>
      </w:tr>
      <w:tr w:rsidR="00DE37D9" w:rsidRPr="00DE37D9" w14:paraId="47353D6D" w14:textId="77777777" w:rsidTr="006C0DD5">
        <w:trPr>
          <w:cantSplit/>
          <w:trHeight w:val="1425"/>
        </w:trPr>
        <w:tc>
          <w:tcPr>
            <w:tcW w:w="1263" w:type="dxa"/>
            <w:shd w:val="clear" w:color="000000" w:fill="F8CBAD"/>
            <w:vAlign w:val="center"/>
            <w:hideMark/>
          </w:tcPr>
          <w:p w14:paraId="001903B1" w14:textId="77777777" w:rsidR="00DE37D9" w:rsidRPr="00DE37D9" w:rsidRDefault="00DE37D9" w:rsidP="00716031">
            <w:pPr>
              <w:jc w:val="center"/>
              <w:rPr>
                <w:rFonts w:eastAsia="Times New Roman" w:cs="Tahoma"/>
                <w:color w:val="000000"/>
                <w:szCs w:val="23"/>
              </w:rPr>
            </w:pPr>
            <w:r w:rsidRPr="00DE37D9">
              <w:rPr>
                <w:rFonts w:eastAsia="Times New Roman" w:cs="Tahoma"/>
                <w:color w:val="000000"/>
                <w:szCs w:val="23"/>
              </w:rPr>
              <w:t>*13.</w:t>
            </w:r>
          </w:p>
        </w:tc>
        <w:tc>
          <w:tcPr>
            <w:tcW w:w="3147" w:type="dxa"/>
            <w:shd w:val="clear" w:color="000000" w:fill="F8CBAD"/>
            <w:vAlign w:val="center"/>
            <w:hideMark/>
          </w:tcPr>
          <w:p w14:paraId="5AAF4769" w14:textId="6E6103AC"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Insured or Authorized Person’s Signature</w:t>
            </w:r>
          </w:p>
        </w:tc>
        <w:tc>
          <w:tcPr>
            <w:tcW w:w="5958" w:type="dxa"/>
            <w:shd w:val="clear" w:color="000000" w:fill="F8CBAD"/>
            <w:vAlign w:val="center"/>
            <w:hideMark/>
          </w:tcPr>
          <w:p w14:paraId="11536423" w14:textId="3E0BADAC"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This field should be completed only when the patient has another health insurance policy</w:t>
            </w:r>
            <w:r w:rsidRPr="00DE37D9">
              <w:rPr>
                <w:rFonts w:eastAsia="Times New Roman" w:cs="Tahoma"/>
                <w:iCs/>
                <w:color w:val="000000"/>
                <w:szCs w:val="23"/>
              </w:rPr>
              <w:t>.</w:t>
            </w:r>
            <w:r w:rsidRPr="00DE37D9">
              <w:rPr>
                <w:rFonts w:eastAsia="Times New Roman" w:cs="Tahoma"/>
                <w:color w:val="000000"/>
                <w:szCs w:val="23"/>
              </w:rPr>
              <w:t xml:space="preserve"> Obtain the policyholder’s or authorized person’s signature for assignment of benefits. The signature is necessary to ensure the insurance plan pays any benefits directly to the provider. </w:t>
            </w:r>
            <w:r w:rsidR="00635C50">
              <w:rPr>
                <w:rFonts w:eastAsia="Times New Roman" w:cs="Tahoma"/>
                <w:color w:val="000000"/>
                <w:szCs w:val="23"/>
              </w:rPr>
              <w:t>P</w:t>
            </w:r>
            <w:r w:rsidRPr="00DE37D9">
              <w:rPr>
                <w:rFonts w:eastAsia="Times New Roman" w:cs="Tahoma"/>
                <w:color w:val="000000"/>
                <w:szCs w:val="23"/>
              </w:rPr>
              <w:t xml:space="preserve">ayment may </w:t>
            </w:r>
            <w:r w:rsidR="00635C50">
              <w:rPr>
                <w:rFonts w:eastAsia="Times New Roman" w:cs="Tahoma"/>
                <w:color w:val="000000"/>
                <w:szCs w:val="23"/>
              </w:rPr>
              <w:t xml:space="preserve">otherwise </w:t>
            </w:r>
            <w:r w:rsidRPr="00DE37D9">
              <w:rPr>
                <w:rFonts w:eastAsia="Times New Roman" w:cs="Tahoma"/>
                <w:color w:val="000000"/>
                <w:szCs w:val="23"/>
              </w:rPr>
              <w:t xml:space="preserve">be issued to the policyholder requiring the provider to collect insurance benefits from the policyholder. </w:t>
            </w:r>
          </w:p>
        </w:tc>
      </w:tr>
      <w:tr w:rsidR="00DE37D9" w:rsidRPr="00DE37D9" w14:paraId="212DE588" w14:textId="77777777" w:rsidTr="006C0DD5">
        <w:trPr>
          <w:cantSplit/>
          <w:trHeight w:val="855"/>
        </w:trPr>
        <w:tc>
          <w:tcPr>
            <w:tcW w:w="1263" w:type="dxa"/>
            <w:shd w:val="clear" w:color="000000" w:fill="FCE4D6"/>
            <w:vAlign w:val="center"/>
            <w:hideMark/>
          </w:tcPr>
          <w:p w14:paraId="6082469A" w14:textId="77777777" w:rsidR="00DE37D9" w:rsidRPr="00DE37D9" w:rsidRDefault="00DE37D9" w:rsidP="00716031">
            <w:pPr>
              <w:jc w:val="center"/>
              <w:rPr>
                <w:rFonts w:eastAsia="Times New Roman" w:cs="Tahoma"/>
                <w:color w:val="000000"/>
                <w:szCs w:val="23"/>
              </w:rPr>
            </w:pPr>
            <w:r w:rsidRPr="00DE37D9">
              <w:rPr>
                <w:rFonts w:eastAsia="Times New Roman" w:cs="Tahoma"/>
                <w:color w:val="000000"/>
                <w:szCs w:val="23"/>
              </w:rPr>
              <w:t>14.</w:t>
            </w:r>
          </w:p>
        </w:tc>
        <w:tc>
          <w:tcPr>
            <w:tcW w:w="3147" w:type="dxa"/>
            <w:shd w:val="clear" w:color="000000" w:fill="FCE4D6"/>
            <w:vAlign w:val="center"/>
            <w:hideMark/>
          </w:tcPr>
          <w:p w14:paraId="00DB7125"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Date of Current Illness, Injury, or Pregnancy</w:t>
            </w:r>
          </w:p>
        </w:tc>
        <w:tc>
          <w:tcPr>
            <w:tcW w:w="5958" w:type="dxa"/>
            <w:shd w:val="clear" w:color="000000" w:fill="FCE4D6"/>
            <w:vAlign w:val="center"/>
            <w:hideMark/>
          </w:tcPr>
          <w:p w14:paraId="7D903AD4" w14:textId="48779F5B"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Leave blank</w:t>
            </w:r>
          </w:p>
        </w:tc>
      </w:tr>
      <w:tr w:rsidR="00DE37D9" w:rsidRPr="00DE37D9" w14:paraId="594739DC" w14:textId="77777777" w:rsidTr="006C0DD5">
        <w:trPr>
          <w:cantSplit/>
          <w:trHeight w:val="300"/>
        </w:trPr>
        <w:tc>
          <w:tcPr>
            <w:tcW w:w="1263" w:type="dxa"/>
            <w:shd w:val="clear" w:color="000000" w:fill="F8CBAD"/>
            <w:vAlign w:val="center"/>
            <w:hideMark/>
          </w:tcPr>
          <w:p w14:paraId="78CB63DA" w14:textId="77777777" w:rsidR="00DE37D9" w:rsidRPr="00DE37D9" w:rsidRDefault="00DE37D9" w:rsidP="00716031">
            <w:pPr>
              <w:jc w:val="center"/>
              <w:rPr>
                <w:rFonts w:eastAsia="Times New Roman" w:cs="Tahoma"/>
                <w:color w:val="000000"/>
                <w:szCs w:val="23"/>
              </w:rPr>
            </w:pPr>
            <w:r w:rsidRPr="00DE37D9">
              <w:rPr>
                <w:rFonts w:eastAsia="Times New Roman" w:cs="Tahoma"/>
                <w:color w:val="000000"/>
                <w:szCs w:val="23"/>
              </w:rPr>
              <w:t>15.</w:t>
            </w:r>
          </w:p>
        </w:tc>
        <w:tc>
          <w:tcPr>
            <w:tcW w:w="3147" w:type="dxa"/>
            <w:shd w:val="clear" w:color="000000" w:fill="F8CBAD"/>
            <w:vAlign w:val="center"/>
            <w:hideMark/>
          </w:tcPr>
          <w:p w14:paraId="2DC28D0B"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Other Date</w:t>
            </w:r>
          </w:p>
        </w:tc>
        <w:tc>
          <w:tcPr>
            <w:tcW w:w="5958" w:type="dxa"/>
            <w:shd w:val="clear" w:color="000000" w:fill="F8CBAD"/>
            <w:vAlign w:val="center"/>
            <w:hideMark/>
          </w:tcPr>
          <w:p w14:paraId="1BA9B9BD" w14:textId="3029315D"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 xml:space="preserve">Leave blank </w:t>
            </w:r>
          </w:p>
        </w:tc>
      </w:tr>
      <w:tr w:rsidR="00DE37D9" w:rsidRPr="00DE37D9" w14:paraId="79785DFF" w14:textId="77777777" w:rsidTr="006C0DD5">
        <w:trPr>
          <w:cantSplit/>
          <w:trHeight w:val="570"/>
        </w:trPr>
        <w:tc>
          <w:tcPr>
            <w:tcW w:w="1263" w:type="dxa"/>
            <w:shd w:val="clear" w:color="000000" w:fill="FCE4D6"/>
            <w:vAlign w:val="center"/>
            <w:hideMark/>
          </w:tcPr>
          <w:p w14:paraId="1C83A196" w14:textId="77777777" w:rsidR="00DE37D9" w:rsidRPr="00DE37D9" w:rsidRDefault="00DE37D9" w:rsidP="00716031">
            <w:pPr>
              <w:jc w:val="center"/>
              <w:rPr>
                <w:rFonts w:eastAsia="Times New Roman" w:cs="Tahoma"/>
                <w:color w:val="000000"/>
                <w:szCs w:val="23"/>
              </w:rPr>
            </w:pPr>
            <w:r w:rsidRPr="00DE37D9">
              <w:rPr>
                <w:rFonts w:eastAsia="Times New Roman" w:cs="Tahoma"/>
                <w:color w:val="000000"/>
                <w:szCs w:val="23"/>
              </w:rPr>
              <w:t>16.</w:t>
            </w:r>
          </w:p>
        </w:tc>
        <w:tc>
          <w:tcPr>
            <w:tcW w:w="3147" w:type="dxa"/>
            <w:shd w:val="clear" w:color="000000" w:fill="FCE4D6"/>
            <w:vAlign w:val="center"/>
            <w:hideMark/>
          </w:tcPr>
          <w:p w14:paraId="00DACA38"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Dates Patient Unable to Work</w:t>
            </w:r>
          </w:p>
        </w:tc>
        <w:tc>
          <w:tcPr>
            <w:tcW w:w="5958" w:type="dxa"/>
            <w:shd w:val="clear" w:color="000000" w:fill="FCE4D6"/>
            <w:vAlign w:val="center"/>
            <w:hideMark/>
          </w:tcPr>
          <w:p w14:paraId="648C67D6" w14:textId="37578551"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Leave blank</w:t>
            </w:r>
          </w:p>
        </w:tc>
      </w:tr>
      <w:tr w:rsidR="00DE37D9" w:rsidRPr="00DE37D9" w14:paraId="30E4FDAE" w14:textId="77777777" w:rsidTr="006C0DD5">
        <w:trPr>
          <w:cantSplit/>
          <w:trHeight w:val="855"/>
        </w:trPr>
        <w:tc>
          <w:tcPr>
            <w:tcW w:w="1263" w:type="dxa"/>
            <w:shd w:val="clear" w:color="000000" w:fill="F8CBAD"/>
            <w:vAlign w:val="center"/>
            <w:hideMark/>
          </w:tcPr>
          <w:p w14:paraId="19BB0277" w14:textId="5A0279AE" w:rsidR="00DE37D9" w:rsidRPr="00DE37D9" w:rsidRDefault="008042D8" w:rsidP="00716031">
            <w:pPr>
              <w:jc w:val="center"/>
              <w:rPr>
                <w:rFonts w:eastAsia="Times New Roman" w:cs="Tahoma"/>
                <w:color w:val="000000"/>
                <w:szCs w:val="23"/>
              </w:rPr>
            </w:pPr>
            <w:r>
              <w:rPr>
                <w:rFonts w:eastAsia="Times New Roman" w:cs="Tahoma"/>
                <w:color w:val="000000"/>
                <w:szCs w:val="23"/>
              </w:rPr>
              <w:t>17**</w:t>
            </w:r>
          </w:p>
        </w:tc>
        <w:tc>
          <w:tcPr>
            <w:tcW w:w="3147" w:type="dxa"/>
            <w:shd w:val="clear" w:color="000000" w:fill="F8CBAD"/>
            <w:vAlign w:val="center"/>
            <w:hideMark/>
          </w:tcPr>
          <w:p w14:paraId="365A4867"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Name of Referring Provider or Other Source</w:t>
            </w:r>
          </w:p>
        </w:tc>
        <w:tc>
          <w:tcPr>
            <w:tcW w:w="5958" w:type="dxa"/>
            <w:shd w:val="clear" w:color="000000" w:fill="F8CBAD"/>
            <w:vAlign w:val="center"/>
            <w:hideMark/>
          </w:tcPr>
          <w:p w14:paraId="1B331EEA" w14:textId="1F825256" w:rsidR="00DE37D9" w:rsidRDefault="00DE37D9" w:rsidP="00E9415C">
            <w:pPr>
              <w:jc w:val="left"/>
              <w:rPr>
                <w:rFonts w:eastAsia="Times New Roman" w:cs="Tahoma"/>
                <w:color w:val="000000"/>
                <w:szCs w:val="23"/>
              </w:rPr>
            </w:pPr>
            <w:r w:rsidRPr="00DE37D9">
              <w:rPr>
                <w:rFonts w:eastAsia="Times New Roman" w:cs="Tahoma"/>
                <w:color w:val="000000"/>
                <w:szCs w:val="23"/>
              </w:rPr>
              <w:t>Enter the name of the referring MO HealthNet</w:t>
            </w:r>
            <w:r w:rsidR="00346646">
              <w:rPr>
                <w:rFonts w:eastAsia="Times New Roman" w:cs="Tahoma"/>
                <w:color w:val="000000"/>
                <w:szCs w:val="23"/>
              </w:rPr>
              <w:t>-</w:t>
            </w:r>
            <w:r w:rsidRPr="00DE37D9">
              <w:rPr>
                <w:rFonts w:eastAsia="Times New Roman" w:cs="Tahoma"/>
                <w:color w:val="000000"/>
                <w:szCs w:val="23"/>
              </w:rPr>
              <w:t xml:space="preserve">enrolled primary care provider or other source. If multiple providers are involved, enter one </w:t>
            </w:r>
            <w:r w:rsidR="00346646">
              <w:rPr>
                <w:rFonts w:eastAsia="Times New Roman" w:cs="Tahoma"/>
                <w:color w:val="000000"/>
                <w:szCs w:val="23"/>
              </w:rPr>
              <w:t xml:space="preserve">(1) </w:t>
            </w:r>
            <w:r w:rsidRPr="00DE37D9">
              <w:rPr>
                <w:rFonts w:eastAsia="Times New Roman" w:cs="Tahoma"/>
                <w:color w:val="000000"/>
                <w:szCs w:val="23"/>
              </w:rPr>
              <w:t>provider using the following priority order</w:t>
            </w:r>
            <w:r w:rsidR="00EC4967">
              <w:rPr>
                <w:rFonts w:eastAsia="Times New Roman" w:cs="Tahoma"/>
                <w:color w:val="000000"/>
                <w:szCs w:val="23"/>
              </w:rPr>
              <w:t xml:space="preserve">:   </w:t>
            </w:r>
            <w:r w:rsidRPr="00DE37D9">
              <w:rPr>
                <w:rFonts w:eastAsia="Times New Roman" w:cs="Tahoma"/>
                <w:color w:val="000000"/>
                <w:szCs w:val="23"/>
              </w:rPr>
              <w:t xml:space="preserve"> </w:t>
            </w:r>
          </w:p>
          <w:p w14:paraId="1EFF3818" w14:textId="4017B49B" w:rsidR="00635C50" w:rsidRPr="00635C50" w:rsidRDefault="00635C50" w:rsidP="00E9415C">
            <w:pPr>
              <w:pStyle w:val="ListParagraph"/>
              <w:numPr>
                <w:ilvl w:val="0"/>
                <w:numId w:val="52"/>
              </w:numPr>
              <w:jc w:val="left"/>
              <w:rPr>
                <w:rFonts w:eastAsia="Times New Roman" w:cs="Tahoma"/>
                <w:color w:val="000000"/>
                <w:szCs w:val="23"/>
              </w:rPr>
            </w:pPr>
            <w:r w:rsidRPr="00635C50">
              <w:rPr>
                <w:rFonts w:eastAsia="Times New Roman" w:cs="Tahoma"/>
                <w:color w:val="000000"/>
                <w:szCs w:val="23"/>
              </w:rPr>
              <w:t>Referring provider</w:t>
            </w:r>
          </w:p>
          <w:p w14:paraId="40986199" w14:textId="3E640EBC" w:rsidR="00635C50" w:rsidRPr="00635C50" w:rsidRDefault="00635C50" w:rsidP="00E9415C">
            <w:pPr>
              <w:pStyle w:val="ListParagraph"/>
              <w:numPr>
                <w:ilvl w:val="0"/>
                <w:numId w:val="52"/>
              </w:numPr>
              <w:jc w:val="left"/>
              <w:rPr>
                <w:rFonts w:eastAsia="Times New Roman" w:cs="Tahoma"/>
                <w:color w:val="000000"/>
                <w:szCs w:val="23"/>
              </w:rPr>
            </w:pPr>
            <w:r w:rsidRPr="00DE37D9">
              <w:rPr>
                <w:rFonts w:eastAsia="Times New Roman" w:cs="Tahoma"/>
                <w:color w:val="000000"/>
                <w:szCs w:val="23"/>
              </w:rPr>
              <w:t>Ordering Provider</w:t>
            </w:r>
          </w:p>
        </w:tc>
      </w:tr>
      <w:tr w:rsidR="00DE37D9" w:rsidRPr="00DE37D9" w14:paraId="0D6DCBC6" w14:textId="77777777" w:rsidTr="006C0DD5">
        <w:trPr>
          <w:cantSplit/>
          <w:trHeight w:val="300"/>
        </w:trPr>
        <w:tc>
          <w:tcPr>
            <w:tcW w:w="1263" w:type="dxa"/>
            <w:shd w:val="clear" w:color="000000" w:fill="FCE4D6"/>
            <w:vAlign w:val="center"/>
            <w:hideMark/>
          </w:tcPr>
          <w:p w14:paraId="0BBC4071" w14:textId="09ECD44C" w:rsidR="00DE37D9" w:rsidRPr="00DE37D9" w:rsidRDefault="008042D8" w:rsidP="00716031">
            <w:pPr>
              <w:jc w:val="center"/>
              <w:rPr>
                <w:rFonts w:eastAsia="Times New Roman" w:cs="Tahoma"/>
                <w:color w:val="000000"/>
                <w:szCs w:val="23"/>
              </w:rPr>
            </w:pPr>
            <w:r>
              <w:rPr>
                <w:rFonts w:eastAsia="Times New Roman" w:cs="Tahoma"/>
                <w:color w:val="000000"/>
                <w:szCs w:val="23"/>
              </w:rPr>
              <w:t>17a**</w:t>
            </w:r>
          </w:p>
        </w:tc>
        <w:tc>
          <w:tcPr>
            <w:tcW w:w="3147" w:type="dxa"/>
            <w:shd w:val="clear" w:color="000000" w:fill="FCE4D6"/>
            <w:vAlign w:val="center"/>
            <w:hideMark/>
          </w:tcPr>
          <w:p w14:paraId="5000D4E4"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Other ID #</w:t>
            </w:r>
          </w:p>
        </w:tc>
        <w:tc>
          <w:tcPr>
            <w:tcW w:w="5958" w:type="dxa"/>
            <w:shd w:val="clear" w:color="000000" w:fill="FCE4D6"/>
            <w:vAlign w:val="center"/>
            <w:hideMark/>
          </w:tcPr>
          <w:p w14:paraId="4AF3FE40" w14:textId="271F3101" w:rsidR="00DE37D9" w:rsidRPr="00DE37D9" w:rsidRDefault="00441E35" w:rsidP="00E9415C">
            <w:pPr>
              <w:jc w:val="left"/>
              <w:rPr>
                <w:rFonts w:eastAsia="Times New Roman" w:cs="Tahoma"/>
                <w:color w:val="000000"/>
                <w:szCs w:val="23"/>
              </w:rPr>
            </w:pPr>
            <w:r w:rsidRPr="002569FE">
              <w:rPr>
                <w:rFonts w:eastAsia="Times New Roman" w:cs="Tahoma"/>
                <w:color w:val="000000"/>
                <w:szCs w:val="23"/>
              </w:rPr>
              <w:t xml:space="preserve">Enter the Provider Taxonomy qualifier </w:t>
            </w:r>
            <w:r w:rsidR="00FD7701">
              <w:rPr>
                <w:rFonts w:eastAsia="Times New Roman" w:cs="Tahoma"/>
                <w:color w:val="000000"/>
                <w:szCs w:val="23"/>
              </w:rPr>
              <w:t>‘</w:t>
            </w:r>
            <w:r w:rsidRPr="002569FE">
              <w:rPr>
                <w:rFonts w:eastAsia="Times New Roman" w:cs="Tahoma"/>
                <w:color w:val="000000"/>
                <w:szCs w:val="23"/>
              </w:rPr>
              <w:t>ZZ</w:t>
            </w:r>
            <w:r w:rsidR="00FD7701">
              <w:rPr>
                <w:rFonts w:eastAsia="Times New Roman" w:cs="Tahoma"/>
                <w:color w:val="000000"/>
                <w:szCs w:val="23"/>
              </w:rPr>
              <w:t>’</w:t>
            </w:r>
            <w:r w:rsidRPr="002569FE">
              <w:rPr>
                <w:rFonts w:eastAsia="Times New Roman" w:cs="Tahoma"/>
                <w:color w:val="000000"/>
                <w:szCs w:val="23"/>
              </w:rPr>
              <w:t xml:space="preserve"> in the first area if the provider reported in Field 17b is required to report a Provider Taxonomy Code to </w:t>
            </w:r>
            <w:r w:rsidR="00FD7701">
              <w:rPr>
                <w:rFonts w:eastAsia="Times New Roman" w:cs="Tahoma"/>
                <w:color w:val="000000"/>
                <w:szCs w:val="23"/>
              </w:rPr>
              <w:t>MHD</w:t>
            </w:r>
            <w:r w:rsidRPr="002569FE">
              <w:rPr>
                <w:rFonts w:eastAsia="Times New Roman" w:cs="Tahoma"/>
                <w:color w:val="000000"/>
                <w:szCs w:val="23"/>
              </w:rPr>
              <w:t xml:space="preserve">. Enter the corresponding 10-digit Provider </w:t>
            </w:r>
            <w:r w:rsidR="00EE120C" w:rsidRPr="002569FE">
              <w:rPr>
                <w:rFonts w:eastAsia="Times New Roman" w:cs="Tahoma"/>
                <w:color w:val="000000"/>
                <w:szCs w:val="23"/>
              </w:rPr>
              <w:t>Taxonomy Code</w:t>
            </w:r>
            <w:r w:rsidRPr="002569FE">
              <w:rPr>
                <w:rFonts w:eastAsia="Times New Roman" w:cs="Tahoma"/>
                <w:color w:val="000000"/>
                <w:szCs w:val="23"/>
              </w:rPr>
              <w:t xml:space="preserve"> in the second area for the provider reported in Field 17b.</w:t>
            </w:r>
          </w:p>
        </w:tc>
      </w:tr>
      <w:tr w:rsidR="00DE37D9" w:rsidRPr="00DE37D9" w14:paraId="77593B51" w14:textId="77777777" w:rsidTr="006C0DD5">
        <w:trPr>
          <w:cantSplit/>
          <w:trHeight w:val="300"/>
        </w:trPr>
        <w:tc>
          <w:tcPr>
            <w:tcW w:w="1263" w:type="dxa"/>
            <w:shd w:val="clear" w:color="000000" w:fill="F8CBAD"/>
            <w:vAlign w:val="center"/>
            <w:hideMark/>
          </w:tcPr>
          <w:p w14:paraId="482F1B55" w14:textId="61C5AD21" w:rsidR="00DE37D9" w:rsidRPr="00DE37D9" w:rsidRDefault="008042D8" w:rsidP="00716031">
            <w:pPr>
              <w:jc w:val="center"/>
              <w:rPr>
                <w:rFonts w:eastAsia="Times New Roman" w:cs="Tahoma"/>
                <w:color w:val="000000"/>
                <w:szCs w:val="23"/>
              </w:rPr>
            </w:pPr>
            <w:r>
              <w:rPr>
                <w:rFonts w:eastAsia="Times New Roman" w:cs="Tahoma"/>
                <w:color w:val="000000"/>
                <w:szCs w:val="23"/>
              </w:rPr>
              <w:t>17b**</w:t>
            </w:r>
          </w:p>
        </w:tc>
        <w:tc>
          <w:tcPr>
            <w:tcW w:w="3147" w:type="dxa"/>
            <w:shd w:val="clear" w:color="000000" w:fill="F8CBAD"/>
            <w:vAlign w:val="center"/>
            <w:hideMark/>
          </w:tcPr>
          <w:p w14:paraId="523872C1"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NPI</w:t>
            </w:r>
          </w:p>
        </w:tc>
        <w:tc>
          <w:tcPr>
            <w:tcW w:w="5958" w:type="dxa"/>
            <w:shd w:val="clear" w:color="000000" w:fill="F8CBAD"/>
            <w:vAlign w:val="center"/>
            <w:hideMark/>
          </w:tcPr>
          <w:p w14:paraId="5A973F03" w14:textId="73A463C1"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 xml:space="preserve">Enter the </w:t>
            </w:r>
            <w:r w:rsidR="00635C50">
              <w:rPr>
                <w:rFonts w:eastAsia="Times New Roman" w:cs="Tahoma"/>
                <w:color w:val="000000"/>
                <w:szCs w:val="23"/>
              </w:rPr>
              <w:t>National Provider Identifier (</w:t>
            </w:r>
            <w:r w:rsidRPr="00DE37D9">
              <w:rPr>
                <w:rFonts w:eastAsia="Times New Roman" w:cs="Tahoma"/>
                <w:color w:val="000000"/>
                <w:szCs w:val="23"/>
              </w:rPr>
              <w:t>NPI</w:t>
            </w:r>
            <w:r w:rsidR="00635C50">
              <w:rPr>
                <w:rFonts w:eastAsia="Times New Roman" w:cs="Tahoma"/>
                <w:color w:val="000000"/>
                <w:szCs w:val="23"/>
              </w:rPr>
              <w:t>)</w:t>
            </w:r>
            <w:r w:rsidRPr="00DE37D9">
              <w:rPr>
                <w:rFonts w:eastAsia="Times New Roman" w:cs="Tahoma"/>
                <w:color w:val="000000"/>
                <w:szCs w:val="23"/>
              </w:rPr>
              <w:t xml:space="preserve"> number of referring or ordering provider</w:t>
            </w:r>
          </w:p>
        </w:tc>
      </w:tr>
      <w:tr w:rsidR="00DE37D9" w:rsidRPr="00DE37D9" w14:paraId="0339E5E0" w14:textId="77777777" w:rsidTr="006C0DD5">
        <w:trPr>
          <w:cantSplit/>
          <w:trHeight w:val="300"/>
        </w:trPr>
        <w:tc>
          <w:tcPr>
            <w:tcW w:w="1263" w:type="dxa"/>
            <w:shd w:val="clear" w:color="000000" w:fill="FCE4D6"/>
            <w:vAlign w:val="center"/>
            <w:hideMark/>
          </w:tcPr>
          <w:p w14:paraId="35457B7A" w14:textId="61A9B186" w:rsidR="00DE37D9" w:rsidRPr="00DE37D9" w:rsidRDefault="008042D8" w:rsidP="00716031">
            <w:pPr>
              <w:jc w:val="center"/>
              <w:rPr>
                <w:rFonts w:eastAsia="Times New Roman" w:cs="Tahoma"/>
                <w:color w:val="000000"/>
                <w:szCs w:val="23"/>
              </w:rPr>
            </w:pPr>
            <w:r>
              <w:rPr>
                <w:rFonts w:eastAsia="Times New Roman" w:cs="Tahoma"/>
                <w:color w:val="000000"/>
                <w:szCs w:val="23"/>
              </w:rPr>
              <w:t>18</w:t>
            </w:r>
          </w:p>
        </w:tc>
        <w:tc>
          <w:tcPr>
            <w:tcW w:w="3147" w:type="dxa"/>
            <w:shd w:val="clear" w:color="000000" w:fill="FCE4D6"/>
            <w:vAlign w:val="center"/>
            <w:hideMark/>
          </w:tcPr>
          <w:p w14:paraId="459EC446"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Hospitalization Dates</w:t>
            </w:r>
          </w:p>
        </w:tc>
        <w:tc>
          <w:tcPr>
            <w:tcW w:w="5958" w:type="dxa"/>
            <w:shd w:val="clear" w:color="000000" w:fill="FCE4D6"/>
            <w:vAlign w:val="center"/>
            <w:hideMark/>
          </w:tcPr>
          <w:p w14:paraId="76DC79CF" w14:textId="0493CDE4"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 xml:space="preserve">Leave blank </w:t>
            </w:r>
          </w:p>
        </w:tc>
      </w:tr>
      <w:tr w:rsidR="00DE37D9" w:rsidRPr="00DE37D9" w14:paraId="2D617355" w14:textId="77777777" w:rsidTr="006C0DD5">
        <w:trPr>
          <w:cantSplit/>
          <w:trHeight w:val="1140"/>
        </w:trPr>
        <w:tc>
          <w:tcPr>
            <w:tcW w:w="1263" w:type="dxa"/>
            <w:shd w:val="clear" w:color="000000" w:fill="F8CBAD"/>
            <w:vAlign w:val="center"/>
            <w:hideMark/>
          </w:tcPr>
          <w:p w14:paraId="5F347699" w14:textId="613F8D5D" w:rsidR="00DE37D9" w:rsidRPr="00DE37D9" w:rsidRDefault="008042D8" w:rsidP="00716031">
            <w:pPr>
              <w:jc w:val="center"/>
              <w:rPr>
                <w:rFonts w:eastAsia="Times New Roman" w:cs="Tahoma"/>
                <w:color w:val="000000"/>
                <w:szCs w:val="23"/>
              </w:rPr>
            </w:pPr>
            <w:r>
              <w:rPr>
                <w:rFonts w:eastAsia="Times New Roman" w:cs="Tahoma"/>
                <w:color w:val="000000"/>
                <w:szCs w:val="23"/>
              </w:rPr>
              <w:t>19</w:t>
            </w:r>
          </w:p>
        </w:tc>
        <w:tc>
          <w:tcPr>
            <w:tcW w:w="3147" w:type="dxa"/>
            <w:shd w:val="clear" w:color="000000" w:fill="F8CBAD"/>
            <w:vAlign w:val="center"/>
            <w:hideMark/>
          </w:tcPr>
          <w:p w14:paraId="7AB6BC93" w14:textId="6D044688"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Additional Claim Information (Designated by N</w:t>
            </w:r>
            <w:r w:rsidR="00346646">
              <w:rPr>
                <w:rFonts w:eastAsia="Times New Roman" w:cs="Tahoma"/>
                <w:color w:val="000000"/>
                <w:szCs w:val="23"/>
              </w:rPr>
              <w:t>U</w:t>
            </w:r>
            <w:r w:rsidRPr="00DE37D9">
              <w:rPr>
                <w:rFonts w:eastAsia="Times New Roman" w:cs="Tahoma"/>
                <w:color w:val="000000"/>
                <w:szCs w:val="23"/>
              </w:rPr>
              <w:t>CC)</w:t>
            </w:r>
          </w:p>
        </w:tc>
        <w:tc>
          <w:tcPr>
            <w:tcW w:w="5958" w:type="dxa"/>
            <w:shd w:val="clear" w:color="000000" w:fill="F8CBAD"/>
            <w:vAlign w:val="center"/>
            <w:hideMark/>
          </w:tcPr>
          <w:p w14:paraId="4F6D40F2" w14:textId="2AB3565D"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Providers may use this field for additional remarks/descriptions</w:t>
            </w:r>
            <w:r w:rsidR="00C850C7">
              <w:rPr>
                <w:rFonts w:eastAsia="Times New Roman" w:cs="Tahoma"/>
                <w:color w:val="000000"/>
                <w:szCs w:val="23"/>
              </w:rPr>
              <w:t>.</w:t>
            </w:r>
          </w:p>
        </w:tc>
      </w:tr>
      <w:tr w:rsidR="00DE37D9" w:rsidRPr="00DE37D9" w14:paraId="7F1CCA88" w14:textId="77777777" w:rsidTr="006C0DD5">
        <w:trPr>
          <w:cantSplit/>
          <w:trHeight w:val="300"/>
        </w:trPr>
        <w:tc>
          <w:tcPr>
            <w:tcW w:w="1263" w:type="dxa"/>
            <w:shd w:val="clear" w:color="000000" w:fill="FCE4D6"/>
            <w:vAlign w:val="center"/>
            <w:hideMark/>
          </w:tcPr>
          <w:p w14:paraId="0E92618B" w14:textId="670AC1EA" w:rsidR="00DE37D9" w:rsidRPr="00DE37D9" w:rsidRDefault="008042D8" w:rsidP="00716031">
            <w:pPr>
              <w:jc w:val="center"/>
              <w:rPr>
                <w:rFonts w:eastAsia="Times New Roman" w:cs="Tahoma"/>
                <w:color w:val="000000"/>
                <w:szCs w:val="23"/>
              </w:rPr>
            </w:pPr>
            <w:r>
              <w:rPr>
                <w:rFonts w:eastAsia="Times New Roman" w:cs="Tahoma"/>
                <w:color w:val="000000"/>
                <w:szCs w:val="23"/>
              </w:rPr>
              <w:t>20</w:t>
            </w:r>
          </w:p>
        </w:tc>
        <w:tc>
          <w:tcPr>
            <w:tcW w:w="3147" w:type="dxa"/>
            <w:shd w:val="clear" w:color="000000" w:fill="FCE4D6"/>
            <w:vAlign w:val="center"/>
            <w:hideMark/>
          </w:tcPr>
          <w:p w14:paraId="20B4C6EC"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Outside Lab</w:t>
            </w:r>
          </w:p>
        </w:tc>
        <w:tc>
          <w:tcPr>
            <w:tcW w:w="5958" w:type="dxa"/>
            <w:shd w:val="clear" w:color="000000" w:fill="FCE4D6"/>
            <w:vAlign w:val="center"/>
            <w:hideMark/>
          </w:tcPr>
          <w:p w14:paraId="524012C4" w14:textId="5D6FC415"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Leave blank</w:t>
            </w:r>
          </w:p>
        </w:tc>
      </w:tr>
      <w:tr w:rsidR="00DE37D9" w:rsidRPr="00DE37D9" w14:paraId="5B89EC5C" w14:textId="77777777" w:rsidTr="006C0DD5">
        <w:trPr>
          <w:cantSplit/>
          <w:trHeight w:val="855"/>
        </w:trPr>
        <w:tc>
          <w:tcPr>
            <w:tcW w:w="1263" w:type="dxa"/>
            <w:shd w:val="clear" w:color="000000" w:fill="F8CBAD"/>
            <w:vAlign w:val="center"/>
            <w:hideMark/>
          </w:tcPr>
          <w:p w14:paraId="0E92C1BD" w14:textId="588DAE60" w:rsidR="00DE37D9" w:rsidRPr="00DE37D9" w:rsidRDefault="008042D8" w:rsidP="00716031">
            <w:pPr>
              <w:jc w:val="center"/>
              <w:rPr>
                <w:rFonts w:eastAsia="Times New Roman" w:cs="Tahoma"/>
                <w:color w:val="000000"/>
                <w:szCs w:val="23"/>
              </w:rPr>
            </w:pPr>
            <w:r>
              <w:rPr>
                <w:rFonts w:eastAsia="Times New Roman" w:cs="Tahoma"/>
                <w:color w:val="000000"/>
                <w:szCs w:val="23"/>
              </w:rPr>
              <w:t>21*</w:t>
            </w:r>
          </w:p>
        </w:tc>
        <w:tc>
          <w:tcPr>
            <w:tcW w:w="3147" w:type="dxa"/>
            <w:shd w:val="clear" w:color="000000" w:fill="F8CBAD"/>
            <w:vAlign w:val="center"/>
            <w:hideMark/>
          </w:tcPr>
          <w:p w14:paraId="2F1F2CBA"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Diagnosis</w:t>
            </w:r>
          </w:p>
        </w:tc>
        <w:tc>
          <w:tcPr>
            <w:tcW w:w="5958" w:type="dxa"/>
            <w:shd w:val="clear" w:color="000000" w:fill="F8CBAD"/>
            <w:vAlign w:val="center"/>
            <w:hideMark/>
          </w:tcPr>
          <w:p w14:paraId="5A03B6D5"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 xml:space="preserve">Enter the complete current International Classification of Diseases-Clinical Modification (ICD-CM) diagnosis code(s). Enter the primary diagnosis under No. 1, the secondary diagnosis under No. 2, etc. </w:t>
            </w:r>
          </w:p>
        </w:tc>
      </w:tr>
      <w:tr w:rsidR="00DE37D9" w:rsidRPr="00DE37D9" w14:paraId="41F8FA6F" w14:textId="77777777" w:rsidTr="006C0DD5">
        <w:trPr>
          <w:cantSplit/>
          <w:trHeight w:val="855"/>
        </w:trPr>
        <w:tc>
          <w:tcPr>
            <w:tcW w:w="1263" w:type="dxa"/>
            <w:shd w:val="clear" w:color="000000" w:fill="FCE4D6"/>
            <w:vAlign w:val="center"/>
            <w:hideMark/>
          </w:tcPr>
          <w:p w14:paraId="553D5D3D" w14:textId="6721A4F9" w:rsidR="00DE37D9" w:rsidRPr="00DE37D9" w:rsidRDefault="008042D8" w:rsidP="00716031">
            <w:pPr>
              <w:jc w:val="center"/>
              <w:rPr>
                <w:rFonts w:eastAsia="Times New Roman" w:cs="Tahoma"/>
                <w:color w:val="000000"/>
                <w:szCs w:val="23"/>
              </w:rPr>
            </w:pPr>
            <w:r>
              <w:rPr>
                <w:rFonts w:eastAsia="Times New Roman" w:cs="Tahoma"/>
                <w:color w:val="000000"/>
                <w:szCs w:val="23"/>
              </w:rPr>
              <w:t>22**</w:t>
            </w:r>
          </w:p>
        </w:tc>
        <w:tc>
          <w:tcPr>
            <w:tcW w:w="3147" w:type="dxa"/>
            <w:shd w:val="clear" w:color="000000" w:fill="FCE4D6"/>
            <w:vAlign w:val="center"/>
            <w:hideMark/>
          </w:tcPr>
          <w:p w14:paraId="2E2EC281"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Resubmission Code</w:t>
            </w:r>
          </w:p>
        </w:tc>
        <w:tc>
          <w:tcPr>
            <w:tcW w:w="5958" w:type="dxa"/>
            <w:shd w:val="clear" w:color="000000" w:fill="FCE4D6"/>
            <w:vAlign w:val="center"/>
            <w:hideMark/>
          </w:tcPr>
          <w:p w14:paraId="52E8A46E" w14:textId="6397F495"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For timely filing purposes</w:t>
            </w:r>
            <w:r w:rsidR="00C850C7">
              <w:rPr>
                <w:rFonts w:eastAsia="Times New Roman" w:cs="Tahoma"/>
                <w:color w:val="000000"/>
                <w:szCs w:val="23"/>
              </w:rPr>
              <w:t>,</w:t>
            </w:r>
            <w:r w:rsidRPr="00DE37D9">
              <w:rPr>
                <w:rFonts w:eastAsia="Times New Roman" w:cs="Tahoma"/>
                <w:color w:val="000000"/>
                <w:szCs w:val="23"/>
              </w:rPr>
              <w:t xml:space="preserve"> if this is a resubmitted claim, enter the Internal Control Number (ICN) of the previous related claim or attach a copy of the original Remittance Advice indicating the claim was initially submitted timely</w:t>
            </w:r>
            <w:r w:rsidR="00C850C7">
              <w:rPr>
                <w:rFonts w:eastAsia="Times New Roman" w:cs="Tahoma"/>
                <w:color w:val="000000"/>
                <w:szCs w:val="23"/>
              </w:rPr>
              <w:t>.</w:t>
            </w:r>
          </w:p>
        </w:tc>
      </w:tr>
      <w:tr w:rsidR="00DE37D9" w:rsidRPr="00DE37D9" w14:paraId="3A376E21" w14:textId="77777777" w:rsidTr="006C0DD5">
        <w:trPr>
          <w:cantSplit/>
          <w:trHeight w:val="570"/>
        </w:trPr>
        <w:tc>
          <w:tcPr>
            <w:tcW w:w="1263" w:type="dxa"/>
            <w:shd w:val="clear" w:color="000000" w:fill="F8CBAD"/>
            <w:vAlign w:val="center"/>
            <w:hideMark/>
          </w:tcPr>
          <w:p w14:paraId="07AC5270" w14:textId="1CA33D69" w:rsidR="00DE37D9" w:rsidRPr="00DE37D9" w:rsidRDefault="008042D8" w:rsidP="00716031">
            <w:pPr>
              <w:jc w:val="center"/>
              <w:rPr>
                <w:rFonts w:eastAsia="Times New Roman" w:cs="Tahoma"/>
                <w:color w:val="000000"/>
                <w:szCs w:val="23"/>
              </w:rPr>
            </w:pPr>
            <w:r>
              <w:rPr>
                <w:rFonts w:eastAsia="Times New Roman" w:cs="Tahoma"/>
                <w:color w:val="000000"/>
                <w:szCs w:val="23"/>
              </w:rPr>
              <w:t>23</w:t>
            </w:r>
          </w:p>
        </w:tc>
        <w:tc>
          <w:tcPr>
            <w:tcW w:w="3147" w:type="dxa"/>
            <w:shd w:val="clear" w:color="000000" w:fill="F8CBAD"/>
            <w:vAlign w:val="center"/>
            <w:hideMark/>
          </w:tcPr>
          <w:p w14:paraId="78E34B8E"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Prior Authorization Number</w:t>
            </w:r>
          </w:p>
        </w:tc>
        <w:tc>
          <w:tcPr>
            <w:tcW w:w="5958" w:type="dxa"/>
            <w:shd w:val="clear" w:color="000000" w:fill="F8CBAD"/>
            <w:vAlign w:val="center"/>
            <w:hideMark/>
          </w:tcPr>
          <w:p w14:paraId="42D6819E" w14:textId="6BA4FB1E"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 xml:space="preserve">Leave blank </w:t>
            </w:r>
          </w:p>
        </w:tc>
      </w:tr>
      <w:tr w:rsidR="00DE37D9" w:rsidRPr="00DE37D9" w14:paraId="39F39C14" w14:textId="77777777" w:rsidTr="006C0DD5">
        <w:trPr>
          <w:cantSplit/>
          <w:trHeight w:val="1710"/>
        </w:trPr>
        <w:tc>
          <w:tcPr>
            <w:tcW w:w="1263" w:type="dxa"/>
            <w:shd w:val="clear" w:color="000000" w:fill="FCE4D6"/>
            <w:vAlign w:val="center"/>
            <w:hideMark/>
          </w:tcPr>
          <w:p w14:paraId="7B88B8C2" w14:textId="06AAC15A" w:rsidR="00DE37D9" w:rsidRPr="00DE37D9" w:rsidRDefault="008042D8" w:rsidP="00716031">
            <w:pPr>
              <w:jc w:val="center"/>
              <w:rPr>
                <w:rFonts w:eastAsia="Times New Roman" w:cs="Tahoma"/>
                <w:color w:val="000000"/>
                <w:szCs w:val="23"/>
              </w:rPr>
            </w:pPr>
            <w:r>
              <w:rPr>
                <w:rFonts w:eastAsia="Times New Roman" w:cs="Tahoma"/>
                <w:color w:val="000000"/>
                <w:szCs w:val="23"/>
              </w:rPr>
              <w:t>24a*</w:t>
            </w:r>
          </w:p>
        </w:tc>
        <w:tc>
          <w:tcPr>
            <w:tcW w:w="3147" w:type="dxa"/>
            <w:shd w:val="clear" w:color="000000" w:fill="FCE4D6"/>
            <w:vAlign w:val="center"/>
            <w:hideMark/>
          </w:tcPr>
          <w:p w14:paraId="4724E356"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Date(s) of Service</w:t>
            </w:r>
          </w:p>
        </w:tc>
        <w:tc>
          <w:tcPr>
            <w:tcW w:w="5958" w:type="dxa"/>
            <w:shd w:val="clear" w:color="000000" w:fill="FCE4D6"/>
            <w:vAlign w:val="center"/>
            <w:hideMark/>
          </w:tcPr>
          <w:p w14:paraId="614F6774" w14:textId="65F1E34C" w:rsidR="0007784B" w:rsidRDefault="00DE37D9" w:rsidP="00E9415C">
            <w:pPr>
              <w:jc w:val="left"/>
              <w:rPr>
                <w:rFonts w:eastAsia="Times New Roman" w:cs="Tahoma"/>
                <w:color w:val="000000"/>
                <w:szCs w:val="23"/>
              </w:rPr>
            </w:pPr>
            <w:r w:rsidRPr="00DE37D9">
              <w:rPr>
                <w:rFonts w:eastAsia="Times New Roman" w:cs="Tahoma"/>
                <w:color w:val="000000"/>
                <w:szCs w:val="23"/>
              </w:rPr>
              <w:t xml:space="preserve">Enter the date(s) of service under </w:t>
            </w:r>
            <w:r w:rsidR="00FD7701">
              <w:rPr>
                <w:rFonts w:eastAsia="Times New Roman" w:cs="Tahoma"/>
                <w:color w:val="000000"/>
                <w:szCs w:val="23"/>
              </w:rPr>
              <w:t>‘</w:t>
            </w:r>
            <w:r w:rsidRPr="00DE37D9">
              <w:rPr>
                <w:rFonts w:eastAsia="Times New Roman" w:cs="Tahoma"/>
                <w:color w:val="000000"/>
                <w:szCs w:val="23"/>
              </w:rPr>
              <w:t>from</w:t>
            </w:r>
            <w:r w:rsidR="00FD7701">
              <w:rPr>
                <w:rFonts w:eastAsia="Times New Roman" w:cs="Tahoma"/>
                <w:color w:val="000000"/>
                <w:szCs w:val="23"/>
              </w:rPr>
              <w:t>’</w:t>
            </w:r>
            <w:r w:rsidRPr="00DE37D9">
              <w:rPr>
                <w:rFonts w:eastAsia="Times New Roman" w:cs="Tahoma"/>
                <w:color w:val="000000"/>
                <w:szCs w:val="23"/>
              </w:rPr>
              <w:t xml:space="preserve"> in MM/DD/YY format, using six</w:t>
            </w:r>
            <w:r w:rsidR="0007784B">
              <w:rPr>
                <w:rFonts w:eastAsia="Times New Roman" w:cs="Tahoma"/>
                <w:color w:val="000000"/>
                <w:szCs w:val="23"/>
              </w:rPr>
              <w:t xml:space="preserve"> (6)</w:t>
            </w:r>
            <w:r w:rsidRPr="00DE37D9">
              <w:rPr>
                <w:rFonts w:eastAsia="Times New Roman" w:cs="Tahoma"/>
                <w:color w:val="000000"/>
                <w:szCs w:val="23"/>
              </w:rPr>
              <w:t xml:space="preserve">-digit format in the unshaded area of the field. All line items must have a </w:t>
            </w:r>
            <w:r w:rsidR="00FD7701">
              <w:rPr>
                <w:rFonts w:eastAsia="Times New Roman" w:cs="Tahoma"/>
                <w:color w:val="000000"/>
                <w:szCs w:val="23"/>
              </w:rPr>
              <w:t>‘</w:t>
            </w:r>
            <w:r w:rsidRPr="00DE37D9">
              <w:rPr>
                <w:rFonts w:eastAsia="Times New Roman" w:cs="Tahoma"/>
                <w:color w:val="000000"/>
                <w:szCs w:val="23"/>
              </w:rPr>
              <w:t>from</w:t>
            </w:r>
            <w:r w:rsidR="00FD7701">
              <w:rPr>
                <w:rFonts w:eastAsia="Times New Roman" w:cs="Tahoma"/>
                <w:color w:val="000000"/>
                <w:szCs w:val="23"/>
              </w:rPr>
              <w:t>’</w:t>
            </w:r>
            <w:r w:rsidRPr="00DE37D9">
              <w:rPr>
                <w:rFonts w:eastAsia="Times New Roman" w:cs="Tahoma"/>
                <w:color w:val="000000"/>
                <w:szCs w:val="23"/>
              </w:rPr>
              <w:t xml:space="preserve"> date. </w:t>
            </w:r>
          </w:p>
          <w:p w14:paraId="2D7721DC" w14:textId="77777777" w:rsidR="0007784B" w:rsidRDefault="00DE37D9" w:rsidP="00E9415C">
            <w:pPr>
              <w:jc w:val="left"/>
              <w:rPr>
                <w:rFonts w:eastAsia="Times New Roman" w:cs="Tahoma"/>
                <w:color w:val="000000"/>
                <w:szCs w:val="23"/>
              </w:rPr>
            </w:pPr>
            <w:r w:rsidRPr="00DE37D9">
              <w:rPr>
                <w:rFonts w:eastAsia="Times New Roman" w:cs="Tahoma"/>
                <w:color w:val="000000"/>
                <w:szCs w:val="23"/>
              </w:rPr>
              <w:t>The six</w:t>
            </w:r>
            <w:r w:rsidR="0007784B">
              <w:rPr>
                <w:rFonts w:eastAsia="Times New Roman" w:cs="Tahoma"/>
                <w:color w:val="000000"/>
                <w:szCs w:val="23"/>
              </w:rPr>
              <w:t xml:space="preserve"> (6)</w:t>
            </w:r>
            <w:r w:rsidRPr="00DE37D9">
              <w:rPr>
                <w:rFonts w:eastAsia="Times New Roman" w:cs="Tahoma"/>
                <w:color w:val="000000"/>
                <w:szCs w:val="23"/>
              </w:rPr>
              <w:t xml:space="preserve"> service lines have been divided to accommodate submission of both the NPI and another/proprietary identifier during the NPI transition and to accommodate the submission of supplemental information to support the billed service</w:t>
            </w:r>
            <w:r w:rsidR="00856F04">
              <w:rPr>
                <w:rFonts w:eastAsia="Times New Roman" w:cs="Tahoma"/>
                <w:color w:val="000000"/>
                <w:szCs w:val="23"/>
              </w:rPr>
              <w:t xml:space="preserve">. </w:t>
            </w:r>
          </w:p>
          <w:p w14:paraId="6D3233A1" w14:textId="4E5ABB4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The top area of the service lines is shaded and is the location for reporting supplemental information</w:t>
            </w:r>
            <w:r w:rsidR="00856F04">
              <w:rPr>
                <w:rFonts w:eastAsia="Times New Roman" w:cs="Tahoma"/>
                <w:color w:val="000000"/>
                <w:szCs w:val="23"/>
              </w:rPr>
              <w:t xml:space="preserve">. </w:t>
            </w:r>
            <w:r w:rsidRPr="00DE37D9">
              <w:rPr>
                <w:rFonts w:eastAsia="Times New Roman" w:cs="Tahoma"/>
                <w:color w:val="000000"/>
                <w:szCs w:val="23"/>
              </w:rPr>
              <w:t>It is not intended to allow the billing of 12 lines of service.</w:t>
            </w:r>
          </w:p>
        </w:tc>
      </w:tr>
      <w:tr w:rsidR="00DE37D9" w:rsidRPr="00DE37D9" w14:paraId="5BF60702" w14:textId="77777777" w:rsidTr="006C0DD5">
        <w:trPr>
          <w:cantSplit/>
          <w:trHeight w:val="300"/>
        </w:trPr>
        <w:tc>
          <w:tcPr>
            <w:tcW w:w="1263" w:type="dxa"/>
            <w:shd w:val="clear" w:color="000000" w:fill="F8CBAD"/>
            <w:vAlign w:val="center"/>
            <w:hideMark/>
          </w:tcPr>
          <w:p w14:paraId="51B77704" w14:textId="18A158A0" w:rsidR="00DE37D9" w:rsidRPr="00DE37D9" w:rsidRDefault="008042D8" w:rsidP="00716031">
            <w:pPr>
              <w:jc w:val="center"/>
              <w:rPr>
                <w:rFonts w:eastAsia="Times New Roman" w:cs="Tahoma"/>
                <w:color w:val="000000"/>
                <w:szCs w:val="23"/>
              </w:rPr>
            </w:pPr>
            <w:r>
              <w:rPr>
                <w:rFonts w:eastAsia="Times New Roman" w:cs="Tahoma"/>
                <w:color w:val="000000"/>
                <w:szCs w:val="23"/>
              </w:rPr>
              <w:t>24b*</w:t>
            </w:r>
          </w:p>
        </w:tc>
        <w:tc>
          <w:tcPr>
            <w:tcW w:w="3147" w:type="dxa"/>
            <w:shd w:val="clear" w:color="000000" w:fill="F8CBAD"/>
            <w:vAlign w:val="center"/>
            <w:hideMark/>
          </w:tcPr>
          <w:p w14:paraId="065DC6CC"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Place of Service</w:t>
            </w:r>
          </w:p>
        </w:tc>
        <w:tc>
          <w:tcPr>
            <w:tcW w:w="5958" w:type="dxa"/>
            <w:shd w:val="clear" w:color="000000" w:fill="F8CBAD"/>
            <w:vAlign w:val="center"/>
            <w:hideMark/>
          </w:tcPr>
          <w:p w14:paraId="56A03AA1" w14:textId="13AFCA2C"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Enter the appropriate place of service</w:t>
            </w:r>
            <w:r w:rsidR="00FD7701">
              <w:rPr>
                <w:rFonts w:eastAsia="Times New Roman" w:cs="Tahoma"/>
                <w:color w:val="000000"/>
                <w:szCs w:val="23"/>
              </w:rPr>
              <w:t xml:space="preserve"> (POS)</w:t>
            </w:r>
            <w:r w:rsidRPr="00DE37D9">
              <w:rPr>
                <w:rFonts w:eastAsia="Times New Roman" w:cs="Tahoma"/>
                <w:color w:val="000000"/>
                <w:szCs w:val="23"/>
              </w:rPr>
              <w:t xml:space="preserve"> code in the unshaded area of the field </w:t>
            </w:r>
          </w:p>
        </w:tc>
      </w:tr>
      <w:tr w:rsidR="00DE37D9" w:rsidRPr="00DE37D9" w14:paraId="710E7026" w14:textId="77777777" w:rsidTr="006C0DD5">
        <w:trPr>
          <w:cantSplit/>
          <w:trHeight w:val="300"/>
        </w:trPr>
        <w:tc>
          <w:tcPr>
            <w:tcW w:w="1263" w:type="dxa"/>
            <w:shd w:val="clear" w:color="000000" w:fill="FCE4D6"/>
            <w:vAlign w:val="center"/>
            <w:hideMark/>
          </w:tcPr>
          <w:p w14:paraId="0877AD60" w14:textId="227A7740" w:rsidR="00DE37D9" w:rsidRPr="00DE37D9" w:rsidRDefault="008042D8" w:rsidP="00716031">
            <w:pPr>
              <w:jc w:val="center"/>
              <w:rPr>
                <w:rFonts w:eastAsia="Times New Roman" w:cs="Tahoma"/>
                <w:color w:val="000000"/>
                <w:szCs w:val="23"/>
              </w:rPr>
            </w:pPr>
            <w:r>
              <w:rPr>
                <w:rFonts w:eastAsia="Times New Roman" w:cs="Tahoma"/>
                <w:color w:val="000000"/>
                <w:szCs w:val="23"/>
              </w:rPr>
              <w:t>24c**</w:t>
            </w:r>
          </w:p>
        </w:tc>
        <w:tc>
          <w:tcPr>
            <w:tcW w:w="3147" w:type="dxa"/>
            <w:shd w:val="clear" w:color="000000" w:fill="FCE4D6"/>
            <w:vAlign w:val="center"/>
            <w:hideMark/>
          </w:tcPr>
          <w:p w14:paraId="7242E096"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EMG-Emergency</w:t>
            </w:r>
          </w:p>
        </w:tc>
        <w:tc>
          <w:tcPr>
            <w:tcW w:w="5958" w:type="dxa"/>
            <w:shd w:val="clear" w:color="000000" w:fill="FCE4D6"/>
            <w:vAlign w:val="center"/>
            <w:hideMark/>
          </w:tcPr>
          <w:p w14:paraId="0AAEDAD9" w14:textId="0C55E10F"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Leave blank</w:t>
            </w:r>
          </w:p>
        </w:tc>
      </w:tr>
      <w:tr w:rsidR="00DE37D9" w:rsidRPr="00DE37D9" w14:paraId="184080FA" w14:textId="77777777" w:rsidTr="006C0DD5">
        <w:trPr>
          <w:cantSplit/>
          <w:trHeight w:val="855"/>
        </w:trPr>
        <w:tc>
          <w:tcPr>
            <w:tcW w:w="1263" w:type="dxa"/>
            <w:shd w:val="clear" w:color="000000" w:fill="F8CBAD"/>
            <w:vAlign w:val="center"/>
            <w:hideMark/>
          </w:tcPr>
          <w:p w14:paraId="51F16048" w14:textId="54E8A848" w:rsidR="00DE37D9" w:rsidRPr="00DE37D9" w:rsidRDefault="008042D8" w:rsidP="00716031">
            <w:pPr>
              <w:jc w:val="center"/>
              <w:rPr>
                <w:rFonts w:eastAsia="Times New Roman" w:cs="Tahoma"/>
                <w:color w:val="000000"/>
                <w:szCs w:val="23"/>
              </w:rPr>
            </w:pPr>
            <w:r>
              <w:rPr>
                <w:rFonts w:eastAsia="Times New Roman" w:cs="Tahoma"/>
                <w:color w:val="000000"/>
                <w:szCs w:val="23"/>
              </w:rPr>
              <w:t>24d*</w:t>
            </w:r>
          </w:p>
        </w:tc>
        <w:tc>
          <w:tcPr>
            <w:tcW w:w="3147" w:type="dxa"/>
            <w:shd w:val="clear" w:color="000000" w:fill="F8CBAD"/>
            <w:vAlign w:val="center"/>
            <w:hideMark/>
          </w:tcPr>
          <w:p w14:paraId="34079B60"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Procedure Code</w:t>
            </w:r>
          </w:p>
        </w:tc>
        <w:tc>
          <w:tcPr>
            <w:tcW w:w="5958" w:type="dxa"/>
            <w:shd w:val="clear" w:color="000000" w:fill="F8CBAD"/>
            <w:vAlign w:val="center"/>
            <w:hideMark/>
          </w:tcPr>
          <w:p w14:paraId="22E076F6" w14:textId="5010EDC3"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 xml:space="preserve">Enter the appropriate </w:t>
            </w:r>
            <w:r w:rsidR="0007784B">
              <w:rPr>
                <w:rFonts w:eastAsia="Times New Roman" w:cs="Tahoma"/>
                <w:color w:val="000000"/>
                <w:szCs w:val="23"/>
              </w:rPr>
              <w:t>Current Procedural Terminology (</w:t>
            </w:r>
            <w:r w:rsidRPr="00DE37D9">
              <w:rPr>
                <w:rFonts w:eastAsia="Times New Roman" w:cs="Tahoma"/>
                <w:color w:val="000000"/>
                <w:szCs w:val="23"/>
              </w:rPr>
              <w:t>CPT</w:t>
            </w:r>
            <w:r w:rsidR="0007784B">
              <w:rPr>
                <w:rFonts w:eastAsia="Times New Roman" w:cs="Tahoma"/>
                <w:color w:val="000000"/>
                <w:szCs w:val="23"/>
              </w:rPr>
              <w:t>)</w:t>
            </w:r>
            <w:r w:rsidRPr="00DE37D9">
              <w:rPr>
                <w:rFonts w:eastAsia="Times New Roman" w:cs="Tahoma"/>
                <w:color w:val="000000"/>
                <w:szCs w:val="23"/>
              </w:rPr>
              <w:t xml:space="preserve"> or </w:t>
            </w:r>
            <w:r w:rsidR="0007784B">
              <w:rPr>
                <w:rFonts w:eastAsia="Times New Roman" w:cs="Tahoma"/>
                <w:color w:val="000000"/>
                <w:szCs w:val="23"/>
              </w:rPr>
              <w:t xml:space="preserve">Healthcare Common Procedure Coding </w:t>
            </w:r>
            <w:r w:rsidR="003159C9">
              <w:rPr>
                <w:rFonts w:eastAsia="Times New Roman" w:cs="Tahoma"/>
                <w:color w:val="000000"/>
                <w:szCs w:val="23"/>
              </w:rPr>
              <w:t xml:space="preserve">System </w:t>
            </w:r>
            <w:r w:rsidR="0007784B">
              <w:rPr>
                <w:rFonts w:eastAsia="Times New Roman" w:cs="Tahoma"/>
                <w:color w:val="000000"/>
                <w:szCs w:val="23"/>
              </w:rPr>
              <w:t>(</w:t>
            </w:r>
            <w:r w:rsidRPr="00DE37D9">
              <w:rPr>
                <w:rFonts w:eastAsia="Times New Roman" w:cs="Tahoma"/>
                <w:color w:val="000000"/>
                <w:szCs w:val="23"/>
              </w:rPr>
              <w:t>HCPCS</w:t>
            </w:r>
            <w:r w:rsidR="0007784B">
              <w:rPr>
                <w:rFonts w:eastAsia="Times New Roman" w:cs="Tahoma"/>
                <w:color w:val="000000"/>
                <w:szCs w:val="23"/>
              </w:rPr>
              <w:t>)</w:t>
            </w:r>
            <w:r w:rsidRPr="00DE37D9">
              <w:rPr>
                <w:rFonts w:eastAsia="Times New Roman" w:cs="Tahoma"/>
                <w:color w:val="000000"/>
                <w:szCs w:val="23"/>
              </w:rPr>
              <w:t xml:space="preserve"> code and applicable modifier(s), if any, corresponding to the service rendered in the unshaded area of the field. See </w:t>
            </w:r>
            <w:hyperlink w:anchor="_Section_5:_Procedure" w:history="1">
              <w:r w:rsidRPr="006C0DD5">
                <w:rPr>
                  <w:rStyle w:val="Hyperlink"/>
                </w:rPr>
                <w:t xml:space="preserve">Section </w:t>
              </w:r>
              <w:r w:rsidR="00D82121" w:rsidRPr="006C0DD5">
                <w:rPr>
                  <w:rStyle w:val="Hyperlink"/>
                </w:rPr>
                <w:t>5</w:t>
              </w:r>
            </w:hyperlink>
            <w:r w:rsidRPr="00DE37D9">
              <w:rPr>
                <w:rFonts w:eastAsia="Times New Roman" w:cs="Tahoma"/>
                <w:color w:val="000000"/>
                <w:szCs w:val="23"/>
              </w:rPr>
              <w:t xml:space="preserve"> of this manual for applicable procedure codes</w:t>
            </w:r>
            <w:r w:rsidR="00856F04">
              <w:rPr>
                <w:rFonts w:eastAsia="Times New Roman" w:cs="Tahoma"/>
                <w:color w:val="000000"/>
                <w:szCs w:val="23"/>
              </w:rPr>
              <w:t xml:space="preserve">. </w:t>
            </w:r>
            <w:r w:rsidRPr="00DE37D9">
              <w:rPr>
                <w:rFonts w:eastAsia="Times New Roman" w:cs="Tahoma"/>
                <w:color w:val="000000"/>
                <w:szCs w:val="23"/>
              </w:rPr>
              <w:t>(Field 19 may be used for remarks or descriptions.)</w:t>
            </w:r>
          </w:p>
        </w:tc>
      </w:tr>
      <w:tr w:rsidR="00DE37D9" w:rsidRPr="00DE37D9" w14:paraId="24962C36" w14:textId="77777777" w:rsidTr="006C0DD5">
        <w:trPr>
          <w:cantSplit/>
          <w:trHeight w:val="300"/>
        </w:trPr>
        <w:tc>
          <w:tcPr>
            <w:tcW w:w="1263" w:type="dxa"/>
            <w:shd w:val="clear" w:color="000000" w:fill="FCE4D6"/>
            <w:vAlign w:val="center"/>
            <w:hideMark/>
          </w:tcPr>
          <w:p w14:paraId="7DA0C6D7" w14:textId="391E0A00" w:rsidR="00DE37D9" w:rsidRPr="00DE37D9" w:rsidRDefault="008042D8" w:rsidP="00716031">
            <w:pPr>
              <w:jc w:val="center"/>
              <w:rPr>
                <w:rFonts w:eastAsia="Times New Roman" w:cs="Tahoma"/>
                <w:color w:val="000000"/>
                <w:szCs w:val="23"/>
              </w:rPr>
            </w:pPr>
            <w:r>
              <w:rPr>
                <w:rFonts w:eastAsia="Times New Roman" w:cs="Tahoma"/>
                <w:color w:val="000000"/>
                <w:szCs w:val="23"/>
              </w:rPr>
              <w:t>24e*</w:t>
            </w:r>
          </w:p>
        </w:tc>
        <w:tc>
          <w:tcPr>
            <w:tcW w:w="3147" w:type="dxa"/>
            <w:shd w:val="clear" w:color="000000" w:fill="FCE4D6"/>
            <w:vAlign w:val="center"/>
            <w:hideMark/>
          </w:tcPr>
          <w:p w14:paraId="1BF92603"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Diagnosis Pointer</w:t>
            </w:r>
          </w:p>
        </w:tc>
        <w:tc>
          <w:tcPr>
            <w:tcW w:w="5958" w:type="dxa"/>
            <w:shd w:val="clear" w:color="000000" w:fill="FCE4D6"/>
            <w:vAlign w:val="center"/>
            <w:hideMark/>
          </w:tcPr>
          <w:p w14:paraId="4033F6F7" w14:textId="2A3E5AC4"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 xml:space="preserve">Enter A, B, C, D or the actual diagnosis code(s) from Field 21 in the unshaded area of the field </w:t>
            </w:r>
          </w:p>
        </w:tc>
      </w:tr>
      <w:tr w:rsidR="00DE37D9" w:rsidRPr="00DE37D9" w14:paraId="0D663854" w14:textId="77777777" w:rsidTr="006C0DD5">
        <w:trPr>
          <w:cantSplit/>
          <w:trHeight w:val="570"/>
        </w:trPr>
        <w:tc>
          <w:tcPr>
            <w:tcW w:w="1263" w:type="dxa"/>
            <w:shd w:val="clear" w:color="000000" w:fill="F8CBAD"/>
            <w:vAlign w:val="center"/>
            <w:hideMark/>
          </w:tcPr>
          <w:p w14:paraId="302ADC39" w14:textId="121A4B8D" w:rsidR="00DE37D9" w:rsidRPr="00DE37D9" w:rsidRDefault="008042D8" w:rsidP="00716031">
            <w:pPr>
              <w:jc w:val="center"/>
              <w:rPr>
                <w:rFonts w:eastAsia="Times New Roman" w:cs="Tahoma"/>
                <w:color w:val="000000"/>
                <w:szCs w:val="23"/>
              </w:rPr>
            </w:pPr>
            <w:r>
              <w:rPr>
                <w:rFonts w:eastAsia="Times New Roman" w:cs="Tahoma"/>
                <w:color w:val="000000"/>
                <w:szCs w:val="23"/>
              </w:rPr>
              <w:t>24f*</w:t>
            </w:r>
          </w:p>
        </w:tc>
        <w:tc>
          <w:tcPr>
            <w:tcW w:w="3147" w:type="dxa"/>
            <w:shd w:val="clear" w:color="000000" w:fill="F8CBAD"/>
            <w:vAlign w:val="center"/>
            <w:hideMark/>
          </w:tcPr>
          <w:p w14:paraId="774F50EB"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Charges</w:t>
            </w:r>
          </w:p>
        </w:tc>
        <w:tc>
          <w:tcPr>
            <w:tcW w:w="5958" w:type="dxa"/>
            <w:shd w:val="clear" w:color="000000" w:fill="F8CBAD"/>
            <w:vAlign w:val="center"/>
            <w:hideMark/>
          </w:tcPr>
          <w:p w14:paraId="38E03BE3" w14:textId="0DADD493"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 xml:space="preserve">Enter the provider’s charge for each line item in the unshaded area of the field. This should be the total charge for multiple days or units. </w:t>
            </w:r>
          </w:p>
        </w:tc>
      </w:tr>
      <w:tr w:rsidR="00DE37D9" w:rsidRPr="00DE37D9" w14:paraId="1AC83E10" w14:textId="77777777" w:rsidTr="006C0DD5">
        <w:trPr>
          <w:cantSplit/>
          <w:trHeight w:val="570"/>
        </w:trPr>
        <w:tc>
          <w:tcPr>
            <w:tcW w:w="1263" w:type="dxa"/>
            <w:shd w:val="clear" w:color="000000" w:fill="FCE4D6"/>
            <w:vAlign w:val="center"/>
            <w:hideMark/>
          </w:tcPr>
          <w:p w14:paraId="258B9F39" w14:textId="356679C7" w:rsidR="00DE37D9" w:rsidRPr="00DE37D9" w:rsidRDefault="008042D8" w:rsidP="00716031">
            <w:pPr>
              <w:jc w:val="center"/>
              <w:rPr>
                <w:rFonts w:eastAsia="Times New Roman" w:cs="Tahoma"/>
                <w:color w:val="000000"/>
                <w:szCs w:val="23"/>
              </w:rPr>
            </w:pPr>
            <w:r>
              <w:rPr>
                <w:rFonts w:eastAsia="Times New Roman" w:cs="Tahoma"/>
                <w:color w:val="000000"/>
                <w:szCs w:val="23"/>
              </w:rPr>
              <w:t>24g*</w:t>
            </w:r>
          </w:p>
        </w:tc>
        <w:tc>
          <w:tcPr>
            <w:tcW w:w="3147" w:type="dxa"/>
            <w:shd w:val="clear" w:color="000000" w:fill="FCE4D6"/>
            <w:vAlign w:val="center"/>
            <w:hideMark/>
          </w:tcPr>
          <w:p w14:paraId="786803BA"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Days or Units</w:t>
            </w:r>
          </w:p>
        </w:tc>
        <w:tc>
          <w:tcPr>
            <w:tcW w:w="5958" w:type="dxa"/>
            <w:shd w:val="clear" w:color="000000" w:fill="FCE4D6"/>
            <w:vAlign w:val="center"/>
            <w:hideMark/>
          </w:tcPr>
          <w:p w14:paraId="4963F559" w14:textId="59D338AC"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 xml:space="preserve">Enter the number of days or units of service provided for each detail line in the unshaded area of the field. The system </w:t>
            </w:r>
            <w:r w:rsidR="00C850C7">
              <w:rPr>
                <w:rFonts w:eastAsia="Times New Roman" w:cs="Tahoma"/>
                <w:color w:val="000000"/>
                <w:szCs w:val="23"/>
              </w:rPr>
              <w:t>auto-populates</w:t>
            </w:r>
            <w:r w:rsidRPr="00DE37D9">
              <w:rPr>
                <w:rFonts w:eastAsia="Times New Roman" w:cs="Tahoma"/>
                <w:color w:val="000000"/>
                <w:szCs w:val="23"/>
              </w:rPr>
              <w:t xml:space="preserve"> a </w:t>
            </w:r>
            <w:r w:rsidR="004143B0">
              <w:rPr>
                <w:rFonts w:eastAsia="Times New Roman" w:cs="Tahoma"/>
                <w:color w:val="000000"/>
                <w:szCs w:val="23"/>
              </w:rPr>
              <w:t>‘</w:t>
            </w:r>
            <w:r w:rsidRPr="00DE37D9">
              <w:rPr>
                <w:rFonts w:eastAsia="Times New Roman" w:cs="Tahoma"/>
                <w:color w:val="000000"/>
                <w:szCs w:val="23"/>
              </w:rPr>
              <w:t>1</w:t>
            </w:r>
            <w:r w:rsidR="004143B0">
              <w:rPr>
                <w:rFonts w:eastAsia="Times New Roman" w:cs="Tahoma"/>
                <w:color w:val="000000"/>
                <w:szCs w:val="23"/>
              </w:rPr>
              <w:t>’</w:t>
            </w:r>
            <w:r w:rsidRPr="00DE37D9">
              <w:rPr>
                <w:rFonts w:eastAsia="Times New Roman" w:cs="Tahoma"/>
                <w:color w:val="000000"/>
                <w:szCs w:val="23"/>
              </w:rPr>
              <w:t xml:space="preserve"> if the field is left blank. </w:t>
            </w:r>
          </w:p>
        </w:tc>
      </w:tr>
      <w:tr w:rsidR="00DE37D9" w:rsidRPr="00DE37D9" w14:paraId="591DDB16" w14:textId="77777777" w:rsidTr="006C0DD5">
        <w:trPr>
          <w:cantSplit/>
          <w:trHeight w:val="570"/>
        </w:trPr>
        <w:tc>
          <w:tcPr>
            <w:tcW w:w="1263" w:type="dxa"/>
            <w:shd w:val="clear" w:color="000000" w:fill="F8CBAD"/>
            <w:vAlign w:val="center"/>
            <w:hideMark/>
          </w:tcPr>
          <w:p w14:paraId="0F01A06A" w14:textId="2B855FC8" w:rsidR="00DE37D9" w:rsidRPr="00DE37D9" w:rsidRDefault="008042D8" w:rsidP="00716031">
            <w:pPr>
              <w:jc w:val="center"/>
              <w:rPr>
                <w:rFonts w:eastAsia="Times New Roman" w:cs="Tahoma"/>
                <w:color w:val="000000"/>
                <w:szCs w:val="23"/>
              </w:rPr>
            </w:pPr>
            <w:r>
              <w:rPr>
                <w:rFonts w:eastAsia="Times New Roman" w:cs="Tahoma"/>
                <w:color w:val="000000"/>
                <w:szCs w:val="23"/>
              </w:rPr>
              <w:t>24h</w:t>
            </w:r>
          </w:p>
        </w:tc>
        <w:tc>
          <w:tcPr>
            <w:tcW w:w="3147" w:type="dxa"/>
            <w:shd w:val="clear" w:color="000000" w:fill="F8CBAD"/>
            <w:vAlign w:val="center"/>
            <w:hideMark/>
          </w:tcPr>
          <w:p w14:paraId="4C73C99D"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EPSDT/Family Planning</w:t>
            </w:r>
          </w:p>
        </w:tc>
        <w:tc>
          <w:tcPr>
            <w:tcW w:w="5958" w:type="dxa"/>
            <w:shd w:val="clear" w:color="000000" w:fill="F8CBAD"/>
            <w:vAlign w:val="center"/>
            <w:hideMark/>
          </w:tcPr>
          <w:p w14:paraId="110A7457" w14:textId="352CEAE5"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 xml:space="preserve">Leave blank </w:t>
            </w:r>
          </w:p>
        </w:tc>
      </w:tr>
      <w:tr w:rsidR="00DE37D9" w:rsidRPr="00DE37D9" w14:paraId="7A253652" w14:textId="77777777" w:rsidTr="006C0DD5">
        <w:trPr>
          <w:cantSplit/>
          <w:trHeight w:val="570"/>
        </w:trPr>
        <w:tc>
          <w:tcPr>
            <w:tcW w:w="1263" w:type="dxa"/>
            <w:shd w:val="clear" w:color="000000" w:fill="FCE4D6"/>
            <w:vAlign w:val="center"/>
            <w:hideMark/>
          </w:tcPr>
          <w:p w14:paraId="696ABEA5" w14:textId="2D230F7D" w:rsidR="00DE37D9" w:rsidRPr="00DE37D9" w:rsidRDefault="008042D8" w:rsidP="00716031">
            <w:pPr>
              <w:jc w:val="center"/>
              <w:rPr>
                <w:rFonts w:eastAsia="Times New Roman" w:cs="Tahoma"/>
                <w:color w:val="000000"/>
                <w:szCs w:val="23"/>
              </w:rPr>
            </w:pPr>
            <w:r>
              <w:rPr>
                <w:rFonts w:eastAsia="Times New Roman" w:cs="Tahoma"/>
                <w:color w:val="000000"/>
                <w:szCs w:val="23"/>
              </w:rPr>
              <w:t>24i**</w:t>
            </w:r>
          </w:p>
        </w:tc>
        <w:tc>
          <w:tcPr>
            <w:tcW w:w="3147" w:type="dxa"/>
            <w:shd w:val="clear" w:color="000000" w:fill="FCE4D6"/>
            <w:vAlign w:val="center"/>
            <w:hideMark/>
          </w:tcPr>
          <w:p w14:paraId="3F20B01C"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ID Qualifier</w:t>
            </w:r>
          </w:p>
        </w:tc>
        <w:tc>
          <w:tcPr>
            <w:tcW w:w="5958" w:type="dxa"/>
            <w:shd w:val="clear" w:color="000000" w:fill="FCE4D6"/>
            <w:vAlign w:val="center"/>
            <w:hideMark/>
          </w:tcPr>
          <w:p w14:paraId="6410F8C9" w14:textId="20A6DABA"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Enter in the shaded area of 24</w:t>
            </w:r>
            <w:r w:rsidR="00C850C7">
              <w:rPr>
                <w:rFonts w:eastAsia="Times New Roman" w:cs="Tahoma"/>
                <w:color w:val="000000"/>
                <w:szCs w:val="23"/>
              </w:rPr>
              <w:t>i</w:t>
            </w:r>
            <w:r w:rsidRPr="00DE37D9">
              <w:rPr>
                <w:rFonts w:eastAsia="Times New Roman" w:cs="Tahoma"/>
                <w:color w:val="000000"/>
                <w:szCs w:val="23"/>
              </w:rPr>
              <w:t xml:space="preserve"> the qualifier identifying if the number is a non-NPI</w:t>
            </w:r>
            <w:r w:rsidR="00856F04">
              <w:rPr>
                <w:rFonts w:eastAsia="Times New Roman" w:cs="Tahoma"/>
                <w:color w:val="000000"/>
                <w:szCs w:val="23"/>
              </w:rPr>
              <w:t xml:space="preserve">. </w:t>
            </w:r>
            <w:r w:rsidRPr="00DE37D9">
              <w:rPr>
                <w:rFonts w:eastAsia="Times New Roman" w:cs="Tahoma"/>
                <w:color w:val="000000"/>
                <w:szCs w:val="23"/>
              </w:rPr>
              <w:t xml:space="preserve">The other ID number </w:t>
            </w:r>
            <w:r w:rsidR="00AB1BB4">
              <w:rPr>
                <w:rFonts w:eastAsia="Times New Roman" w:cs="Tahoma"/>
                <w:color w:val="000000"/>
                <w:szCs w:val="23"/>
              </w:rPr>
              <w:t>of</w:t>
            </w:r>
            <w:r w:rsidR="00AB1BB4" w:rsidRPr="00DE37D9">
              <w:rPr>
                <w:rFonts w:eastAsia="Times New Roman" w:cs="Tahoma"/>
                <w:color w:val="000000"/>
                <w:szCs w:val="23"/>
              </w:rPr>
              <w:t xml:space="preserve"> </w:t>
            </w:r>
            <w:r w:rsidRPr="00DE37D9">
              <w:rPr>
                <w:rFonts w:eastAsia="Times New Roman" w:cs="Tahoma"/>
                <w:color w:val="000000"/>
                <w:szCs w:val="23"/>
              </w:rPr>
              <w:t>the rendering provider should be reported in 24</w:t>
            </w:r>
            <w:r w:rsidR="00AB1BB4">
              <w:rPr>
                <w:rFonts w:eastAsia="Times New Roman" w:cs="Tahoma"/>
                <w:color w:val="000000"/>
                <w:szCs w:val="23"/>
              </w:rPr>
              <w:t>j</w:t>
            </w:r>
            <w:r w:rsidRPr="00DE37D9">
              <w:rPr>
                <w:rFonts w:eastAsia="Times New Roman" w:cs="Tahoma"/>
                <w:color w:val="000000"/>
                <w:szCs w:val="23"/>
              </w:rPr>
              <w:t xml:space="preserve"> in the shaded area</w:t>
            </w:r>
            <w:r w:rsidR="00856F04">
              <w:rPr>
                <w:rFonts w:eastAsia="Times New Roman" w:cs="Tahoma"/>
                <w:color w:val="000000"/>
                <w:szCs w:val="23"/>
              </w:rPr>
              <w:t xml:space="preserve">. </w:t>
            </w:r>
          </w:p>
        </w:tc>
      </w:tr>
      <w:tr w:rsidR="00DE37D9" w:rsidRPr="00DE37D9" w14:paraId="3A911A0D" w14:textId="77777777" w:rsidTr="006C0DD5">
        <w:trPr>
          <w:cantSplit/>
          <w:trHeight w:val="570"/>
        </w:trPr>
        <w:tc>
          <w:tcPr>
            <w:tcW w:w="1263" w:type="dxa"/>
            <w:shd w:val="clear" w:color="000000" w:fill="F8CBAD"/>
            <w:vAlign w:val="center"/>
            <w:hideMark/>
          </w:tcPr>
          <w:p w14:paraId="00A1D8EF" w14:textId="7C9E4802" w:rsidR="00DE37D9" w:rsidRPr="00DE37D9" w:rsidRDefault="008042D8" w:rsidP="00716031">
            <w:pPr>
              <w:jc w:val="center"/>
              <w:rPr>
                <w:rFonts w:eastAsia="Times New Roman" w:cs="Tahoma"/>
                <w:color w:val="000000"/>
                <w:szCs w:val="23"/>
              </w:rPr>
            </w:pPr>
            <w:r>
              <w:rPr>
                <w:rFonts w:eastAsia="Times New Roman" w:cs="Tahoma"/>
                <w:color w:val="000000"/>
                <w:szCs w:val="23"/>
              </w:rPr>
              <w:t>24j**</w:t>
            </w:r>
          </w:p>
        </w:tc>
        <w:tc>
          <w:tcPr>
            <w:tcW w:w="3147" w:type="dxa"/>
            <w:shd w:val="clear" w:color="000000" w:fill="F8CBAD"/>
            <w:vAlign w:val="center"/>
            <w:hideMark/>
          </w:tcPr>
          <w:p w14:paraId="5C0C0717" w14:textId="77777777"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Rendering Provider ID</w:t>
            </w:r>
          </w:p>
        </w:tc>
        <w:tc>
          <w:tcPr>
            <w:tcW w:w="5958" w:type="dxa"/>
            <w:shd w:val="clear" w:color="000000" w:fill="F8CBAD"/>
            <w:vAlign w:val="center"/>
            <w:hideMark/>
          </w:tcPr>
          <w:p w14:paraId="5478D506" w14:textId="5D90EB58" w:rsidR="00DE37D9" w:rsidRPr="00DE37D9" w:rsidRDefault="00DE37D9" w:rsidP="00E9415C">
            <w:pPr>
              <w:jc w:val="left"/>
              <w:rPr>
                <w:rFonts w:eastAsia="Times New Roman" w:cs="Tahoma"/>
                <w:color w:val="000000"/>
                <w:szCs w:val="23"/>
              </w:rPr>
            </w:pPr>
            <w:r w:rsidRPr="00DE37D9">
              <w:rPr>
                <w:rFonts w:eastAsia="Times New Roman" w:cs="Tahoma"/>
                <w:color w:val="000000"/>
                <w:szCs w:val="23"/>
              </w:rPr>
              <w:t>The individual rendering service</w:t>
            </w:r>
            <w:r w:rsidR="00AB1BB4">
              <w:rPr>
                <w:rFonts w:eastAsia="Times New Roman" w:cs="Tahoma"/>
                <w:color w:val="000000"/>
                <w:szCs w:val="23"/>
              </w:rPr>
              <w:t xml:space="preserve"> is reported here. E</w:t>
            </w:r>
            <w:r w:rsidRPr="00DE37D9">
              <w:rPr>
                <w:rFonts w:eastAsia="Times New Roman" w:cs="Tahoma"/>
                <w:color w:val="000000"/>
                <w:szCs w:val="23"/>
              </w:rPr>
              <w:t>nter the NPI number of the provider in the unshaded area of the field</w:t>
            </w:r>
          </w:p>
        </w:tc>
      </w:tr>
      <w:tr w:rsidR="00DE37D9" w:rsidRPr="00DE37D9" w14:paraId="07CB0978" w14:textId="77777777" w:rsidTr="006C0DD5">
        <w:trPr>
          <w:cantSplit/>
          <w:trHeight w:val="855"/>
        </w:trPr>
        <w:tc>
          <w:tcPr>
            <w:tcW w:w="1263" w:type="dxa"/>
            <w:shd w:val="clear" w:color="000000" w:fill="FCE4D6"/>
            <w:vAlign w:val="center"/>
            <w:hideMark/>
          </w:tcPr>
          <w:p w14:paraId="6BA13A83" w14:textId="504927D6" w:rsidR="00DE37D9" w:rsidRPr="006C0DD5" w:rsidRDefault="008042D8" w:rsidP="00716031">
            <w:pPr>
              <w:jc w:val="center"/>
              <w:rPr>
                <w:rFonts w:eastAsia="Times New Roman" w:cs="Tahoma"/>
                <w:szCs w:val="23"/>
              </w:rPr>
            </w:pPr>
            <w:r w:rsidRPr="006C0DD5">
              <w:rPr>
                <w:rFonts w:eastAsia="Times New Roman" w:cs="Tahoma"/>
                <w:szCs w:val="23"/>
              </w:rPr>
              <w:t>25</w:t>
            </w:r>
          </w:p>
        </w:tc>
        <w:tc>
          <w:tcPr>
            <w:tcW w:w="3147" w:type="dxa"/>
            <w:shd w:val="clear" w:color="000000" w:fill="FCE4D6"/>
            <w:vAlign w:val="center"/>
            <w:hideMark/>
          </w:tcPr>
          <w:p w14:paraId="234EB2F8" w14:textId="7468C93E" w:rsidR="00DE37D9" w:rsidRPr="006C0DD5" w:rsidRDefault="00DE37D9" w:rsidP="00E9415C">
            <w:pPr>
              <w:jc w:val="left"/>
              <w:rPr>
                <w:rFonts w:eastAsia="Times New Roman" w:cs="Tahoma"/>
                <w:szCs w:val="23"/>
              </w:rPr>
            </w:pPr>
            <w:r w:rsidRPr="006C0DD5">
              <w:rPr>
                <w:rFonts w:eastAsia="Times New Roman" w:cs="Tahoma"/>
                <w:szCs w:val="23"/>
              </w:rPr>
              <w:t>Federal Tax ID Number (</w:t>
            </w:r>
            <w:r w:rsidR="00873248" w:rsidRPr="006C0DD5">
              <w:rPr>
                <w:rFonts w:eastAsia="Times New Roman" w:cs="Tahoma"/>
                <w:szCs w:val="23"/>
              </w:rPr>
              <w:t>SSN/</w:t>
            </w:r>
            <w:r w:rsidRPr="006C0DD5">
              <w:rPr>
                <w:rFonts w:eastAsia="Times New Roman" w:cs="Tahoma"/>
                <w:szCs w:val="23"/>
              </w:rPr>
              <w:t>EIN)</w:t>
            </w:r>
          </w:p>
        </w:tc>
        <w:tc>
          <w:tcPr>
            <w:tcW w:w="5958" w:type="dxa"/>
            <w:shd w:val="clear" w:color="000000" w:fill="FCE4D6"/>
            <w:vAlign w:val="center"/>
            <w:hideMark/>
          </w:tcPr>
          <w:p w14:paraId="1D34A5D8" w14:textId="1040DC1F" w:rsidR="00DE37D9" w:rsidRPr="006C0DD5" w:rsidRDefault="00DE37D9" w:rsidP="00E9415C">
            <w:pPr>
              <w:jc w:val="left"/>
              <w:rPr>
                <w:rFonts w:eastAsia="Times New Roman" w:cs="Tahoma"/>
                <w:szCs w:val="23"/>
              </w:rPr>
            </w:pPr>
            <w:r w:rsidRPr="006C0DD5">
              <w:rPr>
                <w:rFonts w:eastAsia="Times New Roman" w:cs="Tahoma"/>
                <w:szCs w:val="23"/>
              </w:rPr>
              <w:t xml:space="preserve">Leave blank </w:t>
            </w:r>
          </w:p>
        </w:tc>
      </w:tr>
      <w:tr w:rsidR="00DE37D9" w:rsidRPr="00DE37D9" w14:paraId="732A455E" w14:textId="77777777" w:rsidTr="006C0DD5">
        <w:trPr>
          <w:cantSplit/>
          <w:trHeight w:val="570"/>
        </w:trPr>
        <w:tc>
          <w:tcPr>
            <w:tcW w:w="1263" w:type="dxa"/>
            <w:shd w:val="clear" w:color="000000" w:fill="F8CBAD"/>
            <w:vAlign w:val="center"/>
            <w:hideMark/>
          </w:tcPr>
          <w:p w14:paraId="1336E456" w14:textId="49604600" w:rsidR="00DE37D9" w:rsidRPr="006C0DD5" w:rsidRDefault="008042D8" w:rsidP="00716031">
            <w:pPr>
              <w:jc w:val="center"/>
              <w:rPr>
                <w:rFonts w:eastAsia="Times New Roman" w:cs="Tahoma"/>
                <w:szCs w:val="23"/>
              </w:rPr>
            </w:pPr>
            <w:r w:rsidRPr="006C0DD5">
              <w:rPr>
                <w:rFonts w:eastAsia="Times New Roman" w:cs="Tahoma"/>
                <w:szCs w:val="23"/>
              </w:rPr>
              <w:t>26</w:t>
            </w:r>
          </w:p>
        </w:tc>
        <w:tc>
          <w:tcPr>
            <w:tcW w:w="3147" w:type="dxa"/>
            <w:shd w:val="clear" w:color="000000" w:fill="F8CBAD"/>
            <w:vAlign w:val="center"/>
            <w:hideMark/>
          </w:tcPr>
          <w:p w14:paraId="3BE2835F" w14:textId="77777777" w:rsidR="00DE37D9" w:rsidRPr="006C0DD5" w:rsidRDefault="00DE37D9" w:rsidP="00E9415C">
            <w:pPr>
              <w:jc w:val="left"/>
              <w:rPr>
                <w:rFonts w:eastAsia="Times New Roman" w:cs="Tahoma"/>
                <w:szCs w:val="23"/>
              </w:rPr>
            </w:pPr>
            <w:r w:rsidRPr="006C0DD5">
              <w:rPr>
                <w:rFonts w:eastAsia="Times New Roman" w:cs="Tahoma"/>
                <w:szCs w:val="23"/>
              </w:rPr>
              <w:t>Patient’s Account Number</w:t>
            </w:r>
          </w:p>
        </w:tc>
        <w:tc>
          <w:tcPr>
            <w:tcW w:w="5958" w:type="dxa"/>
            <w:shd w:val="clear" w:color="000000" w:fill="F8CBAD"/>
            <w:vAlign w:val="center"/>
            <w:hideMark/>
          </w:tcPr>
          <w:p w14:paraId="7BD69BF7" w14:textId="7A3FB1B8" w:rsidR="00DE37D9" w:rsidRPr="006C0DD5" w:rsidRDefault="00DE37D9" w:rsidP="00E9415C">
            <w:pPr>
              <w:jc w:val="left"/>
              <w:rPr>
                <w:rFonts w:eastAsia="Times New Roman" w:cs="Tahoma"/>
                <w:szCs w:val="23"/>
              </w:rPr>
            </w:pPr>
            <w:r w:rsidRPr="006C0DD5">
              <w:rPr>
                <w:rFonts w:eastAsia="Times New Roman" w:cs="Tahoma"/>
                <w:szCs w:val="23"/>
              </w:rPr>
              <w:t>For the provider’s own information, a maximum of 12 alpha and/or numeric characters may be entered here</w:t>
            </w:r>
            <w:r w:rsidR="00097F96" w:rsidRPr="006C0DD5">
              <w:rPr>
                <w:rFonts w:eastAsia="Times New Roman" w:cs="Tahoma"/>
                <w:szCs w:val="23"/>
              </w:rPr>
              <w:t>.</w:t>
            </w:r>
            <w:r w:rsidRPr="006C0DD5">
              <w:rPr>
                <w:rFonts w:eastAsia="Times New Roman" w:cs="Tahoma"/>
                <w:szCs w:val="23"/>
              </w:rPr>
              <w:t xml:space="preserve"> </w:t>
            </w:r>
          </w:p>
        </w:tc>
      </w:tr>
      <w:tr w:rsidR="00DE37D9" w:rsidRPr="00DE37D9" w14:paraId="2FC6F154" w14:textId="77777777" w:rsidTr="006C0DD5">
        <w:trPr>
          <w:cantSplit/>
          <w:trHeight w:val="300"/>
        </w:trPr>
        <w:tc>
          <w:tcPr>
            <w:tcW w:w="1263" w:type="dxa"/>
            <w:shd w:val="clear" w:color="000000" w:fill="FCE4D6"/>
            <w:vAlign w:val="center"/>
            <w:hideMark/>
          </w:tcPr>
          <w:p w14:paraId="37B4240E" w14:textId="4041C110" w:rsidR="00DE37D9" w:rsidRPr="006C0DD5" w:rsidRDefault="008042D8" w:rsidP="00716031">
            <w:pPr>
              <w:jc w:val="center"/>
              <w:rPr>
                <w:rFonts w:eastAsia="Times New Roman" w:cs="Tahoma"/>
                <w:szCs w:val="23"/>
              </w:rPr>
            </w:pPr>
            <w:r w:rsidRPr="006C0DD5">
              <w:rPr>
                <w:rFonts w:eastAsia="Times New Roman" w:cs="Tahoma"/>
                <w:szCs w:val="23"/>
              </w:rPr>
              <w:t>27</w:t>
            </w:r>
          </w:p>
        </w:tc>
        <w:tc>
          <w:tcPr>
            <w:tcW w:w="3147" w:type="dxa"/>
            <w:shd w:val="clear" w:color="000000" w:fill="FCE4D6"/>
            <w:vAlign w:val="center"/>
            <w:hideMark/>
          </w:tcPr>
          <w:p w14:paraId="14D7FF23" w14:textId="77777777" w:rsidR="00DE37D9" w:rsidRPr="006C0DD5" w:rsidRDefault="00DE37D9" w:rsidP="00E9415C">
            <w:pPr>
              <w:jc w:val="left"/>
              <w:rPr>
                <w:rFonts w:eastAsia="Times New Roman" w:cs="Tahoma"/>
                <w:szCs w:val="23"/>
              </w:rPr>
            </w:pPr>
            <w:r w:rsidRPr="006C0DD5">
              <w:rPr>
                <w:rFonts w:eastAsia="Times New Roman" w:cs="Tahoma"/>
                <w:szCs w:val="23"/>
              </w:rPr>
              <w:t>Accept Assignment</w:t>
            </w:r>
          </w:p>
        </w:tc>
        <w:tc>
          <w:tcPr>
            <w:tcW w:w="5958" w:type="dxa"/>
            <w:shd w:val="clear" w:color="000000" w:fill="FCE4D6"/>
            <w:vAlign w:val="center"/>
            <w:hideMark/>
          </w:tcPr>
          <w:p w14:paraId="3D639138" w14:textId="4C26E09C" w:rsidR="00DE37D9" w:rsidRPr="006C0DD5" w:rsidRDefault="00DE37D9" w:rsidP="00E9415C">
            <w:pPr>
              <w:jc w:val="left"/>
              <w:rPr>
                <w:rFonts w:eastAsia="Times New Roman" w:cs="Tahoma"/>
                <w:szCs w:val="23"/>
              </w:rPr>
            </w:pPr>
            <w:r w:rsidRPr="006C0DD5">
              <w:rPr>
                <w:rFonts w:eastAsia="Times New Roman" w:cs="Tahoma"/>
                <w:szCs w:val="23"/>
              </w:rPr>
              <w:t xml:space="preserve">Leave blank </w:t>
            </w:r>
          </w:p>
        </w:tc>
      </w:tr>
      <w:tr w:rsidR="00DE37D9" w:rsidRPr="00DE37D9" w14:paraId="2F421533" w14:textId="77777777" w:rsidTr="006C0DD5">
        <w:trPr>
          <w:cantSplit/>
          <w:trHeight w:val="300"/>
        </w:trPr>
        <w:tc>
          <w:tcPr>
            <w:tcW w:w="1263" w:type="dxa"/>
            <w:shd w:val="clear" w:color="000000" w:fill="F8CBAD"/>
            <w:vAlign w:val="center"/>
            <w:hideMark/>
          </w:tcPr>
          <w:p w14:paraId="7E24F123" w14:textId="4F926DA4" w:rsidR="00DE37D9" w:rsidRPr="006C0DD5" w:rsidRDefault="008042D8" w:rsidP="00716031">
            <w:pPr>
              <w:jc w:val="center"/>
              <w:rPr>
                <w:rFonts w:eastAsia="Times New Roman" w:cs="Tahoma"/>
                <w:szCs w:val="23"/>
              </w:rPr>
            </w:pPr>
            <w:r w:rsidRPr="006C0DD5">
              <w:rPr>
                <w:rFonts w:eastAsia="Times New Roman" w:cs="Tahoma"/>
                <w:szCs w:val="23"/>
              </w:rPr>
              <w:t>28*</w:t>
            </w:r>
          </w:p>
        </w:tc>
        <w:tc>
          <w:tcPr>
            <w:tcW w:w="3147" w:type="dxa"/>
            <w:shd w:val="clear" w:color="000000" w:fill="F8CBAD"/>
            <w:vAlign w:val="center"/>
            <w:hideMark/>
          </w:tcPr>
          <w:p w14:paraId="6A43D2CF" w14:textId="77777777" w:rsidR="00DE37D9" w:rsidRPr="006C0DD5" w:rsidRDefault="00DE37D9" w:rsidP="00E9415C">
            <w:pPr>
              <w:jc w:val="left"/>
              <w:rPr>
                <w:rFonts w:eastAsia="Times New Roman" w:cs="Tahoma"/>
                <w:szCs w:val="23"/>
              </w:rPr>
            </w:pPr>
            <w:r w:rsidRPr="006C0DD5">
              <w:rPr>
                <w:rFonts w:eastAsia="Times New Roman" w:cs="Tahoma"/>
                <w:szCs w:val="23"/>
              </w:rPr>
              <w:t>Total Charge</w:t>
            </w:r>
          </w:p>
        </w:tc>
        <w:tc>
          <w:tcPr>
            <w:tcW w:w="5958" w:type="dxa"/>
            <w:shd w:val="clear" w:color="000000" w:fill="F8CBAD"/>
            <w:vAlign w:val="center"/>
            <w:hideMark/>
          </w:tcPr>
          <w:p w14:paraId="46FB3C38" w14:textId="0A839545" w:rsidR="00DE37D9" w:rsidRPr="006C0DD5" w:rsidRDefault="00DE37D9" w:rsidP="00E9415C">
            <w:pPr>
              <w:jc w:val="left"/>
              <w:rPr>
                <w:rFonts w:eastAsia="Times New Roman" w:cs="Tahoma"/>
                <w:szCs w:val="23"/>
              </w:rPr>
            </w:pPr>
            <w:r w:rsidRPr="006C0DD5">
              <w:rPr>
                <w:rFonts w:eastAsia="Times New Roman" w:cs="Tahoma"/>
                <w:szCs w:val="23"/>
              </w:rPr>
              <w:t>Enter the sum of the line item charges</w:t>
            </w:r>
          </w:p>
        </w:tc>
      </w:tr>
      <w:tr w:rsidR="00DE37D9" w:rsidRPr="00DE37D9" w14:paraId="5B13334F" w14:textId="77777777" w:rsidTr="006C0DD5">
        <w:trPr>
          <w:cantSplit/>
          <w:trHeight w:val="570"/>
        </w:trPr>
        <w:tc>
          <w:tcPr>
            <w:tcW w:w="1263" w:type="dxa"/>
            <w:shd w:val="clear" w:color="000000" w:fill="FCE4D6"/>
            <w:vAlign w:val="center"/>
            <w:hideMark/>
          </w:tcPr>
          <w:p w14:paraId="15340BBD" w14:textId="710B7DBC" w:rsidR="00DE37D9" w:rsidRPr="006C0DD5" w:rsidRDefault="008042D8" w:rsidP="00716031">
            <w:pPr>
              <w:jc w:val="center"/>
              <w:rPr>
                <w:rFonts w:eastAsia="Times New Roman" w:cs="Tahoma"/>
                <w:szCs w:val="23"/>
              </w:rPr>
            </w:pPr>
            <w:r w:rsidRPr="006C0DD5">
              <w:rPr>
                <w:rFonts w:eastAsia="Times New Roman" w:cs="Tahoma"/>
                <w:szCs w:val="23"/>
              </w:rPr>
              <w:t>29</w:t>
            </w:r>
          </w:p>
        </w:tc>
        <w:tc>
          <w:tcPr>
            <w:tcW w:w="3147" w:type="dxa"/>
            <w:shd w:val="clear" w:color="000000" w:fill="FCE4D6"/>
            <w:vAlign w:val="center"/>
            <w:hideMark/>
          </w:tcPr>
          <w:p w14:paraId="08B30CB5" w14:textId="77777777" w:rsidR="00DE37D9" w:rsidRPr="006C0DD5" w:rsidRDefault="00DE37D9" w:rsidP="00E9415C">
            <w:pPr>
              <w:jc w:val="left"/>
              <w:rPr>
                <w:rFonts w:eastAsia="Times New Roman" w:cs="Tahoma"/>
                <w:szCs w:val="23"/>
              </w:rPr>
            </w:pPr>
            <w:r w:rsidRPr="006C0DD5">
              <w:rPr>
                <w:rFonts w:eastAsia="Times New Roman" w:cs="Tahoma"/>
                <w:szCs w:val="23"/>
              </w:rPr>
              <w:t>Amount Paid</w:t>
            </w:r>
          </w:p>
        </w:tc>
        <w:tc>
          <w:tcPr>
            <w:tcW w:w="5958" w:type="dxa"/>
            <w:shd w:val="clear" w:color="000000" w:fill="FCE4D6"/>
            <w:vAlign w:val="center"/>
            <w:hideMark/>
          </w:tcPr>
          <w:p w14:paraId="57FB3453" w14:textId="25329E4D" w:rsidR="00DE37D9" w:rsidRPr="006C0DD5" w:rsidRDefault="00DE37D9" w:rsidP="00E9415C">
            <w:pPr>
              <w:jc w:val="left"/>
              <w:rPr>
                <w:rFonts w:eastAsia="Times New Roman" w:cs="Tahoma"/>
                <w:szCs w:val="23"/>
              </w:rPr>
            </w:pPr>
            <w:r w:rsidRPr="006C0DD5">
              <w:rPr>
                <w:rFonts w:eastAsia="Times New Roman" w:cs="Tahoma"/>
                <w:szCs w:val="23"/>
              </w:rPr>
              <w:t xml:space="preserve">Enter the total amount received by all other insurance resources. Previous </w:t>
            </w:r>
            <w:r w:rsidR="00097F96" w:rsidRPr="006C0DD5">
              <w:rPr>
                <w:rFonts w:eastAsia="Times New Roman" w:cs="Tahoma"/>
                <w:szCs w:val="23"/>
              </w:rPr>
              <w:t>MHD</w:t>
            </w:r>
            <w:r w:rsidRPr="006C0DD5">
              <w:rPr>
                <w:rFonts w:eastAsia="Times New Roman" w:cs="Tahoma"/>
                <w:szCs w:val="23"/>
              </w:rPr>
              <w:t xml:space="preserve"> payments, Medicare payments, cost sharing and copay</w:t>
            </w:r>
            <w:r w:rsidRPr="006C0DD5">
              <w:rPr>
                <w:rFonts w:eastAsia="Times New Roman" w:cs="Tahoma"/>
                <w:iCs/>
                <w:szCs w:val="23"/>
              </w:rPr>
              <w:t xml:space="preserve"> </w:t>
            </w:r>
            <w:r w:rsidRPr="006C0DD5">
              <w:rPr>
                <w:rFonts w:eastAsia="Times New Roman" w:cs="Tahoma"/>
                <w:szCs w:val="23"/>
              </w:rPr>
              <w:t xml:space="preserve">amounts are not to be entered in this field. </w:t>
            </w:r>
          </w:p>
        </w:tc>
      </w:tr>
      <w:tr w:rsidR="00DE37D9" w:rsidRPr="00DE37D9" w14:paraId="17D9C844" w14:textId="77777777" w:rsidTr="006C0DD5">
        <w:trPr>
          <w:cantSplit/>
          <w:trHeight w:val="300"/>
        </w:trPr>
        <w:tc>
          <w:tcPr>
            <w:tcW w:w="1263" w:type="dxa"/>
            <w:shd w:val="clear" w:color="000000" w:fill="F8CBAD"/>
            <w:vAlign w:val="center"/>
            <w:hideMark/>
          </w:tcPr>
          <w:p w14:paraId="0AA451C4" w14:textId="12A6A6CF" w:rsidR="00DE37D9" w:rsidRPr="006C0DD5" w:rsidRDefault="008042D8" w:rsidP="00716031">
            <w:pPr>
              <w:jc w:val="center"/>
              <w:rPr>
                <w:rFonts w:eastAsia="Times New Roman" w:cs="Tahoma"/>
                <w:szCs w:val="23"/>
              </w:rPr>
            </w:pPr>
            <w:r w:rsidRPr="006C0DD5">
              <w:rPr>
                <w:rFonts w:eastAsia="Times New Roman" w:cs="Tahoma"/>
                <w:szCs w:val="23"/>
              </w:rPr>
              <w:t>30</w:t>
            </w:r>
          </w:p>
        </w:tc>
        <w:tc>
          <w:tcPr>
            <w:tcW w:w="3147" w:type="dxa"/>
            <w:shd w:val="clear" w:color="000000" w:fill="F8CBAD"/>
            <w:vAlign w:val="center"/>
            <w:hideMark/>
          </w:tcPr>
          <w:p w14:paraId="5CE18D8A" w14:textId="77777777" w:rsidR="00DE37D9" w:rsidRPr="006C0DD5" w:rsidRDefault="00DE37D9" w:rsidP="00E9415C">
            <w:pPr>
              <w:jc w:val="left"/>
              <w:rPr>
                <w:rFonts w:eastAsia="Times New Roman" w:cs="Tahoma"/>
                <w:szCs w:val="23"/>
              </w:rPr>
            </w:pPr>
            <w:r w:rsidRPr="006C0DD5">
              <w:rPr>
                <w:rFonts w:eastAsia="Times New Roman" w:cs="Tahoma"/>
                <w:szCs w:val="23"/>
              </w:rPr>
              <w:t>Reserved for NUCC</w:t>
            </w:r>
          </w:p>
        </w:tc>
        <w:tc>
          <w:tcPr>
            <w:tcW w:w="5958" w:type="dxa"/>
            <w:shd w:val="clear" w:color="000000" w:fill="F8CBAD"/>
            <w:vAlign w:val="center"/>
            <w:hideMark/>
          </w:tcPr>
          <w:p w14:paraId="53FFCFF5" w14:textId="75022E50" w:rsidR="00DE37D9" w:rsidRPr="006C0DD5" w:rsidRDefault="00DE37D9" w:rsidP="00E9415C">
            <w:pPr>
              <w:jc w:val="left"/>
              <w:rPr>
                <w:rFonts w:eastAsia="Times New Roman" w:cs="Tahoma"/>
                <w:szCs w:val="23"/>
              </w:rPr>
            </w:pPr>
            <w:r w:rsidRPr="006C0DD5">
              <w:rPr>
                <w:rFonts w:eastAsia="Times New Roman" w:cs="Tahoma"/>
                <w:szCs w:val="23"/>
              </w:rPr>
              <w:t xml:space="preserve">Leave blank </w:t>
            </w:r>
          </w:p>
        </w:tc>
      </w:tr>
      <w:tr w:rsidR="00DE37D9" w:rsidRPr="00DE37D9" w14:paraId="64FABCCF" w14:textId="77777777" w:rsidTr="006C0DD5">
        <w:trPr>
          <w:cantSplit/>
          <w:trHeight w:val="300"/>
        </w:trPr>
        <w:tc>
          <w:tcPr>
            <w:tcW w:w="1263" w:type="dxa"/>
            <w:shd w:val="clear" w:color="000000" w:fill="FCE4D6"/>
            <w:vAlign w:val="center"/>
            <w:hideMark/>
          </w:tcPr>
          <w:p w14:paraId="18E49F83" w14:textId="002BFC19" w:rsidR="00DE37D9" w:rsidRPr="006C0DD5" w:rsidRDefault="008042D8" w:rsidP="00716031">
            <w:pPr>
              <w:jc w:val="center"/>
              <w:rPr>
                <w:rFonts w:eastAsia="Times New Roman" w:cs="Tahoma"/>
                <w:szCs w:val="23"/>
              </w:rPr>
            </w:pPr>
            <w:r w:rsidRPr="006C0DD5">
              <w:rPr>
                <w:rFonts w:eastAsia="Times New Roman" w:cs="Tahoma"/>
                <w:szCs w:val="23"/>
              </w:rPr>
              <w:t>31</w:t>
            </w:r>
          </w:p>
        </w:tc>
        <w:tc>
          <w:tcPr>
            <w:tcW w:w="3147" w:type="dxa"/>
            <w:shd w:val="clear" w:color="000000" w:fill="FCE4D6"/>
            <w:vAlign w:val="center"/>
            <w:hideMark/>
          </w:tcPr>
          <w:p w14:paraId="15C83105" w14:textId="77777777" w:rsidR="00DE37D9" w:rsidRPr="006C0DD5" w:rsidRDefault="00DE37D9" w:rsidP="00E9415C">
            <w:pPr>
              <w:jc w:val="left"/>
              <w:rPr>
                <w:rFonts w:eastAsia="Times New Roman" w:cs="Tahoma"/>
                <w:szCs w:val="23"/>
              </w:rPr>
            </w:pPr>
            <w:r w:rsidRPr="006C0DD5">
              <w:rPr>
                <w:rFonts w:eastAsia="Times New Roman" w:cs="Tahoma"/>
                <w:szCs w:val="23"/>
              </w:rPr>
              <w:t>Provider Signature</w:t>
            </w:r>
          </w:p>
        </w:tc>
        <w:tc>
          <w:tcPr>
            <w:tcW w:w="5958" w:type="dxa"/>
            <w:shd w:val="clear" w:color="000000" w:fill="FCE4D6"/>
            <w:vAlign w:val="center"/>
            <w:hideMark/>
          </w:tcPr>
          <w:p w14:paraId="3C0D4AC8" w14:textId="6FB7A061" w:rsidR="00DE37D9" w:rsidRPr="006C0DD5" w:rsidRDefault="00DE37D9" w:rsidP="00E9415C">
            <w:pPr>
              <w:jc w:val="left"/>
              <w:rPr>
                <w:rFonts w:eastAsia="Times New Roman" w:cs="Tahoma"/>
                <w:szCs w:val="23"/>
              </w:rPr>
            </w:pPr>
            <w:r w:rsidRPr="006C0DD5">
              <w:rPr>
                <w:rFonts w:eastAsia="Times New Roman" w:cs="Tahoma"/>
                <w:szCs w:val="23"/>
              </w:rPr>
              <w:t xml:space="preserve">Leave blank </w:t>
            </w:r>
          </w:p>
        </w:tc>
      </w:tr>
      <w:tr w:rsidR="00DE37D9" w:rsidRPr="00DE37D9" w14:paraId="06BE3C59" w14:textId="77777777" w:rsidTr="006C0DD5">
        <w:trPr>
          <w:cantSplit/>
          <w:trHeight w:val="570"/>
        </w:trPr>
        <w:tc>
          <w:tcPr>
            <w:tcW w:w="1263" w:type="dxa"/>
            <w:shd w:val="clear" w:color="000000" w:fill="F8CBAD"/>
            <w:vAlign w:val="center"/>
            <w:hideMark/>
          </w:tcPr>
          <w:p w14:paraId="022A4F75" w14:textId="0C9B52B4" w:rsidR="00DE37D9" w:rsidRPr="006C0DD5" w:rsidRDefault="008042D8" w:rsidP="00716031">
            <w:pPr>
              <w:jc w:val="center"/>
              <w:rPr>
                <w:rFonts w:eastAsia="Times New Roman" w:cs="Tahoma"/>
                <w:szCs w:val="23"/>
              </w:rPr>
            </w:pPr>
            <w:r w:rsidRPr="006C0DD5">
              <w:rPr>
                <w:rFonts w:eastAsia="Times New Roman" w:cs="Tahoma"/>
                <w:szCs w:val="23"/>
              </w:rPr>
              <w:t>32**</w:t>
            </w:r>
          </w:p>
        </w:tc>
        <w:tc>
          <w:tcPr>
            <w:tcW w:w="3147" w:type="dxa"/>
            <w:shd w:val="clear" w:color="000000" w:fill="F8CBAD"/>
            <w:vAlign w:val="center"/>
            <w:hideMark/>
          </w:tcPr>
          <w:p w14:paraId="2C36F174" w14:textId="77777777" w:rsidR="00DE37D9" w:rsidRPr="006C0DD5" w:rsidRDefault="00DE37D9" w:rsidP="00E9415C">
            <w:pPr>
              <w:jc w:val="left"/>
              <w:rPr>
                <w:rFonts w:eastAsia="Times New Roman" w:cs="Tahoma"/>
                <w:szCs w:val="23"/>
              </w:rPr>
            </w:pPr>
            <w:r w:rsidRPr="006C0DD5">
              <w:rPr>
                <w:rFonts w:eastAsia="Times New Roman" w:cs="Tahoma"/>
                <w:szCs w:val="23"/>
              </w:rPr>
              <w:t xml:space="preserve">Service Facility Location Information </w:t>
            </w:r>
          </w:p>
        </w:tc>
        <w:tc>
          <w:tcPr>
            <w:tcW w:w="5958" w:type="dxa"/>
            <w:shd w:val="clear" w:color="000000" w:fill="F8CBAD"/>
            <w:vAlign w:val="center"/>
            <w:hideMark/>
          </w:tcPr>
          <w:p w14:paraId="52D9C097" w14:textId="778938A5" w:rsidR="00DE37D9" w:rsidRPr="006C0DD5" w:rsidRDefault="00DE37D9" w:rsidP="00E9415C">
            <w:pPr>
              <w:jc w:val="left"/>
              <w:rPr>
                <w:rFonts w:eastAsia="Times New Roman" w:cs="Tahoma"/>
                <w:szCs w:val="23"/>
              </w:rPr>
            </w:pPr>
            <w:r w:rsidRPr="006C0DD5">
              <w:rPr>
                <w:rFonts w:eastAsia="Times New Roman" w:cs="Tahoma"/>
                <w:szCs w:val="23"/>
              </w:rPr>
              <w:t xml:space="preserve">If services were rendered in a facility other than the home or office, enter the name and location of the facility. This field is required when the </w:t>
            </w:r>
            <w:r w:rsidR="004143B0">
              <w:rPr>
                <w:rFonts w:eastAsia="Times New Roman" w:cs="Tahoma"/>
                <w:szCs w:val="23"/>
              </w:rPr>
              <w:t>POS</w:t>
            </w:r>
            <w:r w:rsidRPr="006C0DD5">
              <w:rPr>
                <w:rFonts w:eastAsia="Times New Roman" w:cs="Tahoma"/>
                <w:szCs w:val="23"/>
              </w:rPr>
              <w:t xml:space="preserve"> is other than home or office.</w:t>
            </w:r>
          </w:p>
        </w:tc>
      </w:tr>
      <w:tr w:rsidR="00DE37D9" w:rsidRPr="00DE37D9" w14:paraId="1C525A23" w14:textId="77777777" w:rsidTr="006C0DD5">
        <w:trPr>
          <w:cantSplit/>
          <w:trHeight w:val="300"/>
        </w:trPr>
        <w:tc>
          <w:tcPr>
            <w:tcW w:w="1263" w:type="dxa"/>
            <w:shd w:val="clear" w:color="000000" w:fill="FCE4D6"/>
            <w:vAlign w:val="center"/>
            <w:hideMark/>
          </w:tcPr>
          <w:p w14:paraId="4B1DCD7E" w14:textId="6F95A281" w:rsidR="00DE37D9" w:rsidRPr="006C0DD5" w:rsidRDefault="008042D8" w:rsidP="00716031">
            <w:pPr>
              <w:jc w:val="center"/>
              <w:rPr>
                <w:rFonts w:eastAsia="Times New Roman" w:cs="Tahoma"/>
                <w:szCs w:val="23"/>
              </w:rPr>
            </w:pPr>
            <w:r w:rsidRPr="006C0DD5">
              <w:rPr>
                <w:rFonts w:eastAsia="Times New Roman" w:cs="Tahoma"/>
                <w:szCs w:val="23"/>
              </w:rPr>
              <w:t>32a**</w:t>
            </w:r>
          </w:p>
        </w:tc>
        <w:tc>
          <w:tcPr>
            <w:tcW w:w="3147" w:type="dxa"/>
            <w:shd w:val="clear" w:color="000000" w:fill="FCE4D6"/>
            <w:vAlign w:val="center"/>
            <w:hideMark/>
          </w:tcPr>
          <w:p w14:paraId="5161263A" w14:textId="77777777" w:rsidR="00DE37D9" w:rsidRPr="006C0DD5" w:rsidRDefault="00DE37D9" w:rsidP="00E9415C">
            <w:pPr>
              <w:jc w:val="left"/>
              <w:rPr>
                <w:rFonts w:eastAsia="Times New Roman" w:cs="Tahoma"/>
                <w:szCs w:val="23"/>
              </w:rPr>
            </w:pPr>
            <w:r w:rsidRPr="006C0DD5">
              <w:rPr>
                <w:rFonts w:eastAsia="Times New Roman" w:cs="Tahoma"/>
                <w:szCs w:val="23"/>
              </w:rPr>
              <w:t>NPI#</w:t>
            </w:r>
          </w:p>
        </w:tc>
        <w:tc>
          <w:tcPr>
            <w:tcW w:w="5958" w:type="dxa"/>
            <w:shd w:val="clear" w:color="000000" w:fill="FCE4D6"/>
            <w:vAlign w:val="center"/>
            <w:hideMark/>
          </w:tcPr>
          <w:p w14:paraId="1704558A" w14:textId="7D72F52F" w:rsidR="00DE37D9" w:rsidRPr="006C0DD5" w:rsidRDefault="00DE37D9" w:rsidP="00E9415C">
            <w:pPr>
              <w:jc w:val="left"/>
              <w:rPr>
                <w:rFonts w:eastAsia="Times New Roman" w:cs="Tahoma"/>
                <w:szCs w:val="23"/>
              </w:rPr>
            </w:pPr>
            <w:r w:rsidRPr="006C0DD5">
              <w:rPr>
                <w:rFonts w:eastAsia="Times New Roman" w:cs="Tahoma"/>
                <w:szCs w:val="23"/>
              </w:rPr>
              <w:t>Enter the NPI number of the service facility location reported in Field 3</w:t>
            </w:r>
            <w:r w:rsidR="00B62A28" w:rsidRPr="006C0DD5">
              <w:rPr>
                <w:rFonts w:eastAsia="Times New Roman" w:cs="Tahoma"/>
                <w:szCs w:val="23"/>
              </w:rPr>
              <w:t>2</w:t>
            </w:r>
          </w:p>
        </w:tc>
      </w:tr>
      <w:tr w:rsidR="00DE37D9" w:rsidRPr="00DE37D9" w14:paraId="3B119DEC" w14:textId="77777777" w:rsidTr="006C0DD5">
        <w:trPr>
          <w:cantSplit/>
          <w:trHeight w:val="570"/>
        </w:trPr>
        <w:tc>
          <w:tcPr>
            <w:tcW w:w="1263" w:type="dxa"/>
            <w:shd w:val="clear" w:color="000000" w:fill="F8CBAD"/>
            <w:vAlign w:val="center"/>
            <w:hideMark/>
          </w:tcPr>
          <w:p w14:paraId="1E58C3BD" w14:textId="75B7B5A4" w:rsidR="00DE37D9" w:rsidRPr="006C0DD5" w:rsidRDefault="008042D8" w:rsidP="00716031">
            <w:pPr>
              <w:jc w:val="center"/>
              <w:rPr>
                <w:rFonts w:eastAsia="Times New Roman" w:cs="Tahoma"/>
                <w:szCs w:val="23"/>
              </w:rPr>
            </w:pPr>
            <w:r w:rsidRPr="006C0DD5">
              <w:rPr>
                <w:rFonts w:eastAsia="Times New Roman" w:cs="Tahoma"/>
                <w:szCs w:val="23"/>
              </w:rPr>
              <w:t>32b**</w:t>
            </w:r>
          </w:p>
        </w:tc>
        <w:tc>
          <w:tcPr>
            <w:tcW w:w="3147" w:type="dxa"/>
            <w:shd w:val="clear" w:color="000000" w:fill="F8CBAD"/>
            <w:vAlign w:val="center"/>
            <w:hideMark/>
          </w:tcPr>
          <w:p w14:paraId="4E59E707" w14:textId="77777777" w:rsidR="00DE37D9" w:rsidRPr="006C0DD5" w:rsidRDefault="00DE37D9" w:rsidP="00E9415C">
            <w:pPr>
              <w:jc w:val="left"/>
              <w:rPr>
                <w:rFonts w:eastAsia="Times New Roman" w:cs="Tahoma"/>
                <w:szCs w:val="23"/>
              </w:rPr>
            </w:pPr>
            <w:r w:rsidRPr="006C0DD5">
              <w:rPr>
                <w:rFonts w:eastAsia="Times New Roman" w:cs="Tahoma"/>
                <w:szCs w:val="23"/>
              </w:rPr>
              <w:t>Other ID#</w:t>
            </w:r>
          </w:p>
        </w:tc>
        <w:tc>
          <w:tcPr>
            <w:tcW w:w="5958" w:type="dxa"/>
            <w:shd w:val="clear" w:color="000000" w:fill="F8CBAD"/>
            <w:vAlign w:val="center"/>
            <w:hideMark/>
          </w:tcPr>
          <w:p w14:paraId="6A00C850" w14:textId="48089AF8" w:rsidR="00DE37D9" w:rsidRPr="006C0DD5" w:rsidRDefault="00DE37D9" w:rsidP="00E9415C">
            <w:pPr>
              <w:jc w:val="left"/>
              <w:rPr>
                <w:rFonts w:eastAsia="Times New Roman" w:cs="Tahoma"/>
                <w:szCs w:val="23"/>
              </w:rPr>
            </w:pPr>
            <w:r w:rsidRPr="006C0DD5">
              <w:rPr>
                <w:rFonts w:eastAsia="Times New Roman" w:cs="Tahoma"/>
                <w:szCs w:val="23"/>
              </w:rPr>
              <w:t xml:space="preserve">Enter number. A provider taxonomy code must be reported if providers have one </w:t>
            </w:r>
            <w:r w:rsidR="00B62A28" w:rsidRPr="006C0DD5">
              <w:rPr>
                <w:rFonts w:eastAsia="Times New Roman" w:cs="Tahoma"/>
                <w:szCs w:val="23"/>
              </w:rPr>
              <w:t xml:space="preserve">(1) </w:t>
            </w:r>
            <w:r w:rsidRPr="006C0DD5">
              <w:rPr>
                <w:rFonts w:eastAsia="Times New Roman" w:cs="Tahoma"/>
                <w:szCs w:val="23"/>
              </w:rPr>
              <w:t>NPI for multiple legacy MO HealthNet provider numbers.</w:t>
            </w:r>
          </w:p>
        </w:tc>
      </w:tr>
      <w:tr w:rsidR="00DE37D9" w:rsidRPr="00DE37D9" w14:paraId="1428250E" w14:textId="77777777" w:rsidTr="006C0DD5">
        <w:trPr>
          <w:cantSplit/>
          <w:trHeight w:val="570"/>
        </w:trPr>
        <w:tc>
          <w:tcPr>
            <w:tcW w:w="1263" w:type="dxa"/>
            <w:shd w:val="clear" w:color="000000" w:fill="FCE4D6"/>
            <w:vAlign w:val="center"/>
            <w:hideMark/>
          </w:tcPr>
          <w:p w14:paraId="2DE4400D" w14:textId="3D4AC7D4" w:rsidR="00DE37D9" w:rsidRPr="006C0DD5" w:rsidRDefault="008042D8" w:rsidP="00716031">
            <w:pPr>
              <w:jc w:val="center"/>
              <w:rPr>
                <w:rFonts w:eastAsia="Times New Roman" w:cs="Tahoma"/>
                <w:szCs w:val="23"/>
              </w:rPr>
            </w:pPr>
            <w:r w:rsidRPr="006C0DD5">
              <w:rPr>
                <w:rFonts w:eastAsia="Times New Roman" w:cs="Tahoma"/>
                <w:szCs w:val="23"/>
              </w:rPr>
              <w:t>33*</w:t>
            </w:r>
          </w:p>
        </w:tc>
        <w:tc>
          <w:tcPr>
            <w:tcW w:w="3147" w:type="dxa"/>
            <w:shd w:val="clear" w:color="000000" w:fill="FCE4D6"/>
            <w:vAlign w:val="center"/>
            <w:hideMark/>
          </w:tcPr>
          <w:p w14:paraId="2879F9FB" w14:textId="77777777" w:rsidR="00DE37D9" w:rsidRPr="006C0DD5" w:rsidRDefault="00DE37D9" w:rsidP="00E9415C">
            <w:pPr>
              <w:jc w:val="left"/>
              <w:rPr>
                <w:rFonts w:eastAsia="Times New Roman" w:cs="Tahoma"/>
                <w:szCs w:val="23"/>
              </w:rPr>
            </w:pPr>
            <w:r w:rsidRPr="006C0DD5">
              <w:rPr>
                <w:rFonts w:eastAsia="Times New Roman" w:cs="Tahoma"/>
                <w:szCs w:val="23"/>
              </w:rPr>
              <w:t>Billing Provider Info &amp; Phone</w:t>
            </w:r>
          </w:p>
        </w:tc>
        <w:tc>
          <w:tcPr>
            <w:tcW w:w="5958" w:type="dxa"/>
            <w:shd w:val="clear" w:color="000000" w:fill="FCE4D6"/>
            <w:vAlign w:val="center"/>
            <w:hideMark/>
          </w:tcPr>
          <w:p w14:paraId="6A77E20E" w14:textId="73802668" w:rsidR="00DE37D9" w:rsidRPr="006C0DD5" w:rsidRDefault="00DE37D9" w:rsidP="00E9415C">
            <w:pPr>
              <w:jc w:val="left"/>
              <w:rPr>
                <w:rFonts w:eastAsia="Times New Roman" w:cs="Tahoma"/>
                <w:szCs w:val="23"/>
              </w:rPr>
            </w:pPr>
            <w:r w:rsidRPr="006C0DD5">
              <w:rPr>
                <w:rFonts w:eastAsia="Times New Roman" w:cs="Tahoma"/>
                <w:szCs w:val="23"/>
              </w:rPr>
              <w:t>Provider Name, Number</w:t>
            </w:r>
            <w:r w:rsidR="004143B0">
              <w:rPr>
                <w:rFonts w:eastAsia="Times New Roman" w:cs="Tahoma"/>
                <w:szCs w:val="23"/>
              </w:rPr>
              <w:t>,</w:t>
            </w:r>
            <w:r w:rsidRPr="006C0DD5">
              <w:rPr>
                <w:rFonts w:eastAsia="Times New Roman" w:cs="Tahoma"/>
                <w:szCs w:val="23"/>
              </w:rPr>
              <w:t xml:space="preserve"> and Address </w:t>
            </w:r>
          </w:p>
        </w:tc>
      </w:tr>
      <w:tr w:rsidR="00DE37D9" w:rsidRPr="00DE37D9" w14:paraId="54A91C00" w14:textId="77777777" w:rsidTr="006C0DD5">
        <w:trPr>
          <w:cantSplit/>
          <w:trHeight w:val="300"/>
        </w:trPr>
        <w:tc>
          <w:tcPr>
            <w:tcW w:w="1263" w:type="dxa"/>
            <w:shd w:val="clear" w:color="000000" w:fill="F8CBAD"/>
            <w:vAlign w:val="center"/>
            <w:hideMark/>
          </w:tcPr>
          <w:p w14:paraId="63224820" w14:textId="44694E53" w:rsidR="00DE37D9" w:rsidRPr="006C0DD5" w:rsidRDefault="008042D8" w:rsidP="00716031">
            <w:pPr>
              <w:jc w:val="center"/>
              <w:rPr>
                <w:rFonts w:eastAsia="Times New Roman" w:cs="Tahoma"/>
                <w:szCs w:val="23"/>
              </w:rPr>
            </w:pPr>
            <w:r w:rsidRPr="006C0DD5">
              <w:rPr>
                <w:rFonts w:eastAsia="Times New Roman" w:cs="Tahoma"/>
                <w:szCs w:val="23"/>
              </w:rPr>
              <w:t>33a**</w:t>
            </w:r>
          </w:p>
        </w:tc>
        <w:tc>
          <w:tcPr>
            <w:tcW w:w="3147" w:type="dxa"/>
            <w:shd w:val="clear" w:color="000000" w:fill="F8CBAD"/>
            <w:vAlign w:val="center"/>
            <w:hideMark/>
          </w:tcPr>
          <w:p w14:paraId="3535DCC0" w14:textId="77777777" w:rsidR="00DE37D9" w:rsidRPr="006C0DD5" w:rsidRDefault="00DE37D9" w:rsidP="00E9415C">
            <w:pPr>
              <w:jc w:val="left"/>
              <w:rPr>
                <w:rFonts w:eastAsia="Times New Roman" w:cs="Tahoma"/>
                <w:szCs w:val="23"/>
              </w:rPr>
            </w:pPr>
            <w:r w:rsidRPr="006C0DD5">
              <w:rPr>
                <w:rFonts w:eastAsia="Times New Roman" w:cs="Tahoma"/>
                <w:szCs w:val="23"/>
              </w:rPr>
              <w:t>NPI #</w:t>
            </w:r>
          </w:p>
        </w:tc>
        <w:tc>
          <w:tcPr>
            <w:tcW w:w="5958" w:type="dxa"/>
            <w:shd w:val="clear" w:color="000000" w:fill="F8CBAD"/>
            <w:vAlign w:val="center"/>
            <w:hideMark/>
          </w:tcPr>
          <w:p w14:paraId="6E628584" w14:textId="01D49000" w:rsidR="00DE37D9" w:rsidRPr="006C0DD5" w:rsidRDefault="00DE37D9" w:rsidP="00E9415C">
            <w:pPr>
              <w:jc w:val="left"/>
              <w:rPr>
                <w:rFonts w:eastAsia="Times New Roman" w:cs="Tahoma"/>
                <w:szCs w:val="23"/>
              </w:rPr>
            </w:pPr>
            <w:r w:rsidRPr="006C0DD5">
              <w:rPr>
                <w:rFonts w:eastAsia="Times New Roman" w:cs="Tahoma"/>
                <w:szCs w:val="23"/>
              </w:rPr>
              <w:t>Enter the NPI number of the billing provider in Field 33</w:t>
            </w:r>
          </w:p>
        </w:tc>
      </w:tr>
      <w:tr w:rsidR="00DE37D9" w:rsidRPr="00DE37D9" w14:paraId="3FAD3894" w14:textId="77777777" w:rsidTr="006C0DD5">
        <w:trPr>
          <w:cantSplit/>
          <w:trHeight w:val="300"/>
        </w:trPr>
        <w:tc>
          <w:tcPr>
            <w:tcW w:w="1263" w:type="dxa"/>
            <w:shd w:val="clear" w:color="000000" w:fill="FCE4D6"/>
            <w:vAlign w:val="center"/>
            <w:hideMark/>
          </w:tcPr>
          <w:p w14:paraId="76A4205C" w14:textId="7900F6BF" w:rsidR="00DE37D9" w:rsidRPr="006C0DD5" w:rsidRDefault="008042D8" w:rsidP="00716031">
            <w:pPr>
              <w:jc w:val="center"/>
              <w:rPr>
                <w:rFonts w:eastAsia="Times New Roman" w:cs="Tahoma"/>
                <w:szCs w:val="23"/>
              </w:rPr>
            </w:pPr>
            <w:r w:rsidRPr="006C0DD5">
              <w:rPr>
                <w:rFonts w:eastAsia="Times New Roman" w:cs="Tahoma"/>
                <w:szCs w:val="23"/>
              </w:rPr>
              <w:t>33b**</w:t>
            </w:r>
          </w:p>
        </w:tc>
        <w:tc>
          <w:tcPr>
            <w:tcW w:w="3147" w:type="dxa"/>
            <w:shd w:val="clear" w:color="000000" w:fill="FCE4D6"/>
            <w:vAlign w:val="center"/>
            <w:hideMark/>
          </w:tcPr>
          <w:p w14:paraId="117A6D00" w14:textId="77777777" w:rsidR="00DE37D9" w:rsidRPr="006C0DD5" w:rsidRDefault="00DE37D9" w:rsidP="00E9415C">
            <w:pPr>
              <w:jc w:val="left"/>
              <w:rPr>
                <w:rFonts w:eastAsia="Times New Roman" w:cs="Tahoma"/>
                <w:szCs w:val="23"/>
              </w:rPr>
            </w:pPr>
            <w:r w:rsidRPr="006C0DD5">
              <w:rPr>
                <w:rFonts w:eastAsia="Times New Roman" w:cs="Tahoma"/>
                <w:szCs w:val="23"/>
              </w:rPr>
              <w:t>Other ID #</w:t>
            </w:r>
          </w:p>
        </w:tc>
        <w:tc>
          <w:tcPr>
            <w:tcW w:w="5958" w:type="dxa"/>
            <w:shd w:val="clear" w:color="000000" w:fill="FCE4D6"/>
            <w:vAlign w:val="center"/>
            <w:hideMark/>
          </w:tcPr>
          <w:p w14:paraId="20B44AFB" w14:textId="52A50D71" w:rsidR="00DE37D9" w:rsidRPr="006C0DD5" w:rsidRDefault="00DE37D9" w:rsidP="00E9415C">
            <w:pPr>
              <w:jc w:val="left"/>
              <w:rPr>
                <w:rFonts w:eastAsia="Times New Roman" w:cs="Tahoma"/>
                <w:szCs w:val="23"/>
              </w:rPr>
            </w:pPr>
            <w:r w:rsidRPr="006C0DD5">
              <w:rPr>
                <w:rFonts w:eastAsia="Times New Roman" w:cs="Tahoma"/>
                <w:szCs w:val="23"/>
              </w:rPr>
              <w:t>Enter number</w:t>
            </w:r>
          </w:p>
        </w:tc>
      </w:tr>
    </w:tbl>
    <w:p w14:paraId="37A142B5" w14:textId="032ADF1B" w:rsidR="006977DD" w:rsidRPr="006C0DD5" w:rsidRDefault="00CC2BD6" w:rsidP="006C0DD5">
      <w:pPr>
        <w:pStyle w:val="Heading3"/>
        <w:rPr>
          <w:b w:val="0"/>
        </w:rPr>
      </w:pPr>
      <w:bookmarkStart w:id="52" w:name="_Toc228793583"/>
      <w:r w:rsidRPr="006C0DD5">
        <w:t>4.</w:t>
      </w:r>
      <w:r w:rsidR="001D61AC" w:rsidRPr="006C0DD5">
        <w:t>4</w:t>
      </w:r>
      <w:r w:rsidRPr="006C0DD5">
        <w:t xml:space="preserve"> Resubmission of Claims</w:t>
      </w:r>
      <w:bookmarkEnd w:id="52"/>
    </w:p>
    <w:p w14:paraId="54064652" w14:textId="217A33A7" w:rsidR="001C72C6" w:rsidRPr="00725467" w:rsidRDefault="006977DD" w:rsidP="00D0464D">
      <w:r w:rsidRPr="00725467">
        <w:t>Any line item on a claim that resulted in a zero</w:t>
      </w:r>
      <w:r w:rsidR="004143B0">
        <w:t xml:space="preserve"> (0)</w:t>
      </w:r>
      <w:r w:rsidRPr="00725467">
        <w:t xml:space="preserve"> payment can be resubmitted if it denied due to a correctable error. The error that caused the claim to </w:t>
      </w:r>
      <w:r w:rsidR="00873248" w:rsidRPr="00725467">
        <w:t>be denied</w:t>
      </w:r>
      <w:r w:rsidRPr="00725467">
        <w:t xml:space="preserve"> </w:t>
      </w:r>
      <w:r w:rsidRPr="00725467">
        <w:rPr>
          <w:iCs/>
        </w:rPr>
        <w:t>must</w:t>
      </w:r>
      <w:r w:rsidRPr="00725467">
        <w:t xml:space="preserve"> be corrected before resubmitting the claim. The provider may resubmit electronically or on a </w:t>
      </w:r>
      <w:hyperlink r:id="rId61" w:history="1">
        <w:r w:rsidRPr="006C0DD5">
          <w:rPr>
            <w:rStyle w:val="Hyperlink"/>
          </w:rPr>
          <w:t>CMS-1500 claim form</w:t>
        </w:r>
      </w:hyperlink>
      <w:r w:rsidRPr="006977DD">
        <w:t xml:space="preserve">. </w:t>
      </w:r>
      <w:r w:rsidRPr="00725467">
        <w:t>If a line item on a claim paid but the payment was incorrect</w:t>
      </w:r>
      <w:r w:rsidR="00D22DB8" w:rsidRPr="00725467">
        <w:t>,</w:t>
      </w:r>
      <w:r w:rsidRPr="00725467">
        <w:t xml:space="preserve"> do </w:t>
      </w:r>
      <w:r w:rsidRPr="00725467">
        <w:rPr>
          <w:iCs/>
        </w:rPr>
        <w:t>not</w:t>
      </w:r>
      <w:r w:rsidRPr="00725467">
        <w:t xml:space="preserve"> resubmit that line item. For instance, if a provider bills the incorrect amount for a service, the claim </w:t>
      </w:r>
      <w:r w:rsidRPr="00725467">
        <w:rPr>
          <w:iCs/>
        </w:rPr>
        <w:t>cannot</w:t>
      </w:r>
      <w:r w:rsidRPr="00725467">
        <w:t xml:space="preserve"> be resubmitted. It will </w:t>
      </w:r>
      <w:r w:rsidR="00873248" w:rsidRPr="00725467">
        <w:t>deny it</w:t>
      </w:r>
      <w:r w:rsidRPr="00725467">
        <w:t xml:space="preserve"> as a duplicate. </w:t>
      </w:r>
      <w:r w:rsidR="00D22DB8" w:rsidRPr="00725467">
        <w:t>Refer to t</w:t>
      </w:r>
      <w:r w:rsidR="00CC2BD6" w:rsidRPr="00725467">
        <w:t xml:space="preserve">he </w:t>
      </w:r>
      <w:hyperlink r:id="rId62" w:history="1">
        <w:r w:rsidR="00CC2BD6" w:rsidRPr="006C0DD5">
          <w:rPr>
            <w:rStyle w:val="Hyperlink"/>
          </w:rPr>
          <w:t xml:space="preserve">General </w:t>
        </w:r>
        <w:r w:rsidR="0007784B" w:rsidRPr="006C0DD5">
          <w:rPr>
            <w:rStyle w:val="Hyperlink"/>
          </w:rPr>
          <w:t xml:space="preserve">Sections </w:t>
        </w:r>
        <w:r w:rsidR="00CC2BD6" w:rsidRPr="006C0DD5">
          <w:rPr>
            <w:rStyle w:val="Hyperlink"/>
          </w:rPr>
          <w:t>Manual</w:t>
        </w:r>
      </w:hyperlink>
      <w:r w:rsidR="00CC2BD6" w:rsidRPr="006C0DD5">
        <w:rPr>
          <w:color w:val="04427D"/>
        </w:rPr>
        <w:t xml:space="preserve"> </w:t>
      </w:r>
      <w:r w:rsidR="00D22DB8" w:rsidRPr="00725467">
        <w:t xml:space="preserve">for more information on </w:t>
      </w:r>
      <w:r w:rsidR="00CC2BD6" w:rsidRPr="00725467">
        <w:t>the adjustment request process.</w:t>
      </w:r>
    </w:p>
    <w:p w14:paraId="6715A65D" w14:textId="467B91EB" w:rsidR="006977DD" w:rsidRPr="006C0DD5" w:rsidRDefault="00DE37D9" w:rsidP="006C0DD5">
      <w:pPr>
        <w:pStyle w:val="Heading3"/>
      </w:pPr>
      <w:bookmarkStart w:id="53" w:name="_Toc228793584"/>
      <w:r w:rsidRPr="006C0DD5">
        <w:t>4</w:t>
      </w:r>
      <w:r w:rsidR="006977DD" w:rsidRPr="006C0DD5">
        <w:t>.</w:t>
      </w:r>
      <w:r w:rsidRPr="006C0DD5">
        <w:t>5 Place of Service Codes</w:t>
      </w:r>
      <w:bookmarkEnd w:id="53"/>
    </w:p>
    <w:p w14:paraId="25D90172" w14:textId="697E41BE" w:rsidR="004143B0" w:rsidRDefault="004143B0" w:rsidP="00D0464D">
      <w:r>
        <w:t xml:space="preserve">ILW services should be provided at the following POS’. Refer to the </w:t>
      </w:r>
      <w:hyperlink r:id="rId63" w:history="1">
        <w:r w:rsidRPr="006C0DD5">
          <w:rPr>
            <w:rStyle w:val="Hyperlink"/>
          </w:rPr>
          <w:t>General Sections Manual</w:t>
        </w:r>
      </w:hyperlink>
      <w:r w:rsidRPr="006C0DD5">
        <w:rPr>
          <w:rStyle w:val="Hyperlink"/>
        </w:rPr>
        <w:t xml:space="preserve"> </w:t>
      </w:r>
      <w:r>
        <w:t xml:space="preserve">for more information on POS codes. </w:t>
      </w:r>
    </w:p>
    <w:p w14:paraId="753C7F51" w14:textId="77777777" w:rsidR="00FB4B39" w:rsidRPr="006C0DD5" w:rsidRDefault="00FB4B39" w:rsidP="00D0464D"/>
    <w:tbl>
      <w:tblPr>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59"/>
        <w:gridCol w:w="2791"/>
        <w:gridCol w:w="6030"/>
      </w:tblGrid>
      <w:tr w:rsidR="00DE37D9" w:rsidRPr="00DE37D9" w14:paraId="264AB0C5" w14:textId="77777777" w:rsidTr="006C0DD5">
        <w:trPr>
          <w:trHeight w:val="330"/>
        </w:trPr>
        <w:tc>
          <w:tcPr>
            <w:tcW w:w="1259" w:type="dxa"/>
            <w:shd w:val="clear" w:color="auto" w:fill="04427D"/>
            <w:vAlign w:val="center"/>
            <w:hideMark/>
          </w:tcPr>
          <w:p w14:paraId="22DC5428" w14:textId="77777777" w:rsidR="00DE37D9" w:rsidRPr="00DE37D9" w:rsidRDefault="00DE37D9" w:rsidP="00716031">
            <w:pPr>
              <w:jc w:val="center"/>
              <w:rPr>
                <w:rFonts w:eastAsia="Times New Roman" w:cs="Tahoma"/>
                <w:b/>
                <w:bCs/>
                <w:color w:val="FFFFFF"/>
                <w:sz w:val="26"/>
                <w:szCs w:val="26"/>
              </w:rPr>
            </w:pPr>
            <w:r w:rsidRPr="00DE37D9">
              <w:rPr>
                <w:rFonts w:eastAsia="Times New Roman" w:cs="Tahoma"/>
                <w:b/>
                <w:bCs/>
                <w:color w:val="FFFFFF"/>
                <w:sz w:val="26"/>
                <w:szCs w:val="26"/>
              </w:rPr>
              <w:t>Code</w:t>
            </w:r>
          </w:p>
        </w:tc>
        <w:tc>
          <w:tcPr>
            <w:tcW w:w="2791" w:type="dxa"/>
            <w:shd w:val="clear" w:color="auto" w:fill="04427D"/>
            <w:vAlign w:val="center"/>
            <w:hideMark/>
          </w:tcPr>
          <w:p w14:paraId="79954E81" w14:textId="77777777" w:rsidR="00DE37D9" w:rsidRPr="00DE37D9" w:rsidRDefault="00DE37D9" w:rsidP="00716031">
            <w:pPr>
              <w:jc w:val="center"/>
              <w:rPr>
                <w:rFonts w:eastAsia="Times New Roman" w:cs="Tahoma"/>
                <w:b/>
                <w:bCs/>
                <w:color w:val="FFFFFF"/>
                <w:sz w:val="26"/>
                <w:szCs w:val="26"/>
              </w:rPr>
            </w:pPr>
            <w:r w:rsidRPr="00DE37D9">
              <w:rPr>
                <w:rFonts w:eastAsia="Times New Roman" w:cs="Tahoma"/>
                <w:b/>
                <w:bCs/>
                <w:color w:val="FFFFFF"/>
                <w:sz w:val="26"/>
                <w:szCs w:val="26"/>
              </w:rPr>
              <w:t>Description</w:t>
            </w:r>
          </w:p>
        </w:tc>
        <w:tc>
          <w:tcPr>
            <w:tcW w:w="6030" w:type="dxa"/>
            <w:shd w:val="clear" w:color="auto" w:fill="04427D"/>
            <w:vAlign w:val="center"/>
            <w:hideMark/>
          </w:tcPr>
          <w:p w14:paraId="6FF1B21B" w14:textId="3B2B86FD" w:rsidR="00DE37D9" w:rsidRPr="00DE37D9" w:rsidRDefault="00DE37D9" w:rsidP="00716031">
            <w:pPr>
              <w:jc w:val="center"/>
              <w:rPr>
                <w:rFonts w:eastAsia="Times New Roman" w:cs="Tahoma"/>
                <w:b/>
                <w:bCs/>
                <w:color w:val="FFFFFF"/>
                <w:sz w:val="26"/>
                <w:szCs w:val="26"/>
              </w:rPr>
            </w:pPr>
            <w:r w:rsidRPr="00DE37D9">
              <w:rPr>
                <w:rFonts w:eastAsia="Times New Roman" w:cs="Tahoma"/>
                <w:b/>
                <w:bCs/>
                <w:color w:val="FFFFFF"/>
                <w:sz w:val="26"/>
                <w:szCs w:val="26"/>
              </w:rPr>
              <w:t>Definition</w:t>
            </w:r>
          </w:p>
        </w:tc>
      </w:tr>
      <w:tr w:rsidR="00DE37D9" w:rsidRPr="00DE37D9" w14:paraId="2FBF8885" w14:textId="77777777" w:rsidTr="006C0DD5">
        <w:trPr>
          <w:trHeight w:val="645"/>
        </w:trPr>
        <w:tc>
          <w:tcPr>
            <w:tcW w:w="1259" w:type="dxa"/>
            <w:shd w:val="clear" w:color="F8CBAD" w:fill="F8CBAD"/>
            <w:vAlign w:val="center"/>
            <w:hideMark/>
          </w:tcPr>
          <w:p w14:paraId="1A6C2BE4" w14:textId="77777777" w:rsidR="00DE37D9" w:rsidRPr="00DE37D9" w:rsidRDefault="00DE37D9" w:rsidP="00716031">
            <w:pPr>
              <w:jc w:val="center"/>
              <w:rPr>
                <w:rFonts w:eastAsia="Times New Roman" w:cs="Tahoma"/>
                <w:color w:val="000000"/>
                <w:szCs w:val="23"/>
              </w:rPr>
            </w:pPr>
            <w:r w:rsidRPr="00DE37D9">
              <w:rPr>
                <w:rFonts w:eastAsia="Times New Roman" w:cs="Tahoma"/>
                <w:color w:val="000000"/>
                <w:szCs w:val="23"/>
              </w:rPr>
              <w:t>12</w:t>
            </w:r>
          </w:p>
        </w:tc>
        <w:tc>
          <w:tcPr>
            <w:tcW w:w="2791" w:type="dxa"/>
            <w:shd w:val="clear" w:color="F8CBAD" w:fill="F8CBAD"/>
            <w:vAlign w:val="center"/>
            <w:hideMark/>
          </w:tcPr>
          <w:p w14:paraId="42DC97C1" w14:textId="77777777" w:rsidR="00DE37D9" w:rsidRPr="00DE37D9" w:rsidRDefault="00DE37D9" w:rsidP="00716031">
            <w:pPr>
              <w:rPr>
                <w:rFonts w:eastAsia="Times New Roman" w:cs="Tahoma"/>
                <w:color w:val="000000"/>
                <w:szCs w:val="23"/>
              </w:rPr>
            </w:pPr>
            <w:r w:rsidRPr="00DE37D9">
              <w:rPr>
                <w:rFonts w:eastAsia="Times New Roman" w:cs="Tahoma"/>
                <w:color w:val="000000"/>
                <w:szCs w:val="23"/>
              </w:rPr>
              <w:t>Home</w:t>
            </w:r>
          </w:p>
        </w:tc>
        <w:tc>
          <w:tcPr>
            <w:tcW w:w="6030" w:type="dxa"/>
            <w:shd w:val="clear" w:color="F8CBAD" w:fill="F8CBAD"/>
            <w:vAlign w:val="center"/>
            <w:hideMark/>
          </w:tcPr>
          <w:p w14:paraId="23B69D5C" w14:textId="4F4BCFD6" w:rsidR="00DE37D9" w:rsidRPr="00DE37D9" w:rsidRDefault="00DE37D9" w:rsidP="00716031">
            <w:pPr>
              <w:rPr>
                <w:rFonts w:eastAsia="Times New Roman" w:cs="Tahoma"/>
                <w:color w:val="000000"/>
                <w:szCs w:val="23"/>
              </w:rPr>
            </w:pPr>
            <w:r w:rsidRPr="00DE37D9">
              <w:rPr>
                <w:rFonts w:eastAsia="Times New Roman" w:cs="Tahoma"/>
                <w:color w:val="000000"/>
                <w:szCs w:val="23"/>
              </w:rPr>
              <w:t xml:space="preserve">Location, other than a hospital or other facility, where the patient receives care in a private residence </w:t>
            </w:r>
          </w:p>
        </w:tc>
      </w:tr>
      <w:tr w:rsidR="00DE37D9" w:rsidRPr="00DE37D9" w14:paraId="524D9B63" w14:textId="77777777" w:rsidTr="006C0DD5">
        <w:trPr>
          <w:trHeight w:val="440"/>
        </w:trPr>
        <w:tc>
          <w:tcPr>
            <w:tcW w:w="1259" w:type="dxa"/>
            <w:shd w:val="clear" w:color="FCE4D6" w:fill="FCE4D6"/>
            <w:vAlign w:val="center"/>
            <w:hideMark/>
          </w:tcPr>
          <w:p w14:paraId="61E535B3" w14:textId="77777777" w:rsidR="00DE37D9" w:rsidRPr="00DE37D9" w:rsidRDefault="00DE37D9" w:rsidP="00716031">
            <w:pPr>
              <w:jc w:val="center"/>
              <w:rPr>
                <w:rFonts w:eastAsia="Times New Roman" w:cs="Tahoma"/>
                <w:color w:val="000000"/>
                <w:szCs w:val="23"/>
              </w:rPr>
            </w:pPr>
            <w:r w:rsidRPr="00DE37D9">
              <w:rPr>
                <w:rFonts w:eastAsia="Times New Roman" w:cs="Tahoma"/>
                <w:color w:val="000000"/>
                <w:szCs w:val="23"/>
              </w:rPr>
              <w:t>99</w:t>
            </w:r>
          </w:p>
        </w:tc>
        <w:tc>
          <w:tcPr>
            <w:tcW w:w="2791" w:type="dxa"/>
            <w:shd w:val="clear" w:color="FCE4D6" w:fill="FCE4D6"/>
            <w:vAlign w:val="center"/>
            <w:hideMark/>
          </w:tcPr>
          <w:p w14:paraId="3149F6A2" w14:textId="77777777" w:rsidR="00DE37D9" w:rsidRPr="00DE37D9" w:rsidRDefault="00DE37D9" w:rsidP="00716031">
            <w:pPr>
              <w:rPr>
                <w:rFonts w:eastAsia="Times New Roman" w:cs="Tahoma"/>
                <w:color w:val="000000"/>
                <w:szCs w:val="23"/>
              </w:rPr>
            </w:pPr>
            <w:r w:rsidRPr="00DE37D9">
              <w:rPr>
                <w:rFonts w:eastAsia="Times New Roman" w:cs="Tahoma"/>
                <w:color w:val="000000"/>
                <w:szCs w:val="23"/>
              </w:rPr>
              <w:t>Other Unlisted Facility</w:t>
            </w:r>
          </w:p>
        </w:tc>
        <w:tc>
          <w:tcPr>
            <w:tcW w:w="6030" w:type="dxa"/>
            <w:shd w:val="clear" w:color="FCE4D6" w:fill="FCE4D6"/>
            <w:vAlign w:val="center"/>
            <w:hideMark/>
          </w:tcPr>
          <w:p w14:paraId="7D878030" w14:textId="1DE07F38" w:rsidR="00DE37D9" w:rsidRPr="00DE37D9" w:rsidRDefault="00DE37D9" w:rsidP="00716031">
            <w:pPr>
              <w:rPr>
                <w:rFonts w:eastAsia="Times New Roman" w:cs="Tahoma"/>
                <w:color w:val="000000"/>
                <w:szCs w:val="23"/>
              </w:rPr>
            </w:pPr>
            <w:r w:rsidRPr="00DE37D9">
              <w:rPr>
                <w:rFonts w:eastAsia="Times New Roman" w:cs="Tahoma"/>
                <w:color w:val="000000"/>
                <w:szCs w:val="23"/>
              </w:rPr>
              <w:t xml:space="preserve">Other </w:t>
            </w:r>
            <w:r w:rsidR="00873248" w:rsidRPr="00DE37D9">
              <w:rPr>
                <w:rFonts w:eastAsia="Times New Roman" w:cs="Tahoma"/>
                <w:color w:val="000000"/>
                <w:szCs w:val="23"/>
              </w:rPr>
              <w:t>places</w:t>
            </w:r>
            <w:r w:rsidRPr="00DE37D9">
              <w:rPr>
                <w:rFonts w:eastAsia="Times New Roman" w:cs="Tahoma"/>
                <w:color w:val="000000"/>
                <w:szCs w:val="23"/>
              </w:rPr>
              <w:t xml:space="preserve"> of service not identified</w:t>
            </w:r>
          </w:p>
        </w:tc>
      </w:tr>
    </w:tbl>
    <w:p w14:paraId="7E177668" w14:textId="3F672DA8" w:rsidR="00073C66" w:rsidRDefault="00DE37D9" w:rsidP="006C0DD5">
      <w:pPr>
        <w:pStyle w:val="Heading3"/>
      </w:pPr>
      <w:bookmarkStart w:id="54" w:name="_Toc228793585"/>
      <w:r>
        <w:t>4</w:t>
      </w:r>
      <w:r w:rsidR="006977DD" w:rsidRPr="00DE37D9">
        <w:t>.</w:t>
      </w:r>
      <w:r>
        <w:t xml:space="preserve">6 </w:t>
      </w:r>
      <w:r w:rsidR="00AF3248" w:rsidRPr="00DE37D9">
        <w:t>Insurance Coverage</w:t>
      </w:r>
      <w:bookmarkEnd w:id="54"/>
      <w:r w:rsidR="00AF3248" w:rsidRPr="00DE37D9">
        <w:t xml:space="preserve"> </w:t>
      </w:r>
      <w:r w:rsidR="00073C66">
        <w:t xml:space="preserve"> </w:t>
      </w:r>
    </w:p>
    <w:p w14:paraId="35649044" w14:textId="0FB4CF4A" w:rsidR="005000C0" w:rsidRPr="005000C0" w:rsidRDefault="00D06FC5" w:rsidP="00D0464D">
      <w:pPr>
        <w:rPr>
          <w:b/>
        </w:rPr>
      </w:pPr>
      <w:r w:rsidRPr="00725467">
        <w:t xml:space="preserve">Participant eligibility and TPL information may be verified </w:t>
      </w:r>
      <w:r w:rsidR="00B04759" w:rsidRPr="00725467">
        <w:t>via</w:t>
      </w:r>
      <w:r w:rsidR="00B04759" w:rsidRPr="006C0DD5">
        <w:rPr>
          <w:b/>
        </w:rPr>
        <w:t xml:space="preserve"> </w:t>
      </w:r>
      <w:hyperlink r:id="rId64" w:history="1">
        <w:r w:rsidR="0049083F" w:rsidRPr="00FD7701">
          <w:rPr>
            <w:rStyle w:val="Hyperlink"/>
          </w:rPr>
          <w:t>eMOMED</w:t>
        </w:r>
      </w:hyperlink>
      <w:r w:rsidR="0049083F" w:rsidRPr="0049083F">
        <w:rPr>
          <w:rStyle w:val="Hyperlink"/>
          <w:u w:val="none"/>
        </w:rPr>
        <w:t xml:space="preserve"> </w:t>
      </w:r>
      <w:r w:rsidR="00EE120C" w:rsidRPr="00725467">
        <w:t xml:space="preserve">or </w:t>
      </w:r>
      <w:r w:rsidR="0049083F">
        <w:t>by calling Provider Communications at</w:t>
      </w:r>
      <w:r w:rsidRPr="00725467">
        <w:t xml:space="preserve"> (573) 751</w:t>
      </w:r>
      <w:r w:rsidR="00B04759" w:rsidRPr="00725467">
        <w:t>-</w:t>
      </w:r>
      <w:r w:rsidRPr="00725467">
        <w:t>2896</w:t>
      </w:r>
      <w:r w:rsidR="0049083F">
        <w:t xml:space="preserve"> or toll-free (833) 222-7916</w:t>
      </w:r>
      <w:r w:rsidRPr="00725467">
        <w:t xml:space="preserve">. Participants must always be asked if they have third party insurance regardless of the TPL information given by </w:t>
      </w:r>
      <w:r w:rsidR="0049083F">
        <w:t>Provider Communications</w:t>
      </w:r>
      <w:r w:rsidRPr="00725467">
        <w:t xml:space="preserve"> or</w:t>
      </w:r>
      <w:r w:rsidRPr="00DC1067">
        <w:t xml:space="preserve"> </w:t>
      </w:r>
      <w:hyperlink r:id="rId65" w:history="1">
        <w:r w:rsidR="0049083F" w:rsidRPr="00FD7701">
          <w:rPr>
            <w:rStyle w:val="Hyperlink"/>
          </w:rPr>
          <w:t>eMOMED</w:t>
        </w:r>
      </w:hyperlink>
      <w:r w:rsidRPr="00DC1067">
        <w:t xml:space="preserve">. </w:t>
      </w:r>
      <w:r w:rsidRPr="00725467">
        <w:t xml:space="preserve">It is the provider’s responsibility to obtain from the patient the name and address of the insurance company, the policy number and the type of coverage. For additional TPL information, refer to the </w:t>
      </w:r>
      <w:hyperlink r:id="rId66" w:history="1">
        <w:r w:rsidR="00DC1067" w:rsidRPr="006C0DD5">
          <w:rPr>
            <w:rStyle w:val="Hyperlink"/>
          </w:rPr>
          <w:t>General Sections Manual</w:t>
        </w:r>
      </w:hyperlink>
      <w:r w:rsidRPr="006C0DD5">
        <w:rPr>
          <w:color w:val="04427D"/>
        </w:rPr>
        <w:t>.</w:t>
      </w:r>
    </w:p>
    <w:p w14:paraId="0F39F27A" w14:textId="1B69656C" w:rsidR="006977DD" w:rsidRPr="006C0DD5" w:rsidRDefault="0049598B" w:rsidP="00F654EB">
      <w:pPr>
        <w:pStyle w:val="Heading3"/>
      </w:pPr>
      <w:bookmarkStart w:id="55" w:name="_Toc228793586"/>
      <w:r w:rsidRPr="006C0DD5">
        <w:t>4</w:t>
      </w:r>
      <w:r w:rsidR="006977DD" w:rsidRPr="006C0DD5">
        <w:t>.</w:t>
      </w:r>
      <w:r w:rsidRPr="006C0DD5">
        <w:t>7</w:t>
      </w:r>
      <w:r w:rsidR="006977DD" w:rsidRPr="006C0DD5">
        <w:t xml:space="preserve"> Diagnosis Codes</w:t>
      </w:r>
      <w:bookmarkEnd w:id="55"/>
    </w:p>
    <w:p w14:paraId="571728F4" w14:textId="2484EE34" w:rsidR="006977DD" w:rsidRPr="00725467" w:rsidRDefault="006977DD" w:rsidP="00D0464D">
      <w:r w:rsidRPr="00725467">
        <w:t xml:space="preserve">The diagnosis code </w:t>
      </w:r>
      <w:r w:rsidR="00456705" w:rsidRPr="00725467">
        <w:t xml:space="preserve">is a required field on the claim </w:t>
      </w:r>
      <w:r w:rsidR="00FB4B39" w:rsidRPr="00725467">
        <w:t>form and</w:t>
      </w:r>
      <w:r w:rsidR="00456705" w:rsidRPr="00725467">
        <w:t xml:space="preserve"> </w:t>
      </w:r>
      <w:r w:rsidRPr="00725467">
        <w:rPr>
          <w:iCs/>
        </w:rPr>
        <w:t>must</w:t>
      </w:r>
      <w:r w:rsidRPr="00725467">
        <w:rPr>
          <w:i/>
        </w:rPr>
        <w:t xml:space="preserve"> </w:t>
      </w:r>
      <w:r w:rsidRPr="00725467">
        <w:t xml:space="preserve">be entered on the claim form exactly as it appears in the applicable ICD-CM. </w:t>
      </w:r>
      <w:r w:rsidR="00456705" w:rsidRPr="00725467">
        <w:t>Note that t</w:t>
      </w:r>
      <w:r w:rsidRPr="00725467">
        <w:t xml:space="preserve">he appropriate code(s) may be up to seven (7) characters, depending upon the patient’s diagnosis and applicable ICD code version. </w:t>
      </w:r>
    </w:p>
    <w:p w14:paraId="2E8B0F1B" w14:textId="77777777" w:rsidR="006977DD" w:rsidRPr="00725467" w:rsidRDefault="006977DD" w:rsidP="00D0464D">
      <w:r w:rsidRPr="00725467">
        <w:t xml:space="preserve">Claims may be denied if the applicable version of ICD diagnosis code is not used. The applicable ICD-CM should be used as a guide in the selection of the appropriate diagnosis code. </w:t>
      </w:r>
    </w:p>
    <w:p w14:paraId="27CF38F4" w14:textId="385DB6B4" w:rsidR="006977DD" w:rsidRPr="006977DD" w:rsidRDefault="006977DD" w:rsidP="00D0464D">
      <w:r w:rsidRPr="00725467">
        <w:t xml:space="preserve">Additional information regarding the ICD-CM may be found </w:t>
      </w:r>
      <w:r w:rsidR="0049598B" w:rsidRPr="00725467">
        <w:t>on the</w:t>
      </w:r>
      <w:r w:rsidR="0049598B">
        <w:t xml:space="preserve"> </w:t>
      </w:r>
      <w:hyperlink r:id="rId67" w:history="1">
        <w:r w:rsidR="0049598B" w:rsidRPr="004E5F28">
          <w:rPr>
            <w:rStyle w:val="Hyperlink"/>
          </w:rPr>
          <w:t>CDC websit</w:t>
        </w:r>
        <w:r w:rsidR="0049598B" w:rsidRPr="007A614D">
          <w:rPr>
            <w:rStyle w:val="Hyperlink"/>
          </w:rPr>
          <w:t>e</w:t>
        </w:r>
      </w:hyperlink>
      <w:r w:rsidRPr="006977DD">
        <w:t>.</w:t>
      </w:r>
    </w:p>
    <w:p w14:paraId="7D919C74" w14:textId="6AAAE0D2" w:rsidR="0049598B" w:rsidRPr="006C0DD5" w:rsidRDefault="0049598B" w:rsidP="006C0DD5">
      <w:pPr>
        <w:pStyle w:val="Heading2"/>
      </w:pPr>
      <w:bookmarkStart w:id="56" w:name="_Section_5:_Procedure"/>
      <w:bookmarkStart w:id="57" w:name="_Section_5:_"/>
      <w:bookmarkStart w:id="58" w:name="_Toc228793587"/>
      <w:bookmarkEnd w:id="56"/>
      <w:bookmarkEnd w:id="57"/>
      <w:r w:rsidRPr="006C0DD5">
        <w:t>Section 5</w:t>
      </w:r>
      <w:r w:rsidR="00F10C49" w:rsidRPr="006C0DD5">
        <w:t>:</w:t>
      </w:r>
      <w:r w:rsidR="00AB3F22">
        <w:t xml:space="preserve"> </w:t>
      </w:r>
      <w:r w:rsidRPr="006C0DD5">
        <w:t>Procedure Codes</w:t>
      </w:r>
      <w:bookmarkEnd w:id="58"/>
    </w:p>
    <w:p w14:paraId="562C056D" w14:textId="2285A927" w:rsidR="0049598B" w:rsidRPr="00725467" w:rsidRDefault="0049598B" w:rsidP="00D0464D">
      <w:r w:rsidRPr="00725467">
        <w:t xml:space="preserve">All services listed in this section must be prior authorized for </w:t>
      </w:r>
      <w:r w:rsidR="003159C9" w:rsidRPr="00725467">
        <w:t>Independent Living Waiver (</w:t>
      </w:r>
      <w:r w:rsidR="00327653" w:rsidRPr="00725467">
        <w:t>ILW</w:t>
      </w:r>
      <w:r w:rsidR="003159C9" w:rsidRPr="00725467">
        <w:t>)</w:t>
      </w:r>
      <w:r w:rsidRPr="00725467">
        <w:t xml:space="preserve"> participants by </w:t>
      </w:r>
      <w:r w:rsidR="003159C9" w:rsidRPr="00725467">
        <w:t>the Division of Senior and Disability Services (</w:t>
      </w:r>
      <w:r w:rsidR="00327653" w:rsidRPr="00725467">
        <w:t>DSDS</w:t>
      </w:r>
      <w:r w:rsidR="003159C9" w:rsidRPr="00725467">
        <w:t>)</w:t>
      </w:r>
      <w:r w:rsidR="00327653" w:rsidRPr="00725467">
        <w:t>.</w:t>
      </w:r>
      <w:r w:rsidR="0049083F">
        <w:t xml:space="preserve"> Refer to </w:t>
      </w:r>
      <w:hyperlink w:anchor="_3.1_Requirements" w:history="1">
        <w:r w:rsidR="0049083F" w:rsidRPr="006C0DD5">
          <w:rPr>
            <w:rStyle w:val="Hyperlink"/>
          </w:rPr>
          <w:t>Section 3.1</w:t>
        </w:r>
      </w:hyperlink>
      <w:r w:rsidR="0049083F">
        <w:t xml:space="preserve"> </w:t>
      </w:r>
      <w:r w:rsidR="007A614D">
        <w:t xml:space="preserve">of </w:t>
      </w:r>
      <w:r w:rsidR="0049083F">
        <w:t xml:space="preserve">this manual for more information on prior authorization. </w:t>
      </w:r>
    </w:p>
    <w:p w14:paraId="71D90707" w14:textId="7B05B0A0" w:rsidR="0049598B" w:rsidRPr="00725467" w:rsidRDefault="0049598B" w:rsidP="00D0464D">
      <w:r w:rsidRPr="00725467">
        <w:t xml:space="preserve">Procedure codes used by </w:t>
      </w:r>
      <w:r w:rsidR="003159C9" w:rsidRPr="00725467">
        <w:t xml:space="preserve">the </w:t>
      </w:r>
      <w:r w:rsidRPr="00725467">
        <w:t xml:space="preserve">MO HealthNet </w:t>
      </w:r>
      <w:r w:rsidR="003159C9" w:rsidRPr="00725467">
        <w:t xml:space="preserve">Division (MHD) </w:t>
      </w:r>
      <w:r w:rsidRPr="00725467">
        <w:t xml:space="preserve">are identified as </w:t>
      </w:r>
      <w:r w:rsidR="003159C9" w:rsidRPr="00725467">
        <w:t>Health Care Procedure Coding System (</w:t>
      </w:r>
      <w:r w:rsidRPr="00725467">
        <w:t>HCPCS</w:t>
      </w:r>
      <w:r w:rsidR="003159C9" w:rsidRPr="00725467">
        <w:t>)</w:t>
      </w:r>
      <w:r w:rsidRPr="00725467">
        <w:t xml:space="preserve"> codes. The HCPCS is divided into </w:t>
      </w:r>
      <w:r w:rsidR="00E20C57" w:rsidRPr="00725467">
        <w:t>two (2)</w:t>
      </w:r>
      <w:r w:rsidR="00440E05" w:rsidRPr="00725467">
        <w:t xml:space="preserve"> </w:t>
      </w:r>
      <w:r w:rsidRPr="00725467">
        <w:t xml:space="preserve">subsystems, referred to as </w:t>
      </w:r>
      <w:r w:rsidR="003159C9" w:rsidRPr="00725467">
        <w:t>L</w:t>
      </w:r>
      <w:r w:rsidRPr="00725467">
        <w:t>evel I</w:t>
      </w:r>
      <w:r w:rsidR="00E20C57" w:rsidRPr="00725467">
        <w:t xml:space="preserve"> and </w:t>
      </w:r>
      <w:r w:rsidR="003159C9" w:rsidRPr="00725467">
        <w:t>L</w:t>
      </w:r>
      <w:r w:rsidRPr="00725467">
        <w:t>evel II. Level I is comprised of Current Procedural Terminology (CPT) codes that are used to identify medical services and procedures furnished by physicians and other health care professionals.</w:t>
      </w:r>
      <w:r w:rsidR="0049083F">
        <w:t xml:space="preserve"> </w:t>
      </w:r>
      <w:r w:rsidRPr="00725467">
        <w:t xml:space="preserve">Level II is comprised of the HCPCS National Level II codes that are used primarily to identify products, supplies and services not included in the CPT codes. </w:t>
      </w:r>
    </w:p>
    <w:p w14:paraId="5706B612" w14:textId="0ECC684A" w:rsidR="0049598B" w:rsidRPr="006C0DD5" w:rsidRDefault="0049598B" w:rsidP="00D0464D">
      <w:pPr>
        <w:rPr>
          <w:rStyle w:val="Hyperlink"/>
        </w:rPr>
      </w:pPr>
      <w:r w:rsidRPr="00725467">
        <w:t xml:space="preserve">Reference materials regarding the HCPCS, CPT may be obtained through the </w:t>
      </w:r>
      <w:hyperlink r:id="rId68" w:history="1">
        <w:r w:rsidRPr="006C0DD5">
          <w:rPr>
            <w:rStyle w:val="Hyperlink"/>
          </w:rPr>
          <w:t>American Medical Association</w:t>
        </w:r>
      </w:hyperlink>
      <w:r w:rsidR="003159C9" w:rsidRPr="006C0DD5">
        <w:rPr>
          <w:rStyle w:val="Hyperlink"/>
        </w:rPr>
        <w:t>.</w:t>
      </w:r>
      <w:r w:rsidRPr="006C0DD5">
        <w:rPr>
          <w:rStyle w:val="Hyperlink"/>
        </w:rPr>
        <w:t xml:space="preserve"> </w:t>
      </w:r>
      <w:bookmarkStart w:id="59" w:name="_Toc222046754"/>
    </w:p>
    <w:tbl>
      <w:tblPr>
        <w:tblW w:w="100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9"/>
        <w:gridCol w:w="1302"/>
        <w:gridCol w:w="5584"/>
        <w:gridCol w:w="1615"/>
      </w:tblGrid>
      <w:tr w:rsidR="0049083F" w:rsidRPr="0049598B" w14:paraId="3FE5F166" w14:textId="77777777" w:rsidTr="006C0DD5">
        <w:trPr>
          <w:trHeight w:val="570"/>
          <w:tblHeader/>
        </w:trPr>
        <w:tc>
          <w:tcPr>
            <w:tcW w:w="1569" w:type="dxa"/>
            <w:shd w:val="clear" w:color="auto" w:fill="04427D"/>
            <w:vAlign w:val="center"/>
            <w:hideMark/>
          </w:tcPr>
          <w:p w14:paraId="25D5E1DA" w14:textId="77777777" w:rsidR="0049083F" w:rsidRPr="0049598B" w:rsidRDefault="0049083F" w:rsidP="0049083F">
            <w:pPr>
              <w:jc w:val="center"/>
              <w:rPr>
                <w:rFonts w:eastAsia="Times New Roman" w:cs="Tahoma"/>
                <w:b/>
                <w:bCs/>
                <w:color w:val="FFFFFF"/>
                <w:sz w:val="26"/>
                <w:szCs w:val="26"/>
              </w:rPr>
            </w:pPr>
            <w:r w:rsidRPr="0049598B">
              <w:rPr>
                <w:rFonts w:eastAsia="Times New Roman" w:cs="Tahoma"/>
                <w:b/>
                <w:bCs/>
                <w:color w:val="FFFFFF"/>
                <w:sz w:val="26"/>
                <w:szCs w:val="26"/>
              </w:rPr>
              <w:t>Procedure Code</w:t>
            </w:r>
          </w:p>
        </w:tc>
        <w:tc>
          <w:tcPr>
            <w:tcW w:w="1302" w:type="dxa"/>
            <w:shd w:val="clear" w:color="auto" w:fill="04427D"/>
            <w:vAlign w:val="center"/>
          </w:tcPr>
          <w:p w14:paraId="75D775BD" w14:textId="44FF5DBE" w:rsidR="0049083F" w:rsidRPr="0049598B" w:rsidRDefault="0049083F" w:rsidP="0049083F">
            <w:pPr>
              <w:jc w:val="center"/>
              <w:rPr>
                <w:rFonts w:eastAsia="Times New Roman" w:cs="Tahoma"/>
                <w:b/>
                <w:bCs/>
                <w:color w:val="FFFFFF"/>
                <w:sz w:val="26"/>
                <w:szCs w:val="26"/>
              </w:rPr>
            </w:pPr>
            <w:r>
              <w:rPr>
                <w:rFonts w:eastAsia="Times New Roman" w:cs="Tahoma"/>
                <w:b/>
                <w:bCs/>
                <w:color w:val="FFFFFF"/>
                <w:sz w:val="26"/>
                <w:szCs w:val="26"/>
              </w:rPr>
              <w:t>Modifier</w:t>
            </w:r>
          </w:p>
        </w:tc>
        <w:tc>
          <w:tcPr>
            <w:tcW w:w="5584" w:type="dxa"/>
            <w:shd w:val="clear" w:color="auto" w:fill="04427D"/>
            <w:vAlign w:val="center"/>
            <w:hideMark/>
          </w:tcPr>
          <w:p w14:paraId="19462FE8" w14:textId="7C7D8154" w:rsidR="0049083F" w:rsidRPr="0049598B" w:rsidRDefault="0049083F" w:rsidP="0049083F">
            <w:pPr>
              <w:jc w:val="center"/>
              <w:rPr>
                <w:rFonts w:eastAsia="Times New Roman" w:cs="Tahoma"/>
                <w:b/>
                <w:bCs/>
                <w:color w:val="FFFFFF"/>
                <w:sz w:val="26"/>
                <w:szCs w:val="26"/>
              </w:rPr>
            </w:pPr>
            <w:r w:rsidRPr="0049598B">
              <w:rPr>
                <w:rFonts w:eastAsia="Times New Roman" w:cs="Tahoma"/>
                <w:b/>
                <w:bCs/>
                <w:color w:val="FFFFFF"/>
                <w:sz w:val="26"/>
                <w:szCs w:val="26"/>
              </w:rPr>
              <w:t>Description</w:t>
            </w:r>
          </w:p>
        </w:tc>
        <w:tc>
          <w:tcPr>
            <w:tcW w:w="1615" w:type="dxa"/>
            <w:shd w:val="clear" w:color="auto" w:fill="04427D"/>
            <w:vAlign w:val="center"/>
            <w:hideMark/>
          </w:tcPr>
          <w:p w14:paraId="34A8843D" w14:textId="77777777" w:rsidR="0049083F" w:rsidRPr="0049598B" w:rsidRDefault="0049083F" w:rsidP="0049083F">
            <w:pPr>
              <w:jc w:val="center"/>
              <w:rPr>
                <w:rFonts w:eastAsia="Times New Roman" w:cs="Tahoma"/>
                <w:b/>
                <w:bCs/>
                <w:color w:val="FFFFFF"/>
                <w:sz w:val="26"/>
                <w:szCs w:val="26"/>
              </w:rPr>
            </w:pPr>
            <w:r w:rsidRPr="0049598B">
              <w:rPr>
                <w:rFonts w:eastAsia="Times New Roman" w:cs="Tahoma"/>
                <w:b/>
                <w:bCs/>
                <w:color w:val="FFFFFF"/>
                <w:sz w:val="26"/>
                <w:szCs w:val="26"/>
              </w:rPr>
              <w:t>Unit</w:t>
            </w:r>
          </w:p>
        </w:tc>
      </w:tr>
      <w:tr w:rsidR="0049083F" w:rsidRPr="0049598B" w14:paraId="5A69059E" w14:textId="77777777" w:rsidTr="006C0DD5">
        <w:trPr>
          <w:trHeight w:val="300"/>
        </w:trPr>
        <w:tc>
          <w:tcPr>
            <w:tcW w:w="1569" w:type="dxa"/>
            <w:shd w:val="clear" w:color="F8CBAD" w:fill="F8CBAD"/>
            <w:vAlign w:val="center"/>
            <w:hideMark/>
          </w:tcPr>
          <w:p w14:paraId="736ABCB4" w14:textId="1B8A0EE9" w:rsidR="0049083F" w:rsidRPr="0049598B" w:rsidRDefault="0049083F" w:rsidP="00716031">
            <w:pPr>
              <w:jc w:val="center"/>
              <w:rPr>
                <w:rFonts w:eastAsia="Times New Roman" w:cs="Tahoma"/>
                <w:color w:val="000000"/>
                <w:szCs w:val="23"/>
              </w:rPr>
            </w:pPr>
            <w:r w:rsidRPr="0049598B">
              <w:rPr>
                <w:rFonts w:eastAsia="Times New Roman" w:cs="Tahoma"/>
                <w:color w:val="000000"/>
                <w:szCs w:val="23"/>
              </w:rPr>
              <w:t xml:space="preserve">T1019 </w:t>
            </w:r>
          </w:p>
        </w:tc>
        <w:tc>
          <w:tcPr>
            <w:tcW w:w="1302" w:type="dxa"/>
            <w:shd w:val="clear" w:color="F8CBAD" w:fill="F8CBAD"/>
            <w:vAlign w:val="center"/>
          </w:tcPr>
          <w:p w14:paraId="7C282B34" w14:textId="16175031" w:rsidR="0049083F" w:rsidRDefault="0049083F" w:rsidP="006C0DD5">
            <w:pPr>
              <w:jc w:val="center"/>
              <w:rPr>
                <w:rFonts w:eastAsia="Times New Roman" w:cs="Tahoma"/>
                <w:color w:val="000000"/>
                <w:szCs w:val="23"/>
              </w:rPr>
            </w:pPr>
            <w:r>
              <w:rPr>
                <w:rFonts w:eastAsia="Times New Roman" w:cs="Tahoma"/>
                <w:color w:val="000000"/>
                <w:szCs w:val="23"/>
              </w:rPr>
              <w:t>U6</w:t>
            </w:r>
          </w:p>
        </w:tc>
        <w:tc>
          <w:tcPr>
            <w:tcW w:w="5584" w:type="dxa"/>
            <w:shd w:val="clear" w:color="F8CBAD" w:fill="F8CBAD"/>
            <w:vAlign w:val="center"/>
            <w:hideMark/>
          </w:tcPr>
          <w:p w14:paraId="60D63FBF" w14:textId="65CCC82C" w:rsidR="0049083F" w:rsidRPr="0049598B" w:rsidRDefault="0049083F" w:rsidP="0049083F">
            <w:pPr>
              <w:jc w:val="left"/>
              <w:rPr>
                <w:rFonts w:eastAsia="Times New Roman" w:cs="Tahoma"/>
                <w:color w:val="000000"/>
                <w:szCs w:val="23"/>
              </w:rPr>
            </w:pPr>
            <w:r>
              <w:rPr>
                <w:rFonts w:eastAsia="Times New Roman" w:cs="Tahoma"/>
                <w:color w:val="000000"/>
                <w:szCs w:val="23"/>
              </w:rPr>
              <w:t>Consumer Directed Services (</w:t>
            </w:r>
            <w:r w:rsidRPr="0049598B">
              <w:rPr>
                <w:rFonts w:eastAsia="Times New Roman" w:cs="Tahoma"/>
                <w:color w:val="000000"/>
                <w:szCs w:val="23"/>
              </w:rPr>
              <w:t>CDS</w:t>
            </w:r>
            <w:r>
              <w:rPr>
                <w:rFonts w:eastAsia="Times New Roman" w:cs="Tahoma"/>
                <w:color w:val="000000"/>
                <w:szCs w:val="23"/>
              </w:rPr>
              <w:t>)</w:t>
            </w:r>
            <w:r w:rsidRPr="0049598B">
              <w:rPr>
                <w:rFonts w:eastAsia="Times New Roman" w:cs="Tahoma"/>
                <w:color w:val="000000"/>
                <w:szCs w:val="23"/>
              </w:rPr>
              <w:t xml:space="preserve"> Personal Care</w:t>
            </w:r>
            <w:r>
              <w:rPr>
                <w:rFonts w:eastAsia="Times New Roman" w:cs="Tahoma"/>
                <w:color w:val="000000"/>
                <w:szCs w:val="23"/>
              </w:rPr>
              <w:t xml:space="preserve"> (PC)</w:t>
            </w:r>
          </w:p>
        </w:tc>
        <w:tc>
          <w:tcPr>
            <w:tcW w:w="1615" w:type="dxa"/>
            <w:shd w:val="clear" w:color="F8CBAD" w:fill="F8CBAD"/>
            <w:vAlign w:val="center"/>
            <w:hideMark/>
          </w:tcPr>
          <w:p w14:paraId="1658740E" w14:textId="52C9876B" w:rsidR="0049083F" w:rsidRPr="0049598B" w:rsidRDefault="0049083F" w:rsidP="006C0DD5">
            <w:pPr>
              <w:tabs>
                <w:tab w:val="left" w:pos="1982"/>
              </w:tabs>
              <w:ind w:left="-59"/>
              <w:jc w:val="left"/>
              <w:rPr>
                <w:rFonts w:eastAsia="Times New Roman" w:cs="Tahoma"/>
                <w:color w:val="000000"/>
                <w:szCs w:val="23"/>
              </w:rPr>
            </w:pPr>
            <w:r w:rsidRPr="0049598B">
              <w:rPr>
                <w:rFonts w:eastAsia="Times New Roman" w:cs="Tahoma"/>
                <w:color w:val="000000"/>
                <w:szCs w:val="23"/>
              </w:rPr>
              <w:t>15 min</w:t>
            </w:r>
            <w:r>
              <w:rPr>
                <w:rFonts w:eastAsia="Times New Roman" w:cs="Tahoma"/>
                <w:color w:val="000000"/>
                <w:szCs w:val="23"/>
              </w:rPr>
              <w:t>utes</w:t>
            </w:r>
          </w:p>
        </w:tc>
      </w:tr>
      <w:tr w:rsidR="0049083F" w:rsidRPr="0049598B" w14:paraId="49570AF3" w14:textId="77777777" w:rsidTr="006C0DD5">
        <w:trPr>
          <w:trHeight w:val="300"/>
        </w:trPr>
        <w:tc>
          <w:tcPr>
            <w:tcW w:w="1569" w:type="dxa"/>
            <w:shd w:val="clear" w:color="FCE4D6" w:fill="FCE4D6"/>
            <w:vAlign w:val="center"/>
            <w:hideMark/>
          </w:tcPr>
          <w:p w14:paraId="0A0951A6" w14:textId="55990FD0" w:rsidR="0049083F" w:rsidRPr="0049598B" w:rsidRDefault="0049083F" w:rsidP="0049083F">
            <w:pPr>
              <w:jc w:val="center"/>
              <w:rPr>
                <w:rFonts w:eastAsia="Times New Roman" w:cs="Tahoma"/>
                <w:color w:val="000000"/>
                <w:szCs w:val="23"/>
              </w:rPr>
            </w:pPr>
            <w:r w:rsidRPr="0049598B">
              <w:rPr>
                <w:rFonts w:eastAsia="Times New Roman" w:cs="Tahoma"/>
                <w:color w:val="000000"/>
                <w:szCs w:val="23"/>
              </w:rPr>
              <w:t>T2024</w:t>
            </w:r>
          </w:p>
        </w:tc>
        <w:tc>
          <w:tcPr>
            <w:tcW w:w="1302" w:type="dxa"/>
            <w:shd w:val="clear" w:color="FCE4D6" w:fill="FCE4D6"/>
            <w:vAlign w:val="center"/>
          </w:tcPr>
          <w:p w14:paraId="3F9E9153" w14:textId="434D1117" w:rsidR="0049083F" w:rsidRPr="0049598B" w:rsidRDefault="0049083F" w:rsidP="006C0DD5">
            <w:pPr>
              <w:jc w:val="center"/>
              <w:rPr>
                <w:rFonts w:eastAsia="Times New Roman" w:cs="Tahoma"/>
                <w:color w:val="000000"/>
                <w:szCs w:val="23"/>
              </w:rPr>
            </w:pPr>
            <w:r w:rsidRPr="00745D9C">
              <w:rPr>
                <w:rFonts w:eastAsia="Times New Roman" w:cs="Tahoma"/>
                <w:color w:val="000000"/>
                <w:szCs w:val="23"/>
              </w:rPr>
              <w:t>U6</w:t>
            </w:r>
          </w:p>
        </w:tc>
        <w:tc>
          <w:tcPr>
            <w:tcW w:w="5584" w:type="dxa"/>
            <w:shd w:val="clear" w:color="FCE4D6" w:fill="FCE4D6"/>
            <w:vAlign w:val="center"/>
            <w:hideMark/>
          </w:tcPr>
          <w:p w14:paraId="228DF937" w14:textId="2C0E6752" w:rsidR="0049083F" w:rsidRPr="0049598B" w:rsidRDefault="0049083F" w:rsidP="0049083F">
            <w:pPr>
              <w:jc w:val="left"/>
              <w:rPr>
                <w:rFonts w:eastAsia="Times New Roman" w:cs="Tahoma"/>
                <w:color w:val="000000"/>
                <w:szCs w:val="23"/>
              </w:rPr>
            </w:pPr>
            <w:r w:rsidRPr="0049598B">
              <w:rPr>
                <w:rFonts w:eastAsia="Times New Roman" w:cs="Tahoma"/>
                <w:color w:val="000000"/>
                <w:szCs w:val="23"/>
              </w:rPr>
              <w:t>Case Management</w:t>
            </w:r>
            <w:r>
              <w:rPr>
                <w:rFonts w:eastAsia="Times New Roman" w:cs="Tahoma"/>
                <w:color w:val="000000"/>
                <w:szCs w:val="23"/>
              </w:rPr>
              <w:t xml:space="preserve"> (CM)</w:t>
            </w:r>
          </w:p>
        </w:tc>
        <w:tc>
          <w:tcPr>
            <w:tcW w:w="1615" w:type="dxa"/>
            <w:shd w:val="clear" w:color="FCE4D6" w:fill="FCE4D6"/>
            <w:vAlign w:val="center"/>
            <w:hideMark/>
          </w:tcPr>
          <w:p w14:paraId="3B9E7764" w14:textId="3EA3EF46" w:rsidR="0049083F" w:rsidRPr="0049598B" w:rsidRDefault="0049083F" w:rsidP="006C0DD5">
            <w:pPr>
              <w:tabs>
                <w:tab w:val="left" w:pos="1982"/>
              </w:tabs>
              <w:ind w:left="-59"/>
              <w:jc w:val="left"/>
              <w:rPr>
                <w:rFonts w:eastAsia="Times New Roman" w:cs="Tahoma"/>
                <w:color w:val="000000"/>
                <w:szCs w:val="23"/>
              </w:rPr>
            </w:pPr>
            <w:r w:rsidRPr="0049598B">
              <w:rPr>
                <w:rFonts w:eastAsia="Times New Roman" w:cs="Tahoma"/>
                <w:color w:val="000000"/>
                <w:szCs w:val="23"/>
              </w:rPr>
              <w:t>1 unit/</w:t>
            </w:r>
            <w:r>
              <w:rPr>
                <w:rFonts w:eastAsia="Times New Roman" w:cs="Tahoma"/>
                <w:color w:val="000000"/>
                <w:szCs w:val="23"/>
              </w:rPr>
              <w:t>month</w:t>
            </w:r>
          </w:p>
        </w:tc>
      </w:tr>
      <w:tr w:rsidR="0049083F" w:rsidRPr="0049598B" w14:paraId="250BCC2E" w14:textId="77777777" w:rsidTr="006C0DD5">
        <w:trPr>
          <w:trHeight w:val="300"/>
        </w:trPr>
        <w:tc>
          <w:tcPr>
            <w:tcW w:w="1569" w:type="dxa"/>
            <w:shd w:val="clear" w:color="F8CBAD" w:fill="F8CBAD"/>
            <w:vAlign w:val="center"/>
            <w:hideMark/>
          </w:tcPr>
          <w:p w14:paraId="2B4BDB07" w14:textId="6A4C0195" w:rsidR="0049083F" w:rsidRPr="0049598B" w:rsidRDefault="0049083F" w:rsidP="0049083F">
            <w:pPr>
              <w:jc w:val="center"/>
              <w:rPr>
                <w:rFonts w:eastAsia="Times New Roman" w:cs="Tahoma"/>
                <w:color w:val="000000"/>
                <w:szCs w:val="23"/>
              </w:rPr>
            </w:pPr>
            <w:r w:rsidRPr="0049598B">
              <w:rPr>
                <w:rFonts w:eastAsia="Times New Roman" w:cs="Tahoma"/>
                <w:color w:val="000000"/>
                <w:szCs w:val="23"/>
              </w:rPr>
              <w:t xml:space="preserve">T2028 </w:t>
            </w:r>
          </w:p>
        </w:tc>
        <w:tc>
          <w:tcPr>
            <w:tcW w:w="1302" w:type="dxa"/>
            <w:shd w:val="clear" w:color="F8CBAD" w:fill="F8CBAD"/>
            <w:vAlign w:val="center"/>
          </w:tcPr>
          <w:p w14:paraId="69A54A58" w14:textId="7E95875A" w:rsidR="0049083F" w:rsidRPr="0049598B" w:rsidRDefault="0049083F" w:rsidP="006C0DD5">
            <w:pPr>
              <w:jc w:val="center"/>
              <w:rPr>
                <w:rFonts w:eastAsia="Times New Roman" w:cs="Tahoma"/>
                <w:color w:val="000000"/>
                <w:szCs w:val="23"/>
              </w:rPr>
            </w:pPr>
            <w:r w:rsidRPr="00745D9C">
              <w:rPr>
                <w:rFonts w:eastAsia="Times New Roman" w:cs="Tahoma"/>
                <w:color w:val="000000"/>
                <w:szCs w:val="23"/>
              </w:rPr>
              <w:t>U6</w:t>
            </w:r>
          </w:p>
        </w:tc>
        <w:tc>
          <w:tcPr>
            <w:tcW w:w="5584" w:type="dxa"/>
            <w:shd w:val="clear" w:color="F8CBAD" w:fill="F8CBAD"/>
            <w:vAlign w:val="center"/>
            <w:hideMark/>
          </w:tcPr>
          <w:p w14:paraId="181E71B7" w14:textId="413A0381" w:rsidR="0049083F" w:rsidRPr="0049598B" w:rsidRDefault="0049083F" w:rsidP="0049083F">
            <w:pPr>
              <w:jc w:val="left"/>
              <w:rPr>
                <w:rFonts w:eastAsia="Times New Roman" w:cs="Tahoma"/>
                <w:color w:val="000000"/>
                <w:szCs w:val="23"/>
              </w:rPr>
            </w:pPr>
            <w:r w:rsidRPr="0049598B">
              <w:rPr>
                <w:rFonts w:eastAsia="Times New Roman" w:cs="Tahoma"/>
                <w:color w:val="000000"/>
                <w:szCs w:val="23"/>
              </w:rPr>
              <w:t xml:space="preserve">Specialized </w:t>
            </w:r>
            <w:r>
              <w:rPr>
                <w:rFonts w:eastAsia="Times New Roman" w:cs="Tahoma"/>
                <w:color w:val="000000"/>
                <w:szCs w:val="23"/>
              </w:rPr>
              <w:t xml:space="preserve">Medical </w:t>
            </w:r>
            <w:r w:rsidRPr="0049598B">
              <w:rPr>
                <w:rFonts w:eastAsia="Times New Roman" w:cs="Tahoma"/>
                <w:color w:val="000000"/>
                <w:szCs w:val="23"/>
              </w:rPr>
              <w:t>Supplies</w:t>
            </w:r>
            <w:r>
              <w:rPr>
                <w:rFonts w:eastAsia="Times New Roman" w:cs="Tahoma"/>
                <w:color w:val="000000"/>
                <w:szCs w:val="23"/>
              </w:rPr>
              <w:t xml:space="preserve"> (SMS)</w:t>
            </w:r>
          </w:p>
        </w:tc>
        <w:tc>
          <w:tcPr>
            <w:tcW w:w="1615" w:type="dxa"/>
            <w:shd w:val="clear" w:color="F8CBAD" w:fill="F8CBAD"/>
            <w:vAlign w:val="center"/>
            <w:hideMark/>
          </w:tcPr>
          <w:p w14:paraId="62FD289C" w14:textId="77777777" w:rsidR="0049083F" w:rsidRPr="0049598B" w:rsidRDefault="0049083F" w:rsidP="006C0DD5">
            <w:pPr>
              <w:tabs>
                <w:tab w:val="left" w:pos="1982"/>
              </w:tabs>
              <w:ind w:left="-59"/>
              <w:jc w:val="left"/>
              <w:rPr>
                <w:rFonts w:eastAsia="Times New Roman" w:cs="Tahoma"/>
                <w:color w:val="000000"/>
                <w:szCs w:val="23"/>
              </w:rPr>
            </w:pPr>
            <w:r w:rsidRPr="0049598B">
              <w:rPr>
                <w:rFonts w:eastAsia="Times New Roman" w:cs="Tahoma"/>
                <w:color w:val="000000"/>
                <w:szCs w:val="23"/>
              </w:rPr>
              <w:t>Cost</w:t>
            </w:r>
          </w:p>
        </w:tc>
      </w:tr>
      <w:tr w:rsidR="0049083F" w:rsidRPr="0049598B" w14:paraId="4B1D573F" w14:textId="77777777" w:rsidTr="006C0DD5">
        <w:trPr>
          <w:trHeight w:val="300"/>
        </w:trPr>
        <w:tc>
          <w:tcPr>
            <w:tcW w:w="1569" w:type="dxa"/>
            <w:shd w:val="clear" w:color="FCE4D6" w:fill="FCE4D6"/>
            <w:vAlign w:val="center"/>
            <w:hideMark/>
          </w:tcPr>
          <w:p w14:paraId="50A4BC94" w14:textId="610CD80A" w:rsidR="0049083F" w:rsidRPr="0049598B" w:rsidRDefault="0049083F" w:rsidP="0049083F">
            <w:pPr>
              <w:jc w:val="center"/>
              <w:rPr>
                <w:rFonts w:eastAsia="Times New Roman" w:cs="Tahoma"/>
                <w:color w:val="000000"/>
                <w:szCs w:val="23"/>
              </w:rPr>
            </w:pPr>
            <w:r w:rsidRPr="0049598B">
              <w:rPr>
                <w:rFonts w:eastAsia="Times New Roman" w:cs="Tahoma"/>
                <w:color w:val="000000"/>
                <w:szCs w:val="23"/>
              </w:rPr>
              <w:t>T2029</w:t>
            </w:r>
          </w:p>
        </w:tc>
        <w:tc>
          <w:tcPr>
            <w:tcW w:w="1302" w:type="dxa"/>
            <w:shd w:val="clear" w:color="FCE4D6" w:fill="FCE4D6"/>
            <w:vAlign w:val="center"/>
          </w:tcPr>
          <w:p w14:paraId="0767D06D" w14:textId="49768C65" w:rsidR="0049083F" w:rsidRPr="0049598B" w:rsidRDefault="0049083F" w:rsidP="006C0DD5">
            <w:pPr>
              <w:jc w:val="center"/>
              <w:rPr>
                <w:rFonts w:eastAsia="Times New Roman" w:cs="Tahoma"/>
                <w:color w:val="000000"/>
                <w:szCs w:val="23"/>
              </w:rPr>
            </w:pPr>
            <w:r w:rsidRPr="00745D9C">
              <w:rPr>
                <w:rFonts w:eastAsia="Times New Roman" w:cs="Tahoma"/>
                <w:color w:val="000000"/>
                <w:szCs w:val="23"/>
              </w:rPr>
              <w:t>U6</w:t>
            </w:r>
          </w:p>
        </w:tc>
        <w:tc>
          <w:tcPr>
            <w:tcW w:w="5584" w:type="dxa"/>
            <w:shd w:val="clear" w:color="FCE4D6" w:fill="FCE4D6"/>
            <w:vAlign w:val="center"/>
            <w:hideMark/>
          </w:tcPr>
          <w:p w14:paraId="5AE358A0" w14:textId="0522140C" w:rsidR="0049083F" w:rsidRPr="0049598B" w:rsidRDefault="0049083F" w:rsidP="0049083F">
            <w:pPr>
              <w:jc w:val="left"/>
              <w:rPr>
                <w:rFonts w:eastAsia="Times New Roman" w:cs="Tahoma"/>
                <w:color w:val="000000"/>
                <w:szCs w:val="23"/>
              </w:rPr>
            </w:pPr>
            <w:r w:rsidRPr="0049598B">
              <w:rPr>
                <w:rFonts w:eastAsia="Times New Roman" w:cs="Tahoma"/>
                <w:color w:val="000000"/>
                <w:szCs w:val="23"/>
              </w:rPr>
              <w:t xml:space="preserve">Specialized </w:t>
            </w:r>
            <w:r>
              <w:rPr>
                <w:rFonts w:eastAsia="Times New Roman" w:cs="Tahoma"/>
                <w:color w:val="000000"/>
                <w:szCs w:val="23"/>
              </w:rPr>
              <w:t xml:space="preserve">Medical </w:t>
            </w:r>
            <w:r w:rsidRPr="0049598B">
              <w:rPr>
                <w:rFonts w:eastAsia="Times New Roman" w:cs="Tahoma"/>
                <w:color w:val="000000"/>
                <w:szCs w:val="23"/>
              </w:rPr>
              <w:t xml:space="preserve">Equipment </w:t>
            </w:r>
            <w:r>
              <w:rPr>
                <w:rFonts w:eastAsia="Times New Roman" w:cs="Tahoma"/>
                <w:color w:val="000000"/>
                <w:szCs w:val="23"/>
              </w:rPr>
              <w:t>(SME)</w:t>
            </w:r>
          </w:p>
        </w:tc>
        <w:tc>
          <w:tcPr>
            <w:tcW w:w="1615" w:type="dxa"/>
            <w:shd w:val="clear" w:color="FCE4D6" w:fill="FCE4D6"/>
            <w:vAlign w:val="center"/>
            <w:hideMark/>
          </w:tcPr>
          <w:p w14:paraId="5ECBCA50" w14:textId="77777777" w:rsidR="0049083F" w:rsidRPr="0049598B" w:rsidRDefault="0049083F" w:rsidP="006C0DD5">
            <w:pPr>
              <w:tabs>
                <w:tab w:val="left" w:pos="1982"/>
              </w:tabs>
              <w:ind w:left="-59"/>
              <w:jc w:val="left"/>
              <w:rPr>
                <w:rFonts w:eastAsia="Times New Roman" w:cs="Tahoma"/>
                <w:color w:val="000000"/>
                <w:szCs w:val="23"/>
              </w:rPr>
            </w:pPr>
            <w:r w:rsidRPr="0049598B">
              <w:rPr>
                <w:rFonts w:eastAsia="Times New Roman" w:cs="Tahoma"/>
                <w:color w:val="000000"/>
                <w:szCs w:val="23"/>
              </w:rPr>
              <w:t>Cost</w:t>
            </w:r>
          </w:p>
        </w:tc>
      </w:tr>
      <w:tr w:rsidR="0049083F" w:rsidRPr="0049598B" w14:paraId="69E96CBB" w14:textId="77777777" w:rsidTr="006C0DD5">
        <w:trPr>
          <w:trHeight w:val="300"/>
        </w:trPr>
        <w:tc>
          <w:tcPr>
            <w:tcW w:w="1569" w:type="dxa"/>
            <w:shd w:val="clear" w:color="F8CBAD" w:fill="F8CBAD"/>
            <w:vAlign w:val="center"/>
            <w:hideMark/>
          </w:tcPr>
          <w:p w14:paraId="3FA8F337" w14:textId="6B235906" w:rsidR="0049083F" w:rsidRPr="0049598B" w:rsidRDefault="0049083F" w:rsidP="0049083F">
            <w:pPr>
              <w:jc w:val="center"/>
              <w:rPr>
                <w:rFonts w:eastAsia="Times New Roman" w:cs="Tahoma"/>
                <w:color w:val="000000"/>
                <w:szCs w:val="23"/>
              </w:rPr>
            </w:pPr>
            <w:r w:rsidRPr="0049598B">
              <w:rPr>
                <w:rFonts w:eastAsia="Times New Roman" w:cs="Tahoma"/>
                <w:color w:val="000000"/>
                <w:szCs w:val="23"/>
              </w:rPr>
              <w:t xml:space="preserve">T2040 </w:t>
            </w:r>
          </w:p>
        </w:tc>
        <w:tc>
          <w:tcPr>
            <w:tcW w:w="1302" w:type="dxa"/>
            <w:shd w:val="clear" w:color="F8CBAD" w:fill="F8CBAD"/>
            <w:vAlign w:val="center"/>
          </w:tcPr>
          <w:p w14:paraId="6AC1CB87" w14:textId="63F4CC8A" w:rsidR="0049083F" w:rsidRPr="0049598B" w:rsidRDefault="0049083F" w:rsidP="006C0DD5">
            <w:pPr>
              <w:jc w:val="center"/>
              <w:rPr>
                <w:rFonts w:eastAsia="Times New Roman" w:cs="Tahoma"/>
                <w:color w:val="000000"/>
                <w:szCs w:val="23"/>
              </w:rPr>
            </w:pPr>
            <w:r w:rsidRPr="00745D9C">
              <w:rPr>
                <w:rFonts w:eastAsia="Times New Roman" w:cs="Tahoma"/>
                <w:color w:val="000000"/>
                <w:szCs w:val="23"/>
              </w:rPr>
              <w:t>U6</w:t>
            </w:r>
          </w:p>
        </w:tc>
        <w:tc>
          <w:tcPr>
            <w:tcW w:w="5584" w:type="dxa"/>
            <w:shd w:val="clear" w:color="F8CBAD" w:fill="F8CBAD"/>
            <w:vAlign w:val="center"/>
            <w:hideMark/>
          </w:tcPr>
          <w:p w14:paraId="4F874AF6" w14:textId="34B3A4B0" w:rsidR="0049083F" w:rsidRPr="0049598B" w:rsidRDefault="0049083F" w:rsidP="0049083F">
            <w:pPr>
              <w:jc w:val="left"/>
              <w:rPr>
                <w:rFonts w:eastAsia="Times New Roman" w:cs="Tahoma"/>
                <w:color w:val="000000"/>
                <w:szCs w:val="23"/>
              </w:rPr>
            </w:pPr>
            <w:r w:rsidRPr="0049598B">
              <w:rPr>
                <w:rFonts w:eastAsia="Times New Roman" w:cs="Tahoma"/>
                <w:color w:val="000000"/>
                <w:szCs w:val="23"/>
              </w:rPr>
              <w:t>Financial Management Services</w:t>
            </w:r>
            <w:r>
              <w:rPr>
                <w:rFonts w:eastAsia="Times New Roman" w:cs="Tahoma"/>
                <w:color w:val="000000"/>
                <w:szCs w:val="23"/>
              </w:rPr>
              <w:t xml:space="preserve"> (FMS)</w:t>
            </w:r>
          </w:p>
        </w:tc>
        <w:tc>
          <w:tcPr>
            <w:tcW w:w="1615" w:type="dxa"/>
            <w:shd w:val="clear" w:color="F8CBAD" w:fill="F8CBAD"/>
            <w:vAlign w:val="center"/>
            <w:hideMark/>
          </w:tcPr>
          <w:p w14:paraId="1453B23C" w14:textId="77777777" w:rsidR="0049083F" w:rsidRPr="0049598B" w:rsidRDefault="0049083F" w:rsidP="006C0DD5">
            <w:pPr>
              <w:tabs>
                <w:tab w:val="left" w:pos="1982"/>
              </w:tabs>
              <w:ind w:left="-59"/>
              <w:jc w:val="left"/>
              <w:rPr>
                <w:rFonts w:eastAsia="Times New Roman" w:cs="Tahoma"/>
                <w:color w:val="000000"/>
                <w:szCs w:val="23"/>
              </w:rPr>
            </w:pPr>
            <w:r w:rsidRPr="0049598B">
              <w:rPr>
                <w:rFonts w:eastAsia="Times New Roman" w:cs="Tahoma"/>
                <w:color w:val="000000"/>
                <w:szCs w:val="23"/>
              </w:rPr>
              <w:t>1 unit/month</w:t>
            </w:r>
          </w:p>
        </w:tc>
      </w:tr>
      <w:tr w:rsidR="0049083F" w:rsidRPr="0049598B" w14:paraId="1FB501D3" w14:textId="77777777" w:rsidTr="006C0DD5">
        <w:trPr>
          <w:trHeight w:val="300"/>
        </w:trPr>
        <w:tc>
          <w:tcPr>
            <w:tcW w:w="1569" w:type="dxa"/>
            <w:shd w:val="clear" w:color="FCE4D6" w:fill="FCE4D6"/>
            <w:vAlign w:val="center"/>
            <w:hideMark/>
          </w:tcPr>
          <w:p w14:paraId="3AFD1FF8" w14:textId="23D5AE0F" w:rsidR="0049083F" w:rsidRPr="0049598B" w:rsidRDefault="0049083F" w:rsidP="0049083F">
            <w:pPr>
              <w:jc w:val="center"/>
              <w:rPr>
                <w:rFonts w:eastAsia="Times New Roman" w:cs="Tahoma"/>
                <w:color w:val="000000"/>
                <w:szCs w:val="23"/>
              </w:rPr>
            </w:pPr>
            <w:r w:rsidRPr="0049598B">
              <w:rPr>
                <w:rFonts w:eastAsia="Times New Roman" w:cs="Tahoma"/>
                <w:color w:val="000000"/>
                <w:szCs w:val="23"/>
              </w:rPr>
              <w:t>S5165</w:t>
            </w:r>
          </w:p>
        </w:tc>
        <w:tc>
          <w:tcPr>
            <w:tcW w:w="1302" w:type="dxa"/>
            <w:shd w:val="clear" w:color="FCE4D6" w:fill="FCE4D6"/>
            <w:vAlign w:val="center"/>
          </w:tcPr>
          <w:p w14:paraId="3B23A067" w14:textId="4157BFC5" w:rsidR="0049083F" w:rsidRPr="0049598B" w:rsidRDefault="0049083F" w:rsidP="006C0DD5">
            <w:pPr>
              <w:jc w:val="center"/>
              <w:rPr>
                <w:rFonts w:eastAsia="Times New Roman" w:cs="Tahoma"/>
                <w:color w:val="000000"/>
                <w:szCs w:val="23"/>
              </w:rPr>
            </w:pPr>
            <w:r w:rsidRPr="00745D9C">
              <w:rPr>
                <w:rFonts w:eastAsia="Times New Roman" w:cs="Tahoma"/>
                <w:color w:val="000000"/>
                <w:szCs w:val="23"/>
              </w:rPr>
              <w:t>U6</w:t>
            </w:r>
          </w:p>
        </w:tc>
        <w:tc>
          <w:tcPr>
            <w:tcW w:w="5584" w:type="dxa"/>
            <w:shd w:val="clear" w:color="FCE4D6" w:fill="FCE4D6"/>
            <w:vAlign w:val="center"/>
            <w:hideMark/>
          </w:tcPr>
          <w:p w14:paraId="1BC0455D" w14:textId="27A9E0D9" w:rsidR="0049083F" w:rsidRPr="0049598B" w:rsidRDefault="0049083F" w:rsidP="0049083F">
            <w:pPr>
              <w:jc w:val="left"/>
              <w:rPr>
                <w:rFonts w:eastAsia="Times New Roman" w:cs="Tahoma"/>
                <w:color w:val="000000"/>
                <w:szCs w:val="23"/>
              </w:rPr>
            </w:pPr>
            <w:r w:rsidRPr="0049598B">
              <w:rPr>
                <w:rFonts w:eastAsia="Times New Roman" w:cs="Tahoma"/>
                <w:color w:val="000000"/>
                <w:szCs w:val="23"/>
              </w:rPr>
              <w:t>Environmental Accessibility Adaptation</w:t>
            </w:r>
            <w:r>
              <w:rPr>
                <w:rFonts w:eastAsia="Times New Roman" w:cs="Tahoma"/>
                <w:color w:val="000000"/>
                <w:szCs w:val="23"/>
              </w:rPr>
              <w:t xml:space="preserve"> (EAA)</w:t>
            </w:r>
          </w:p>
        </w:tc>
        <w:tc>
          <w:tcPr>
            <w:tcW w:w="1615" w:type="dxa"/>
            <w:shd w:val="clear" w:color="FCE4D6" w:fill="FCE4D6"/>
            <w:vAlign w:val="center"/>
            <w:hideMark/>
          </w:tcPr>
          <w:p w14:paraId="3A31B336" w14:textId="77777777" w:rsidR="0049083F" w:rsidRPr="0049598B" w:rsidRDefault="0049083F" w:rsidP="006C0DD5">
            <w:pPr>
              <w:tabs>
                <w:tab w:val="left" w:pos="1982"/>
              </w:tabs>
              <w:ind w:left="-59"/>
              <w:jc w:val="left"/>
              <w:rPr>
                <w:rFonts w:eastAsia="Times New Roman" w:cs="Tahoma"/>
                <w:color w:val="000000"/>
                <w:szCs w:val="23"/>
              </w:rPr>
            </w:pPr>
            <w:r w:rsidRPr="0049598B">
              <w:rPr>
                <w:rFonts w:eastAsia="Times New Roman" w:cs="Tahoma"/>
                <w:color w:val="000000"/>
                <w:szCs w:val="23"/>
              </w:rPr>
              <w:t>Cost</w:t>
            </w:r>
          </w:p>
        </w:tc>
      </w:tr>
      <w:bookmarkEnd w:id="59"/>
    </w:tbl>
    <w:p w14:paraId="72B6E37A" w14:textId="6D41BEEC" w:rsidR="0049598B" w:rsidRPr="0049598B" w:rsidRDefault="0049598B" w:rsidP="0049598B">
      <w:pPr>
        <w:rPr>
          <w:rFonts w:cs="Tahoma"/>
          <w:szCs w:val="23"/>
        </w:rPr>
      </w:pPr>
    </w:p>
    <w:sectPr w:rsidR="0049598B" w:rsidRPr="0049598B" w:rsidSect="00964C9E">
      <w:headerReference w:type="default" r:id="rId69"/>
      <w:footerReference w:type="default" r:id="rId70"/>
      <w:pgSz w:w="12240" w:h="15840"/>
      <w:pgMar w:top="1080" w:right="1080" w:bottom="108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645C" w14:textId="77777777" w:rsidR="0068245A" w:rsidRDefault="0068245A" w:rsidP="003F229C">
      <w:pPr>
        <w:spacing w:line="240" w:lineRule="auto"/>
      </w:pPr>
      <w:r>
        <w:separator/>
      </w:r>
    </w:p>
  </w:endnote>
  <w:endnote w:type="continuationSeparator" w:id="0">
    <w:p w14:paraId="6714D41C" w14:textId="77777777" w:rsidR="0068245A" w:rsidRDefault="0068245A" w:rsidP="003F2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613602"/>
      <w:docPartObj>
        <w:docPartGallery w:val="Page Numbers (Bottom of Page)"/>
        <w:docPartUnique/>
      </w:docPartObj>
    </w:sdtPr>
    <w:sdtEndPr>
      <w:rPr>
        <w:noProof/>
      </w:rPr>
    </w:sdtEndPr>
    <w:sdtContent>
      <w:p w14:paraId="34DB606F" w14:textId="077DB833" w:rsidR="007C21B0" w:rsidRDefault="007C21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3C2275" w14:textId="77777777" w:rsidR="007C21B0" w:rsidRDefault="007C2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C5C01" w14:textId="77777777" w:rsidR="0068245A" w:rsidRDefault="0068245A" w:rsidP="003F229C">
      <w:pPr>
        <w:spacing w:line="240" w:lineRule="auto"/>
      </w:pPr>
      <w:r>
        <w:separator/>
      </w:r>
    </w:p>
  </w:footnote>
  <w:footnote w:type="continuationSeparator" w:id="0">
    <w:p w14:paraId="2BD17B48" w14:textId="77777777" w:rsidR="0068245A" w:rsidRDefault="0068245A" w:rsidP="003F22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DD6B" w14:textId="6C0B178C" w:rsidR="0068364C" w:rsidRPr="00964C9E" w:rsidRDefault="0068364C" w:rsidP="003F229C">
    <w:pPr>
      <w:pStyle w:val="Header"/>
      <w:jc w:val="right"/>
      <w:rPr>
        <w:rFonts w:cs="Tahoma"/>
        <w:sz w:val="20"/>
        <w:szCs w:val="20"/>
      </w:rPr>
    </w:pPr>
    <w:r w:rsidRPr="00964C9E">
      <w:rPr>
        <w:rFonts w:cs="Tahoma"/>
        <w:sz w:val="20"/>
        <w:szCs w:val="20"/>
      </w:rPr>
      <w:t xml:space="preserve">Independent Living Waiver Provider Manual- </w:t>
    </w:r>
    <w:r w:rsidR="0024665B" w:rsidRPr="00964C9E">
      <w:rPr>
        <w:rFonts w:cs="Tahoma"/>
        <w:sz w:val="20"/>
        <w:szCs w:val="20"/>
      </w:rPr>
      <w:t>0</w:t>
    </w:r>
    <w:r w:rsidR="00964C9E" w:rsidRPr="00964C9E">
      <w:rPr>
        <w:rFonts w:cs="Tahoma"/>
        <w:sz w:val="20"/>
        <w:szCs w:val="20"/>
      </w:rPr>
      <w:t>5</w:t>
    </w:r>
    <w:r w:rsidR="0024665B" w:rsidRPr="00964C9E">
      <w:rPr>
        <w:rFonts w:cs="Tahoma"/>
        <w:sz w:val="20"/>
        <w:szCs w:val="20"/>
      </w:rPr>
      <w:t>/</w:t>
    </w:r>
    <w:r w:rsidR="00964C9E" w:rsidRPr="00964C9E">
      <w:rPr>
        <w:rFonts w:cs="Tahoma"/>
        <w:sz w:val="20"/>
        <w:szCs w:val="20"/>
      </w:rPr>
      <w:t>04</w:t>
    </w:r>
    <w:r w:rsidR="0024665B" w:rsidRPr="00964C9E">
      <w:rPr>
        <w:rFonts w:cs="Tahoma"/>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9A0E0EE"/>
    <w:lvl w:ilvl="0">
      <w:start w:val="1"/>
      <w:numFmt w:val="bullet"/>
      <w:pStyle w:val="ListBullet2"/>
      <w:lvlText w:val="o"/>
      <w:lvlJc w:val="left"/>
      <w:pPr>
        <w:ind w:left="1339" w:hanging="360"/>
      </w:pPr>
      <w:rPr>
        <w:rFonts w:ascii="Courier New" w:hAnsi="Courier New" w:cs="Courier New" w:hint="default"/>
      </w:rPr>
    </w:lvl>
  </w:abstractNum>
  <w:abstractNum w:abstractNumId="1" w15:restartNumberingAfterBreak="0">
    <w:nsid w:val="FFFFFF89"/>
    <w:multiLevelType w:val="singleLevel"/>
    <w:tmpl w:val="9ADC53A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052A0"/>
    <w:multiLevelType w:val="hybridMultilevel"/>
    <w:tmpl w:val="3070C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724BD"/>
    <w:multiLevelType w:val="hybridMultilevel"/>
    <w:tmpl w:val="6832DB94"/>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4E2055D"/>
    <w:multiLevelType w:val="hybridMultilevel"/>
    <w:tmpl w:val="DB003FC6"/>
    <w:lvl w:ilvl="0" w:tplc="9126FFBE">
      <w:numFmt w:val="bullet"/>
      <w:lvlText w:val="•"/>
      <w:lvlJc w:val="left"/>
      <w:pPr>
        <w:ind w:left="979"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47C22"/>
    <w:multiLevelType w:val="hybridMultilevel"/>
    <w:tmpl w:val="D256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250C2C"/>
    <w:multiLevelType w:val="hybridMultilevel"/>
    <w:tmpl w:val="15EEBFA8"/>
    <w:lvl w:ilvl="0" w:tplc="24CAE372">
      <w:start w:val="1"/>
      <w:numFmt w:val="bullet"/>
      <w:lvlText w:val=""/>
      <w:lvlJc w:val="left"/>
      <w:pPr>
        <w:tabs>
          <w:tab w:val="num" w:pos="1650"/>
        </w:tabs>
        <w:ind w:left="1650" w:hanging="360"/>
      </w:pPr>
      <w:rPr>
        <w:rFonts w:ascii="Symbol" w:hAnsi="Symbol" w:hint="default"/>
      </w:rPr>
    </w:lvl>
    <w:lvl w:ilvl="1" w:tplc="1FC8B742">
      <w:start w:val="1"/>
      <w:numFmt w:val="bullet"/>
      <w:lvlText w:val=""/>
      <w:lvlJc w:val="left"/>
      <w:pPr>
        <w:tabs>
          <w:tab w:val="num" w:pos="2304"/>
        </w:tabs>
        <w:ind w:left="2304" w:hanging="720"/>
      </w:pPr>
      <w:rPr>
        <w:rFonts w:ascii="Wingdings" w:hAnsi="Wingdings" w:hint="default"/>
        <w:sz w:val="20"/>
      </w:rPr>
    </w:lvl>
    <w:lvl w:ilvl="2" w:tplc="BAA4C35C">
      <w:start w:val="1"/>
      <w:numFmt w:val="bullet"/>
      <w:lvlText w:val=""/>
      <w:lvlJc w:val="left"/>
      <w:pPr>
        <w:tabs>
          <w:tab w:val="num" w:pos="3024"/>
        </w:tabs>
        <w:ind w:left="3024" w:hanging="360"/>
      </w:pPr>
      <w:rPr>
        <w:rFonts w:ascii="Symbol" w:hAnsi="Symbol"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7" w15:restartNumberingAfterBreak="0">
    <w:nsid w:val="094B3567"/>
    <w:multiLevelType w:val="hybridMultilevel"/>
    <w:tmpl w:val="1742B27A"/>
    <w:lvl w:ilvl="0" w:tplc="FDA8A058">
      <w:start w:val="13"/>
      <w:numFmt w:val="bullet"/>
      <w:lvlText w:val="•"/>
      <w:lvlJc w:val="left"/>
      <w:pPr>
        <w:ind w:left="1915" w:hanging="360"/>
      </w:pPr>
      <w:rPr>
        <w:rFonts w:ascii="Times New Roman" w:eastAsia="Times New Roman" w:hAnsi="Times New Roman" w:cs="Times New Roman"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8" w15:restartNumberingAfterBreak="0">
    <w:nsid w:val="0F6135D2"/>
    <w:multiLevelType w:val="hybridMultilevel"/>
    <w:tmpl w:val="D42E74EA"/>
    <w:lvl w:ilvl="0" w:tplc="0409000F">
      <w:start w:val="1"/>
      <w:numFmt w:val="decimal"/>
      <w:lvlText w:val="%1."/>
      <w:lvlJc w:val="left"/>
      <w:pPr>
        <w:ind w:left="1915" w:hanging="360"/>
      </w:pPr>
      <w:rPr>
        <w:rFonts w:hint="default"/>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9" w15:restartNumberingAfterBreak="0">
    <w:nsid w:val="0FF84CB0"/>
    <w:multiLevelType w:val="hybridMultilevel"/>
    <w:tmpl w:val="5A68E3D2"/>
    <w:lvl w:ilvl="0" w:tplc="04090003">
      <w:start w:val="1"/>
      <w:numFmt w:val="bullet"/>
      <w:lvlText w:val="o"/>
      <w:lvlJc w:val="left"/>
      <w:pPr>
        <w:ind w:left="1626" w:hanging="360"/>
      </w:pPr>
      <w:rPr>
        <w:rFonts w:ascii="Courier New" w:hAnsi="Courier New" w:cs="Courier New" w:hint="default"/>
      </w:rPr>
    </w:lvl>
    <w:lvl w:ilvl="1" w:tplc="04090003">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10" w15:restartNumberingAfterBreak="0">
    <w:nsid w:val="12ED52DA"/>
    <w:multiLevelType w:val="hybridMultilevel"/>
    <w:tmpl w:val="3E7EC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B09E5"/>
    <w:multiLevelType w:val="hybridMultilevel"/>
    <w:tmpl w:val="BF20D7DC"/>
    <w:lvl w:ilvl="0" w:tplc="FDA8A058">
      <w:start w:val="13"/>
      <w:numFmt w:val="bullet"/>
      <w:lvlText w:val="•"/>
      <w:lvlJc w:val="left"/>
      <w:pPr>
        <w:ind w:left="2635" w:hanging="360"/>
      </w:pPr>
      <w:rPr>
        <w:rFonts w:ascii="Times New Roman" w:eastAsia="Times New Roman" w:hAnsi="Times New Roman" w:cs="Times New Roman" w:hint="default"/>
      </w:rPr>
    </w:lvl>
    <w:lvl w:ilvl="1" w:tplc="FDA8A058">
      <w:start w:val="13"/>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582613"/>
    <w:multiLevelType w:val="hybridMultilevel"/>
    <w:tmpl w:val="B4E2E66A"/>
    <w:lvl w:ilvl="0" w:tplc="9126FFBE">
      <w:numFmt w:val="bullet"/>
      <w:lvlText w:val="•"/>
      <w:lvlJc w:val="left"/>
      <w:pPr>
        <w:ind w:left="1800" w:hanging="360"/>
      </w:pPr>
      <w:rPr>
        <w:rFonts w:ascii="Tahoma" w:eastAsiaTheme="minorHAnsi"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A7D5AF1"/>
    <w:multiLevelType w:val="hybridMultilevel"/>
    <w:tmpl w:val="1F0C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B5265"/>
    <w:multiLevelType w:val="hybridMultilevel"/>
    <w:tmpl w:val="6DFCF4C6"/>
    <w:lvl w:ilvl="0" w:tplc="FDA8A058">
      <w:start w:val="13"/>
      <w:numFmt w:val="bullet"/>
      <w:lvlText w:val="•"/>
      <w:lvlJc w:val="left"/>
      <w:pPr>
        <w:ind w:left="1699" w:hanging="360"/>
      </w:pPr>
      <w:rPr>
        <w:rFonts w:ascii="Times New Roman" w:eastAsia="Times New Roman" w:hAnsi="Times New Roman" w:cs="Times New Roman"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5" w15:restartNumberingAfterBreak="0">
    <w:nsid w:val="1DE2119D"/>
    <w:multiLevelType w:val="hybridMultilevel"/>
    <w:tmpl w:val="C2886C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2A302C3"/>
    <w:multiLevelType w:val="hybridMultilevel"/>
    <w:tmpl w:val="3EDC022C"/>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7" w15:restartNumberingAfterBreak="0">
    <w:nsid w:val="23DD05EE"/>
    <w:multiLevelType w:val="hybridMultilevel"/>
    <w:tmpl w:val="6D6C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94120"/>
    <w:multiLevelType w:val="hybridMultilevel"/>
    <w:tmpl w:val="6F22E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E47AE2"/>
    <w:multiLevelType w:val="hybridMultilevel"/>
    <w:tmpl w:val="E9E2090A"/>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20" w15:restartNumberingAfterBreak="0">
    <w:nsid w:val="2C700AF5"/>
    <w:multiLevelType w:val="hybridMultilevel"/>
    <w:tmpl w:val="FA402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90095D"/>
    <w:multiLevelType w:val="hybridMultilevel"/>
    <w:tmpl w:val="B4DC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973F6A"/>
    <w:multiLevelType w:val="hybridMultilevel"/>
    <w:tmpl w:val="140EC736"/>
    <w:lvl w:ilvl="0" w:tplc="04090001">
      <w:start w:val="1"/>
      <w:numFmt w:val="bullet"/>
      <w:lvlText w:val=""/>
      <w:lvlJc w:val="left"/>
      <w:pPr>
        <w:tabs>
          <w:tab w:val="num" w:pos="360"/>
        </w:tabs>
        <w:ind w:left="360" w:hanging="360"/>
      </w:pPr>
      <w:rPr>
        <w:rFonts w:ascii="Symbol" w:hAnsi="Symbol" w:hint="default"/>
        <w:color w:val="auto"/>
        <w:sz w:val="24"/>
        <w:szCs w:val="24"/>
      </w:rPr>
    </w:lvl>
    <w:lvl w:ilvl="1" w:tplc="04090001">
      <w:start w:val="1"/>
      <w:numFmt w:val="bullet"/>
      <w:lvlText w:val=""/>
      <w:lvlJc w:val="left"/>
      <w:pPr>
        <w:tabs>
          <w:tab w:val="num" w:pos="1440"/>
        </w:tabs>
        <w:ind w:left="1440" w:hanging="360"/>
      </w:pPr>
      <w:rPr>
        <w:rFonts w:ascii="Symbol" w:hAnsi="Symbol" w:hint="default"/>
        <w:sz w:val="24"/>
        <w:szCs w:val="24"/>
      </w:rPr>
    </w:lvl>
    <w:lvl w:ilvl="2" w:tplc="B3647E92">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D76C73"/>
    <w:multiLevelType w:val="hybridMultilevel"/>
    <w:tmpl w:val="B4DE2A58"/>
    <w:lvl w:ilvl="0" w:tplc="5C84ABAC">
      <w:start w:val="1"/>
      <w:numFmt w:val="bullet"/>
      <w:lvlText w:val=""/>
      <w:lvlJc w:val="left"/>
      <w:pPr>
        <w:ind w:left="1800" w:hanging="360"/>
      </w:pPr>
      <w:rPr>
        <w:rFonts w:ascii="Symbol" w:hAnsi="Symbol" w:hint="default"/>
        <w:sz w:val="18"/>
        <w:szCs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A20291D"/>
    <w:multiLevelType w:val="hybridMultilevel"/>
    <w:tmpl w:val="7E363F96"/>
    <w:lvl w:ilvl="0" w:tplc="0480042E">
      <w:start w:val="1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C17F7B"/>
    <w:multiLevelType w:val="hybridMultilevel"/>
    <w:tmpl w:val="AD926A1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0430089"/>
    <w:multiLevelType w:val="hybridMultilevel"/>
    <w:tmpl w:val="8EA2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71564"/>
    <w:multiLevelType w:val="hybridMultilevel"/>
    <w:tmpl w:val="7E866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6A2E80"/>
    <w:multiLevelType w:val="hybridMultilevel"/>
    <w:tmpl w:val="1E10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417A53"/>
    <w:multiLevelType w:val="hybridMultilevel"/>
    <w:tmpl w:val="298C55CE"/>
    <w:lvl w:ilvl="0" w:tplc="6352D80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31B1CD0"/>
    <w:multiLevelType w:val="hybridMultilevel"/>
    <w:tmpl w:val="19FC3FAE"/>
    <w:lvl w:ilvl="0" w:tplc="04090001">
      <w:start w:val="1"/>
      <w:numFmt w:val="bullet"/>
      <w:lvlText w:val=""/>
      <w:lvlJc w:val="left"/>
      <w:pPr>
        <w:ind w:left="4435" w:hanging="360"/>
      </w:pPr>
      <w:rPr>
        <w:rFonts w:ascii="Symbol" w:hAnsi="Symbol" w:hint="default"/>
      </w:rPr>
    </w:lvl>
    <w:lvl w:ilvl="1" w:tplc="04090003">
      <w:start w:val="1"/>
      <w:numFmt w:val="bullet"/>
      <w:lvlText w:val="o"/>
      <w:lvlJc w:val="left"/>
      <w:pPr>
        <w:ind w:left="5155" w:hanging="360"/>
      </w:pPr>
      <w:rPr>
        <w:rFonts w:ascii="Courier New" w:hAnsi="Courier New" w:cs="Courier New" w:hint="default"/>
      </w:rPr>
    </w:lvl>
    <w:lvl w:ilvl="2" w:tplc="04090005" w:tentative="1">
      <w:start w:val="1"/>
      <w:numFmt w:val="bullet"/>
      <w:lvlText w:val=""/>
      <w:lvlJc w:val="left"/>
      <w:pPr>
        <w:ind w:left="5875" w:hanging="360"/>
      </w:pPr>
      <w:rPr>
        <w:rFonts w:ascii="Wingdings" w:hAnsi="Wingdings" w:hint="default"/>
      </w:rPr>
    </w:lvl>
    <w:lvl w:ilvl="3" w:tplc="04090001" w:tentative="1">
      <w:start w:val="1"/>
      <w:numFmt w:val="bullet"/>
      <w:lvlText w:val=""/>
      <w:lvlJc w:val="left"/>
      <w:pPr>
        <w:ind w:left="6595" w:hanging="360"/>
      </w:pPr>
      <w:rPr>
        <w:rFonts w:ascii="Symbol" w:hAnsi="Symbol" w:hint="default"/>
      </w:rPr>
    </w:lvl>
    <w:lvl w:ilvl="4" w:tplc="04090003" w:tentative="1">
      <w:start w:val="1"/>
      <w:numFmt w:val="bullet"/>
      <w:lvlText w:val="o"/>
      <w:lvlJc w:val="left"/>
      <w:pPr>
        <w:ind w:left="7315" w:hanging="360"/>
      </w:pPr>
      <w:rPr>
        <w:rFonts w:ascii="Courier New" w:hAnsi="Courier New" w:cs="Courier New" w:hint="default"/>
      </w:rPr>
    </w:lvl>
    <w:lvl w:ilvl="5" w:tplc="04090005" w:tentative="1">
      <w:start w:val="1"/>
      <w:numFmt w:val="bullet"/>
      <w:lvlText w:val=""/>
      <w:lvlJc w:val="left"/>
      <w:pPr>
        <w:ind w:left="8035" w:hanging="360"/>
      </w:pPr>
      <w:rPr>
        <w:rFonts w:ascii="Wingdings" w:hAnsi="Wingdings" w:hint="default"/>
      </w:rPr>
    </w:lvl>
    <w:lvl w:ilvl="6" w:tplc="04090001" w:tentative="1">
      <w:start w:val="1"/>
      <w:numFmt w:val="bullet"/>
      <w:lvlText w:val=""/>
      <w:lvlJc w:val="left"/>
      <w:pPr>
        <w:ind w:left="8755" w:hanging="360"/>
      </w:pPr>
      <w:rPr>
        <w:rFonts w:ascii="Symbol" w:hAnsi="Symbol" w:hint="default"/>
      </w:rPr>
    </w:lvl>
    <w:lvl w:ilvl="7" w:tplc="04090003" w:tentative="1">
      <w:start w:val="1"/>
      <w:numFmt w:val="bullet"/>
      <w:lvlText w:val="o"/>
      <w:lvlJc w:val="left"/>
      <w:pPr>
        <w:ind w:left="9475" w:hanging="360"/>
      </w:pPr>
      <w:rPr>
        <w:rFonts w:ascii="Courier New" w:hAnsi="Courier New" w:cs="Courier New" w:hint="default"/>
      </w:rPr>
    </w:lvl>
    <w:lvl w:ilvl="8" w:tplc="04090005" w:tentative="1">
      <w:start w:val="1"/>
      <w:numFmt w:val="bullet"/>
      <w:lvlText w:val=""/>
      <w:lvlJc w:val="left"/>
      <w:pPr>
        <w:ind w:left="10195" w:hanging="360"/>
      </w:pPr>
      <w:rPr>
        <w:rFonts w:ascii="Wingdings" w:hAnsi="Wingdings" w:hint="default"/>
      </w:rPr>
    </w:lvl>
  </w:abstractNum>
  <w:abstractNum w:abstractNumId="31" w15:restartNumberingAfterBreak="0">
    <w:nsid w:val="46980B79"/>
    <w:multiLevelType w:val="hybridMultilevel"/>
    <w:tmpl w:val="A4B686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75413FC"/>
    <w:multiLevelType w:val="hybridMultilevel"/>
    <w:tmpl w:val="BB425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B050BA"/>
    <w:multiLevelType w:val="hybridMultilevel"/>
    <w:tmpl w:val="73A61214"/>
    <w:lvl w:ilvl="0" w:tplc="0480042E">
      <w:start w:val="1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94E7709"/>
    <w:multiLevelType w:val="hybridMultilevel"/>
    <w:tmpl w:val="CB30681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C88394E"/>
    <w:multiLevelType w:val="hybridMultilevel"/>
    <w:tmpl w:val="6D72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B13A2E"/>
    <w:multiLevelType w:val="hybridMultilevel"/>
    <w:tmpl w:val="674AE1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A350E9"/>
    <w:multiLevelType w:val="hybridMultilevel"/>
    <w:tmpl w:val="8F0C3614"/>
    <w:lvl w:ilvl="0" w:tplc="9126FFBE">
      <w:numFmt w:val="bullet"/>
      <w:lvlText w:val="•"/>
      <w:lvlJc w:val="left"/>
      <w:pPr>
        <w:ind w:left="979" w:hanging="360"/>
      </w:pPr>
      <w:rPr>
        <w:rFonts w:ascii="Tahoma" w:eastAsiaTheme="minorHAnsi" w:hAnsi="Tahoma" w:cs="Tahoma" w:hint="default"/>
      </w:rPr>
    </w:lvl>
    <w:lvl w:ilvl="1" w:tplc="04090003">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8" w15:restartNumberingAfterBreak="0">
    <w:nsid w:val="57FA6734"/>
    <w:multiLevelType w:val="hybridMultilevel"/>
    <w:tmpl w:val="344E174C"/>
    <w:lvl w:ilvl="0" w:tplc="FDA8A058">
      <w:start w:val="1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8D93EB9"/>
    <w:multiLevelType w:val="hybridMultilevel"/>
    <w:tmpl w:val="0050573E"/>
    <w:lvl w:ilvl="0" w:tplc="675A8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BA21AC6"/>
    <w:multiLevelType w:val="hybridMultilevel"/>
    <w:tmpl w:val="CD1E83CC"/>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1" w15:restartNumberingAfterBreak="0">
    <w:nsid w:val="5C2C4969"/>
    <w:multiLevelType w:val="hybridMultilevel"/>
    <w:tmpl w:val="1DBC2D70"/>
    <w:lvl w:ilvl="0" w:tplc="9126FFBE">
      <w:numFmt w:val="bullet"/>
      <w:lvlText w:val="•"/>
      <w:lvlJc w:val="left"/>
      <w:pPr>
        <w:ind w:left="1800" w:hanging="360"/>
      </w:pPr>
      <w:rPr>
        <w:rFonts w:ascii="Tahoma" w:eastAsiaTheme="minorHAnsi" w:hAnsi="Tahoma" w:cs="Tahoma" w:hint="default"/>
        <w:sz w:val="18"/>
        <w:szCs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06D01AD"/>
    <w:multiLevelType w:val="hybridMultilevel"/>
    <w:tmpl w:val="4D504424"/>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43" w15:restartNumberingAfterBreak="0">
    <w:nsid w:val="611F38BB"/>
    <w:multiLevelType w:val="hybridMultilevel"/>
    <w:tmpl w:val="1E448676"/>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4" w15:restartNumberingAfterBreak="0">
    <w:nsid w:val="63A61792"/>
    <w:multiLevelType w:val="hybridMultilevel"/>
    <w:tmpl w:val="0898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CA0FB8"/>
    <w:multiLevelType w:val="hybridMultilevel"/>
    <w:tmpl w:val="7542E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8112499"/>
    <w:multiLevelType w:val="hybridMultilevel"/>
    <w:tmpl w:val="87740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776E27"/>
    <w:multiLevelType w:val="hybridMultilevel"/>
    <w:tmpl w:val="969A0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A6372F"/>
    <w:multiLevelType w:val="hybridMultilevel"/>
    <w:tmpl w:val="7DA0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E90C42"/>
    <w:multiLevelType w:val="hybridMultilevel"/>
    <w:tmpl w:val="03343EB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70A82263"/>
    <w:multiLevelType w:val="hybridMultilevel"/>
    <w:tmpl w:val="F724E7E0"/>
    <w:lvl w:ilvl="0" w:tplc="FDA8A058">
      <w:start w:val="13"/>
      <w:numFmt w:val="bullet"/>
      <w:lvlText w:val="•"/>
      <w:lvlJc w:val="left"/>
      <w:pPr>
        <w:ind w:left="1915" w:hanging="360"/>
      </w:pPr>
      <w:rPr>
        <w:rFonts w:ascii="Times New Roman" w:eastAsia="Times New Roman" w:hAnsi="Times New Roman" w:cs="Times New Roman"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51" w15:restartNumberingAfterBreak="0">
    <w:nsid w:val="72696746"/>
    <w:multiLevelType w:val="hybridMultilevel"/>
    <w:tmpl w:val="11C06B04"/>
    <w:lvl w:ilvl="0" w:tplc="9126FFBE">
      <w:numFmt w:val="bullet"/>
      <w:lvlText w:val="•"/>
      <w:lvlJc w:val="left"/>
      <w:pPr>
        <w:ind w:left="720" w:hanging="360"/>
      </w:pPr>
      <w:rPr>
        <w:rFonts w:ascii="Tahoma" w:eastAsiaTheme="minorHAnsi" w:hAnsi="Tahoma" w:cs="Tahoma" w:hint="default"/>
      </w:rPr>
    </w:lvl>
    <w:lvl w:ilvl="1" w:tplc="9126FFBE">
      <w:numFmt w:val="bullet"/>
      <w:lvlText w:val="•"/>
      <w:lvlJc w:val="left"/>
      <w:pPr>
        <w:ind w:left="1440" w:hanging="360"/>
      </w:pPr>
      <w:rPr>
        <w:rFonts w:ascii="Tahoma" w:eastAsiaTheme="minorHAns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98573E"/>
    <w:multiLevelType w:val="hybridMultilevel"/>
    <w:tmpl w:val="58D8AB5E"/>
    <w:lvl w:ilvl="0" w:tplc="9126FFBE">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F70BFF"/>
    <w:multiLevelType w:val="hybridMultilevel"/>
    <w:tmpl w:val="26085E24"/>
    <w:lvl w:ilvl="0" w:tplc="04090003">
      <w:start w:val="1"/>
      <w:numFmt w:val="bullet"/>
      <w:lvlText w:val="o"/>
      <w:lvlJc w:val="left"/>
      <w:pPr>
        <w:ind w:left="2105" w:hanging="360"/>
      </w:pPr>
      <w:rPr>
        <w:rFonts w:ascii="Courier New" w:hAnsi="Courier New" w:cs="Courier New" w:hint="default"/>
      </w:rPr>
    </w:lvl>
    <w:lvl w:ilvl="1" w:tplc="04090003">
      <w:start w:val="1"/>
      <w:numFmt w:val="bullet"/>
      <w:lvlText w:val="o"/>
      <w:lvlJc w:val="left"/>
      <w:pPr>
        <w:ind w:left="2825" w:hanging="360"/>
      </w:pPr>
      <w:rPr>
        <w:rFonts w:ascii="Courier New" w:hAnsi="Courier New" w:cs="Courier New" w:hint="default"/>
      </w:rPr>
    </w:lvl>
    <w:lvl w:ilvl="2" w:tplc="04090005">
      <w:start w:val="1"/>
      <w:numFmt w:val="bullet"/>
      <w:lvlText w:val=""/>
      <w:lvlJc w:val="left"/>
      <w:pPr>
        <w:ind w:left="3545" w:hanging="360"/>
      </w:pPr>
      <w:rPr>
        <w:rFonts w:ascii="Wingdings" w:hAnsi="Wingdings" w:hint="default"/>
      </w:rPr>
    </w:lvl>
    <w:lvl w:ilvl="3" w:tplc="04090001" w:tentative="1">
      <w:start w:val="1"/>
      <w:numFmt w:val="bullet"/>
      <w:lvlText w:val=""/>
      <w:lvlJc w:val="left"/>
      <w:pPr>
        <w:ind w:left="4265" w:hanging="360"/>
      </w:pPr>
      <w:rPr>
        <w:rFonts w:ascii="Symbol" w:hAnsi="Symbol" w:hint="default"/>
      </w:rPr>
    </w:lvl>
    <w:lvl w:ilvl="4" w:tplc="04090003" w:tentative="1">
      <w:start w:val="1"/>
      <w:numFmt w:val="bullet"/>
      <w:lvlText w:val="o"/>
      <w:lvlJc w:val="left"/>
      <w:pPr>
        <w:ind w:left="4985" w:hanging="360"/>
      </w:pPr>
      <w:rPr>
        <w:rFonts w:ascii="Courier New" w:hAnsi="Courier New" w:cs="Courier New" w:hint="default"/>
      </w:rPr>
    </w:lvl>
    <w:lvl w:ilvl="5" w:tplc="04090005" w:tentative="1">
      <w:start w:val="1"/>
      <w:numFmt w:val="bullet"/>
      <w:lvlText w:val=""/>
      <w:lvlJc w:val="left"/>
      <w:pPr>
        <w:ind w:left="5705" w:hanging="360"/>
      </w:pPr>
      <w:rPr>
        <w:rFonts w:ascii="Wingdings" w:hAnsi="Wingdings" w:hint="default"/>
      </w:rPr>
    </w:lvl>
    <w:lvl w:ilvl="6" w:tplc="04090001" w:tentative="1">
      <w:start w:val="1"/>
      <w:numFmt w:val="bullet"/>
      <w:lvlText w:val=""/>
      <w:lvlJc w:val="left"/>
      <w:pPr>
        <w:ind w:left="6425" w:hanging="360"/>
      </w:pPr>
      <w:rPr>
        <w:rFonts w:ascii="Symbol" w:hAnsi="Symbol" w:hint="default"/>
      </w:rPr>
    </w:lvl>
    <w:lvl w:ilvl="7" w:tplc="04090003" w:tentative="1">
      <w:start w:val="1"/>
      <w:numFmt w:val="bullet"/>
      <w:lvlText w:val="o"/>
      <w:lvlJc w:val="left"/>
      <w:pPr>
        <w:ind w:left="7145" w:hanging="360"/>
      </w:pPr>
      <w:rPr>
        <w:rFonts w:ascii="Courier New" w:hAnsi="Courier New" w:cs="Courier New" w:hint="default"/>
      </w:rPr>
    </w:lvl>
    <w:lvl w:ilvl="8" w:tplc="04090005" w:tentative="1">
      <w:start w:val="1"/>
      <w:numFmt w:val="bullet"/>
      <w:lvlText w:val=""/>
      <w:lvlJc w:val="left"/>
      <w:pPr>
        <w:ind w:left="7865" w:hanging="360"/>
      </w:pPr>
      <w:rPr>
        <w:rFonts w:ascii="Wingdings" w:hAnsi="Wingdings" w:hint="default"/>
      </w:rPr>
    </w:lvl>
  </w:abstractNum>
  <w:abstractNum w:abstractNumId="54" w15:restartNumberingAfterBreak="0">
    <w:nsid w:val="74BF2102"/>
    <w:multiLevelType w:val="hybridMultilevel"/>
    <w:tmpl w:val="0EBA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242772"/>
    <w:multiLevelType w:val="hybridMultilevel"/>
    <w:tmpl w:val="929C12F0"/>
    <w:lvl w:ilvl="0" w:tplc="9126FFBE">
      <w:numFmt w:val="bullet"/>
      <w:lvlText w:val="•"/>
      <w:lvlJc w:val="left"/>
      <w:pPr>
        <w:ind w:left="720" w:hanging="360"/>
      </w:pPr>
      <w:rPr>
        <w:rFonts w:ascii="Tahoma" w:eastAsiaTheme="minorHAnsi" w:hAnsi="Tahoma" w:cs="Tahoma" w:hint="default"/>
      </w:rPr>
    </w:lvl>
    <w:lvl w:ilvl="1" w:tplc="9126FFBE">
      <w:numFmt w:val="bullet"/>
      <w:lvlText w:val="•"/>
      <w:lvlJc w:val="left"/>
      <w:pPr>
        <w:ind w:left="1440" w:hanging="360"/>
      </w:pPr>
      <w:rPr>
        <w:rFonts w:ascii="Tahoma" w:eastAsiaTheme="minorHAnsi" w:hAnsi="Tahoma" w:cs="Tahoma"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B33F1C"/>
    <w:multiLevelType w:val="hybridMultilevel"/>
    <w:tmpl w:val="B1DA7A72"/>
    <w:lvl w:ilvl="0" w:tplc="FDA8A058">
      <w:start w:val="13"/>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527063101">
    <w:abstractNumId w:val="16"/>
  </w:num>
  <w:num w:numId="2" w16cid:durableId="1562473229">
    <w:abstractNumId w:val="37"/>
  </w:num>
  <w:num w:numId="3" w16cid:durableId="2141416569">
    <w:abstractNumId w:val="4"/>
  </w:num>
  <w:num w:numId="4" w16cid:durableId="1633099988">
    <w:abstractNumId w:val="53"/>
  </w:num>
  <w:num w:numId="5" w16cid:durableId="1900363429">
    <w:abstractNumId w:val="50"/>
  </w:num>
  <w:num w:numId="6" w16cid:durableId="1318076834">
    <w:abstractNumId w:val="22"/>
  </w:num>
  <w:num w:numId="7" w16cid:durableId="647397153">
    <w:abstractNumId w:val="6"/>
  </w:num>
  <w:num w:numId="8" w16cid:durableId="1212688452">
    <w:abstractNumId w:val="23"/>
  </w:num>
  <w:num w:numId="9" w16cid:durableId="387270253">
    <w:abstractNumId w:val="30"/>
  </w:num>
  <w:num w:numId="10" w16cid:durableId="449201711">
    <w:abstractNumId w:val="19"/>
  </w:num>
  <w:num w:numId="11" w16cid:durableId="1794711086">
    <w:abstractNumId w:val="26"/>
  </w:num>
  <w:num w:numId="12" w16cid:durableId="922490837">
    <w:abstractNumId w:val="49"/>
  </w:num>
  <w:num w:numId="13" w16cid:durableId="1901556434">
    <w:abstractNumId w:val="7"/>
  </w:num>
  <w:num w:numId="14" w16cid:durableId="224267238">
    <w:abstractNumId w:val="45"/>
  </w:num>
  <w:num w:numId="15" w16cid:durableId="1393311386">
    <w:abstractNumId w:val="9"/>
  </w:num>
  <w:num w:numId="16" w16cid:durableId="719476887">
    <w:abstractNumId w:val="38"/>
  </w:num>
  <w:num w:numId="17" w16cid:durableId="445391557">
    <w:abstractNumId w:val="11"/>
  </w:num>
  <w:num w:numId="18" w16cid:durableId="1181746325">
    <w:abstractNumId w:val="24"/>
  </w:num>
  <w:num w:numId="19" w16cid:durableId="533881737">
    <w:abstractNumId w:val="33"/>
  </w:num>
  <w:num w:numId="20" w16cid:durableId="1425153645">
    <w:abstractNumId w:val="39"/>
  </w:num>
  <w:num w:numId="21" w16cid:durableId="118228841">
    <w:abstractNumId w:val="32"/>
  </w:num>
  <w:num w:numId="22" w16cid:durableId="93593108">
    <w:abstractNumId w:val="8"/>
  </w:num>
  <w:num w:numId="23" w16cid:durableId="292946803">
    <w:abstractNumId w:val="56"/>
  </w:num>
  <w:num w:numId="24" w16cid:durableId="1568149171">
    <w:abstractNumId w:val="15"/>
  </w:num>
  <w:num w:numId="25" w16cid:durableId="382337324">
    <w:abstractNumId w:val="41"/>
  </w:num>
  <w:num w:numId="26" w16cid:durableId="195581490">
    <w:abstractNumId w:val="55"/>
  </w:num>
  <w:num w:numId="27" w16cid:durableId="1933320187">
    <w:abstractNumId w:val="2"/>
  </w:num>
  <w:num w:numId="28" w16cid:durableId="1273392190">
    <w:abstractNumId w:val="3"/>
  </w:num>
  <w:num w:numId="29" w16cid:durableId="153574468">
    <w:abstractNumId w:val="35"/>
  </w:num>
  <w:num w:numId="30" w16cid:durableId="717167987">
    <w:abstractNumId w:val="28"/>
  </w:num>
  <w:num w:numId="31" w16cid:durableId="860359458">
    <w:abstractNumId w:val="14"/>
  </w:num>
  <w:num w:numId="32" w16cid:durableId="2001346627">
    <w:abstractNumId w:val="12"/>
  </w:num>
  <w:num w:numId="33" w16cid:durableId="1453861258">
    <w:abstractNumId w:val="52"/>
  </w:num>
  <w:num w:numId="34" w16cid:durableId="791632078">
    <w:abstractNumId w:val="51"/>
  </w:num>
  <w:num w:numId="35" w16cid:durableId="313409143">
    <w:abstractNumId w:val="48"/>
  </w:num>
  <w:num w:numId="36" w16cid:durableId="1102141518">
    <w:abstractNumId w:val="34"/>
  </w:num>
  <w:num w:numId="37" w16cid:durableId="1121917627">
    <w:abstractNumId w:val="25"/>
  </w:num>
  <w:num w:numId="38" w16cid:durableId="921261025">
    <w:abstractNumId w:val="36"/>
  </w:num>
  <w:num w:numId="39" w16cid:durableId="1147012742">
    <w:abstractNumId w:val="27"/>
  </w:num>
  <w:num w:numId="40" w16cid:durableId="192965361">
    <w:abstractNumId w:val="20"/>
  </w:num>
  <w:num w:numId="41" w16cid:durableId="1493567653">
    <w:abstractNumId w:val="13"/>
  </w:num>
  <w:num w:numId="42" w16cid:durableId="1741901710">
    <w:abstractNumId w:val="10"/>
  </w:num>
  <w:num w:numId="43" w16cid:durableId="776949809">
    <w:abstractNumId w:val="54"/>
  </w:num>
  <w:num w:numId="44" w16cid:durableId="939291660">
    <w:abstractNumId w:val="21"/>
  </w:num>
  <w:num w:numId="45" w16cid:durableId="2012679351">
    <w:abstractNumId w:val="31"/>
  </w:num>
  <w:num w:numId="46" w16cid:durableId="2062055728">
    <w:abstractNumId w:val="43"/>
  </w:num>
  <w:num w:numId="47" w16cid:durableId="573927737">
    <w:abstractNumId w:val="46"/>
  </w:num>
  <w:num w:numId="48" w16cid:durableId="1848128719">
    <w:abstractNumId w:val="29"/>
  </w:num>
  <w:num w:numId="49" w16cid:durableId="143160473">
    <w:abstractNumId w:val="5"/>
  </w:num>
  <w:num w:numId="50" w16cid:durableId="1327780972">
    <w:abstractNumId w:val="40"/>
  </w:num>
  <w:num w:numId="51" w16cid:durableId="712193669">
    <w:abstractNumId w:val="18"/>
  </w:num>
  <w:num w:numId="52" w16cid:durableId="1865317727">
    <w:abstractNumId w:val="47"/>
  </w:num>
  <w:num w:numId="53" w16cid:durableId="1829712324">
    <w:abstractNumId w:val="44"/>
  </w:num>
  <w:num w:numId="54" w16cid:durableId="727608391">
    <w:abstractNumId w:val="17"/>
  </w:num>
  <w:num w:numId="55" w16cid:durableId="1066143490">
    <w:abstractNumId w:val="42"/>
  </w:num>
  <w:num w:numId="56" w16cid:durableId="1276982060">
    <w:abstractNumId w:val="1"/>
  </w:num>
  <w:num w:numId="57" w16cid:durableId="5066394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EAxpbOpw67ecEveXopJAjQmSuaPdDf1XbuIbyf636Qn6atVcQfRwO4IfojJwgkPJFsYMyL3T0/0Jy9FsWr2YiA==" w:salt="/5oI4RnB4LnkIRKVzOKvM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9C"/>
    <w:rsid w:val="00005F8F"/>
    <w:rsid w:val="00006332"/>
    <w:rsid w:val="000077E6"/>
    <w:rsid w:val="00011361"/>
    <w:rsid w:val="0002097F"/>
    <w:rsid w:val="00021CA8"/>
    <w:rsid w:val="00022F01"/>
    <w:rsid w:val="00026270"/>
    <w:rsid w:val="00027056"/>
    <w:rsid w:val="0002739F"/>
    <w:rsid w:val="0003014A"/>
    <w:rsid w:val="000301EF"/>
    <w:rsid w:val="00032B87"/>
    <w:rsid w:val="00036D2E"/>
    <w:rsid w:val="0004189C"/>
    <w:rsid w:val="000425D4"/>
    <w:rsid w:val="00042FAE"/>
    <w:rsid w:val="00044957"/>
    <w:rsid w:val="000517AE"/>
    <w:rsid w:val="00051E5C"/>
    <w:rsid w:val="00055860"/>
    <w:rsid w:val="00060120"/>
    <w:rsid w:val="00063581"/>
    <w:rsid w:val="0006597A"/>
    <w:rsid w:val="000669C4"/>
    <w:rsid w:val="00073432"/>
    <w:rsid w:val="00073C66"/>
    <w:rsid w:val="00074DE2"/>
    <w:rsid w:val="00075B97"/>
    <w:rsid w:val="0007784B"/>
    <w:rsid w:val="00082FAA"/>
    <w:rsid w:val="00083108"/>
    <w:rsid w:val="00083D78"/>
    <w:rsid w:val="00084F08"/>
    <w:rsid w:val="00086655"/>
    <w:rsid w:val="00091F5A"/>
    <w:rsid w:val="00097F96"/>
    <w:rsid w:val="000A0EE8"/>
    <w:rsid w:val="000A2584"/>
    <w:rsid w:val="000A5F5A"/>
    <w:rsid w:val="000B0CDF"/>
    <w:rsid w:val="000B58D4"/>
    <w:rsid w:val="000B7055"/>
    <w:rsid w:val="000B7EC7"/>
    <w:rsid w:val="000C41F7"/>
    <w:rsid w:val="000D16EA"/>
    <w:rsid w:val="000D540E"/>
    <w:rsid w:val="000E177B"/>
    <w:rsid w:val="000E406D"/>
    <w:rsid w:val="000E4711"/>
    <w:rsid w:val="000F0C1F"/>
    <w:rsid w:val="000F3F2F"/>
    <w:rsid w:val="000F424B"/>
    <w:rsid w:val="000F7D29"/>
    <w:rsid w:val="00115B95"/>
    <w:rsid w:val="0011767F"/>
    <w:rsid w:val="00120ED2"/>
    <w:rsid w:val="00120F1A"/>
    <w:rsid w:val="0012635C"/>
    <w:rsid w:val="001277D3"/>
    <w:rsid w:val="001323A5"/>
    <w:rsid w:val="00135E8D"/>
    <w:rsid w:val="001432E7"/>
    <w:rsid w:val="001476B8"/>
    <w:rsid w:val="0015096B"/>
    <w:rsid w:val="00154648"/>
    <w:rsid w:val="0015474F"/>
    <w:rsid w:val="00156EB8"/>
    <w:rsid w:val="00160359"/>
    <w:rsid w:val="001647EE"/>
    <w:rsid w:val="00165967"/>
    <w:rsid w:val="0016704C"/>
    <w:rsid w:val="0017110B"/>
    <w:rsid w:val="0017208D"/>
    <w:rsid w:val="00183ED0"/>
    <w:rsid w:val="00184C88"/>
    <w:rsid w:val="001866B6"/>
    <w:rsid w:val="00194B30"/>
    <w:rsid w:val="001B5320"/>
    <w:rsid w:val="001C3527"/>
    <w:rsid w:val="001C558D"/>
    <w:rsid w:val="001C72C6"/>
    <w:rsid w:val="001D0913"/>
    <w:rsid w:val="001D2182"/>
    <w:rsid w:val="001D4FCC"/>
    <w:rsid w:val="001D61AC"/>
    <w:rsid w:val="001E3489"/>
    <w:rsid w:val="001E3C77"/>
    <w:rsid w:val="001E698B"/>
    <w:rsid w:val="001F0847"/>
    <w:rsid w:val="001F1608"/>
    <w:rsid w:val="001F781E"/>
    <w:rsid w:val="002133B7"/>
    <w:rsid w:val="0022674E"/>
    <w:rsid w:val="00242357"/>
    <w:rsid w:val="002433EC"/>
    <w:rsid w:val="002448C4"/>
    <w:rsid w:val="0024665B"/>
    <w:rsid w:val="0025309B"/>
    <w:rsid w:val="00254E85"/>
    <w:rsid w:val="00255BC4"/>
    <w:rsid w:val="002569FE"/>
    <w:rsid w:val="00264D13"/>
    <w:rsid w:val="00271B76"/>
    <w:rsid w:val="00273DD7"/>
    <w:rsid w:val="00277730"/>
    <w:rsid w:val="0028259E"/>
    <w:rsid w:val="0028292F"/>
    <w:rsid w:val="002852E3"/>
    <w:rsid w:val="00287B09"/>
    <w:rsid w:val="00291AB2"/>
    <w:rsid w:val="002A73B2"/>
    <w:rsid w:val="002B1642"/>
    <w:rsid w:val="002B404B"/>
    <w:rsid w:val="002C3535"/>
    <w:rsid w:val="002C4F6F"/>
    <w:rsid w:val="002C71A9"/>
    <w:rsid w:val="002E6EE9"/>
    <w:rsid w:val="00300120"/>
    <w:rsid w:val="00303A7F"/>
    <w:rsid w:val="00305F19"/>
    <w:rsid w:val="003159C9"/>
    <w:rsid w:val="00326C1B"/>
    <w:rsid w:val="00327653"/>
    <w:rsid w:val="00327A97"/>
    <w:rsid w:val="003312B9"/>
    <w:rsid w:val="003400FC"/>
    <w:rsid w:val="00342132"/>
    <w:rsid w:val="00346646"/>
    <w:rsid w:val="00350650"/>
    <w:rsid w:val="0035296C"/>
    <w:rsid w:val="00354898"/>
    <w:rsid w:val="00360EEA"/>
    <w:rsid w:val="003633A9"/>
    <w:rsid w:val="00365EBE"/>
    <w:rsid w:val="00366357"/>
    <w:rsid w:val="00367E1D"/>
    <w:rsid w:val="0037131C"/>
    <w:rsid w:val="00373398"/>
    <w:rsid w:val="003734C5"/>
    <w:rsid w:val="00377373"/>
    <w:rsid w:val="003777C5"/>
    <w:rsid w:val="00381716"/>
    <w:rsid w:val="00391488"/>
    <w:rsid w:val="003926C2"/>
    <w:rsid w:val="00393215"/>
    <w:rsid w:val="003A5981"/>
    <w:rsid w:val="003A5E32"/>
    <w:rsid w:val="003B045B"/>
    <w:rsid w:val="003B537F"/>
    <w:rsid w:val="003E7596"/>
    <w:rsid w:val="003F001B"/>
    <w:rsid w:val="003F0565"/>
    <w:rsid w:val="003F229C"/>
    <w:rsid w:val="003F5827"/>
    <w:rsid w:val="003F5D5A"/>
    <w:rsid w:val="003F6961"/>
    <w:rsid w:val="003F7FB7"/>
    <w:rsid w:val="00403726"/>
    <w:rsid w:val="00403D77"/>
    <w:rsid w:val="00412EA0"/>
    <w:rsid w:val="004143B0"/>
    <w:rsid w:val="00426A62"/>
    <w:rsid w:val="00434DBD"/>
    <w:rsid w:val="004363A3"/>
    <w:rsid w:val="00437443"/>
    <w:rsid w:val="00440E05"/>
    <w:rsid w:val="00441E35"/>
    <w:rsid w:val="00447001"/>
    <w:rsid w:val="00450E3B"/>
    <w:rsid w:val="0045429D"/>
    <w:rsid w:val="00454485"/>
    <w:rsid w:val="00456705"/>
    <w:rsid w:val="00456A9D"/>
    <w:rsid w:val="00461104"/>
    <w:rsid w:val="00461F2D"/>
    <w:rsid w:val="00461FE5"/>
    <w:rsid w:val="004631EB"/>
    <w:rsid w:val="00465323"/>
    <w:rsid w:val="004657DA"/>
    <w:rsid w:val="00485286"/>
    <w:rsid w:val="00485FFF"/>
    <w:rsid w:val="00486B25"/>
    <w:rsid w:val="0049083F"/>
    <w:rsid w:val="00492DB7"/>
    <w:rsid w:val="00494CE9"/>
    <w:rsid w:val="0049598B"/>
    <w:rsid w:val="00497EB0"/>
    <w:rsid w:val="004A5410"/>
    <w:rsid w:val="004B146E"/>
    <w:rsid w:val="004C6AEE"/>
    <w:rsid w:val="004D2005"/>
    <w:rsid w:val="004D3A45"/>
    <w:rsid w:val="004D77F9"/>
    <w:rsid w:val="004E358E"/>
    <w:rsid w:val="004E5F28"/>
    <w:rsid w:val="004E6196"/>
    <w:rsid w:val="004E6D86"/>
    <w:rsid w:val="004E7269"/>
    <w:rsid w:val="004F4242"/>
    <w:rsid w:val="004F72E8"/>
    <w:rsid w:val="005000C0"/>
    <w:rsid w:val="00502CA7"/>
    <w:rsid w:val="00506D8D"/>
    <w:rsid w:val="00507345"/>
    <w:rsid w:val="005118DB"/>
    <w:rsid w:val="00521CB0"/>
    <w:rsid w:val="00521E87"/>
    <w:rsid w:val="00530B41"/>
    <w:rsid w:val="005322EC"/>
    <w:rsid w:val="005323B7"/>
    <w:rsid w:val="005372F9"/>
    <w:rsid w:val="005373E4"/>
    <w:rsid w:val="005463EA"/>
    <w:rsid w:val="00554AF7"/>
    <w:rsid w:val="00556567"/>
    <w:rsid w:val="005706AC"/>
    <w:rsid w:val="00577579"/>
    <w:rsid w:val="00581895"/>
    <w:rsid w:val="005835FB"/>
    <w:rsid w:val="00591B12"/>
    <w:rsid w:val="005921CC"/>
    <w:rsid w:val="00596038"/>
    <w:rsid w:val="005A0945"/>
    <w:rsid w:val="005A22D2"/>
    <w:rsid w:val="005A4821"/>
    <w:rsid w:val="005A568C"/>
    <w:rsid w:val="005B263F"/>
    <w:rsid w:val="005C3170"/>
    <w:rsid w:val="005C38A4"/>
    <w:rsid w:val="005D5E73"/>
    <w:rsid w:val="005D7729"/>
    <w:rsid w:val="005D7E0A"/>
    <w:rsid w:val="005E3BEE"/>
    <w:rsid w:val="005E4502"/>
    <w:rsid w:val="005F16B6"/>
    <w:rsid w:val="0060029A"/>
    <w:rsid w:val="006005C0"/>
    <w:rsid w:val="00602442"/>
    <w:rsid w:val="00605289"/>
    <w:rsid w:val="00607F1D"/>
    <w:rsid w:val="00614705"/>
    <w:rsid w:val="00616468"/>
    <w:rsid w:val="00621131"/>
    <w:rsid w:val="00622371"/>
    <w:rsid w:val="00626D98"/>
    <w:rsid w:val="00627E14"/>
    <w:rsid w:val="00631BE7"/>
    <w:rsid w:val="006339EF"/>
    <w:rsid w:val="00635C50"/>
    <w:rsid w:val="00641269"/>
    <w:rsid w:val="00643801"/>
    <w:rsid w:val="006509F8"/>
    <w:rsid w:val="00656144"/>
    <w:rsid w:val="00665F85"/>
    <w:rsid w:val="006664A2"/>
    <w:rsid w:val="00667CDB"/>
    <w:rsid w:val="0067692B"/>
    <w:rsid w:val="00677B0C"/>
    <w:rsid w:val="0068245A"/>
    <w:rsid w:val="006824D5"/>
    <w:rsid w:val="00682952"/>
    <w:rsid w:val="0068364C"/>
    <w:rsid w:val="00686048"/>
    <w:rsid w:val="006874F8"/>
    <w:rsid w:val="00687D63"/>
    <w:rsid w:val="00694AF9"/>
    <w:rsid w:val="00695871"/>
    <w:rsid w:val="00696522"/>
    <w:rsid w:val="006970B1"/>
    <w:rsid w:val="006977DD"/>
    <w:rsid w:val="006A3575"/>
    <w:rsid w:val="006A63E1"/>
    <w:rsid w:val="006A6D18"/>
    <w:rsid w:val="006C0DD5"/>
    <w:rsid w:val="006C5787"/>
    <w:rsid w:val="006C6D22"/>
    <w:rsid w:val="006D0471"/>
    <w:rsid w:val="006D36E8"/>
    <w:rsid w:val="006D61D1"/>
    <w:rsid w:val="006E12AA"/>
    <w:rsid w:val="006E479A"/>
    <w:rsid w:val="006E4ECE"/>
    <w:rsid w:val="006E6D74"/>
    <w:rsid w:val="006F210C"/>
    <w:rsid w:val="006F2EFF"/>
    <w:rsid w:val="00713689"/>
    <w:rsid w:val="00714CB5"/>
    <w:rsid w:val="00716031"/>
    <w:rsid w:val="00725467"/>
    <w:rsid w:val="007328EE"/>
    <w:rsid w:val="00736A6F"/>
    <w:rsid w:val="00746F03"/>
    <w:rsid w:val="00751554"/>
    <w:rsid w:val="007522A1"/>
    <w:rsid w:val="00752973"/>
    <w:rsid w:val="00754AEB"/>
    <w:rsid w:val="00766F81"/>
    <w:rsid w:val="00773F23"/>
    <w:rsid w:val="00784739"/>
    <w:rsid w:val="0079182C"/>
    <w:rsid w:val="00794DBC"/>
    <w:rsid w:val="00795402"/>
    <w:rsid w:val="00796E93"/>
    <w:rsid w:val="00797F80"/>
    <w:rsid w:val="007A2242"/>
    <w:rsid w:val="007A4208"/>
    <w:rsid w:val="007A614D"/>
    <w:rsid w:val="007A664E"/>
    <w:rsid w:val="007C21B0"/>
    <w:rsid w:val="007D3B6D"/>
    <w:rsid w:val="007D4B09"/>
    <w:rsid w:val="007D542B"/>
    <w:rsid w:val="007E1DFD"/>
    <w:rsid w:val="007E25EA"/>
    <w:rsid w:val="007E2E89"/>
    <w:rsid w:val="007F1B9C"/>
    <w:rsid w:val="007F4523"/>
    <w:rsid w:val="007F5716"/>
    <w:rsid w:val="008025A8"/>
    <w:rsid w:val="008042D8"/>
    <w:rsid w:val="00822310"/>
    <w:rsid w:val="008321EA"/>
    <w:rsid w:val="0083418A"/>
    <w:rsid w:val="00843107"/>
    <w:rsid w:val="00843C83"/>
    <w:rsid w:val="00845084"/>
    <w:rsid w:val="00847D00"/>
    <w:rsid w:val="00852114"/>
    <w:rsid w:val="008521CE"/>
    <w:rsid w:val="00853444"/>
    <w:rsid w:val="00853BDF"/>
    <w:rsid w:val="00856F04"/>
    <w:rsid w:val="008574A0"/>
    <w:rsid w:val="00860E64"/>
    <w:rsid w:val="00863801"/>
    <w:rsid w:val="0087048E"/>
    <w:rsid w:val="00870755"/>
    <w:rsid w:val="00873248"/>
    <w:rsid w:val="00874701"/>
    <w:rsid w:val="0087576E"/>
    <w:rsid w:val="00875DE3"/>
    <w:rsid w:val="0088521D"/>
    <w:rsid w:val="00885474"/>
    <w:rsid w:val="00886A9D"/>
    <w:rsid w:val="00890AB5"/>
    <w:rsid w:val="008949D5"/>
    <w:rsid w:val="00895BD2"/>
    <w:rsid w:val="00896DB8"/>
    <w:rsid w:val="008A5575"/>
    <w:rsid w:val="008B52B1"/>
    <w:rsid w:val="008C0FE6"/>
    <w:rsid w:val="008C318A"/>
    <w:rsid w:val="008C53DE"/>
    <w:rsid w:val="008D0D89"/>
    <w:rsid w:val="008D4A50"/>
    <w:rsid w:val="008D7009"/>
    <w:rsid w:val="008E18C0"/>
    <w:rsid w:val="008E5588"/>
    <w:rsid w:val="008E575C"/>
    <w:rsid w:val="008F0899"/>
    <w:rsid w:val="008F108C"/>
    <w:rsid w:val="008F4FC0"/>
    <w:rsid w:val="008F5C7C"/>
    <w:rsid w:val="00902054"/>
    <w:rsid w:val="009031DB"/>
    <w:rsid w:val="00904EEC"/>
    <w:rsid w:val="00913C34"/>
    <w:rsid w:val="00916658"/>
    <w:rsid w:val="00920476"/>
    <w:rsid w:val="0093372A"/>
    <w:rsid w:val="00934F80"/>
    <w:rsid w:val="0093768C"/>
    <w:rsid w:val="00941761"/>
    <w:rsid w:val="009427A0"/>
    <w:rsid w:val="00947EDB"/>
    <w:rsid w:val="00956189"/>
    <w:rsid w:val="00957ACE"/>
    <w:rsid w:val="00964C9E"/>
    <w:rsid w:val="00966A33"/>
    <w:rsid w:val="0096757E"/>
    <w:rsid w:val="00970118"/>
    <w:rsid w:val="00973A56"/>
    <w:rsid w:val="009776AA"/>
    <w:rsid w:val="0098456E"/>
    <w:rsid w:val="009864D0"/>
    <w:rsid w:val="00990162"/>
    <w:rsid w:val="00992334"/>
    <w:rsid w:val="00995CEE"/>
    <w:rsid w:val="009A3779"/>
    <w:rsid w:val="009A58D7"/>
    <w:rsid w:val="009B420E"/>
    <w:rsid w:val="009B7449"/>
    <w:rsid w:val="009C2199"/>
    <w:rsid w:val="009C512D"/>
    <w:rsid w:val="009C5916"/>
    <w:rsid w:val="009D0E56"/>
    <w:rsid w:val="009E3E98"/>
    <w:rsid w:val="009F02B3"/>
    <w:rsid w:val="009F35E6"/>
    <w:rsid w:val="00A07199"/>
    <w:rsid w:val="00A10635"/>
    <w:rsid w:val="00A112CE"/>
    <w:rsid w:val="00A136E1"/>
    <w:rsid w:val="00A13C01"/>
    <w:rsid w:val="00A14E95"/>
    <w:rsid w:val="00A33E3E"/>
    <w:rsid w:val="00A417A2"/>
    <w:rsid w:val="00A41EEE"/>
    <w:rsid w:val="00A43809"/>
    <w:rsid w:val="00A45D0B"/>
    <w:rsid w:val="00A54FEB"/>
    <w:rsid w:val="00A60818"/>
    <w:rsid w:val="00A657F8"/>
    <w:rsid w:val="00A746E2"/>
    <w:rsid w:val="00A7560A"/>
    <w:rsid w:val="00A763AB"/>
    <w:rsid w:val="00A80504"/>
    <w:rsid w:val="00A84895"/>
    <w:rsid w:val="00A86479"/>
    <w:rsid w:val="00A90374"/>
    <w:rsid w:val="00A923DA"/>
    <w:rsid w:val="00A96C15"/>
    <w:rsid w:val="00AA0CF6"/>
    <w:rsid w:val="00AA6869"/>
    <w:rsid w:val="00AA6BDB"/>
    <w:rsid w:val="00AB0BC2"/>
    <w:rsid w:val="00AB1BB4"/>
    <w:rsid w:val="00AB3CCA"/>
    <w:rsid w:val="00AB3F22"/>
    <w:rsid w:val="00AB3F5F"/>
    <w:rsid w:val="00AC3EBD"/>
    <w:rsid w:val="00AC7FA9"/>
    <w:rsid w:val="00AD4555"/>
    <w:rsid w:val="00AD5869"/>
    <w:rsid w:val="00AE12F9"/>
    <w:rsid w:val="00AE2E92"/>
    <w:rsid w:val="00AE5A1A"/>
    <w:rsid w:val="00AF0B34"/>
    <w:rsid w:val="00AF1DDA"/>
    <w:rsid w:val="00AF3248"/>
    <w:rsid w:val="00AF6D97"/>
    <w:rsid w:val="00B0002A"/>
    <w:rsid w:val="00B025C7"/>
    <w:rsid w:val="00B04759"/>
    <w:rsid w:val="00B15F26"/>
    <w:rsid w:val="00B20B5C"/>
    <w:rsid w:val="00B248AB"/>
    <w:rsid w:val="00B25190"/>
    <w:rsid w:val="00B2533F"/>
    <w:rsid w:val="00B27113"/>
    <w:rsid w:val="00B27D23"/>
    <w:rsid w:val="00B3269B"/>
    <w:rsid w:val="00B337FE"/>
    <w:rsid w:val="00B33D9D"/>
    <w:rsid w:val="00B3499D"/>
    <w:rsid w:val="00B40815"/>
    <w:rsid w:val="00B40C8A"/>
    <w:rsid w:val="00B445CF"/>
    <w:rsid w:val="00B4542F"/>
    <w:rsid w:val="00B45734"/>
    <w:rsid w:val="00B46B92"/>
    <w:rsid w:val="00B5394A"/>
    <w:rsid w:val="00B53FF2"/>
    <w:rsid w:val="00B5740A"/>
    <w:rsid w:val="00B57929"/>
    <w:rsid w:val="00B61B52"/>
    <w:rsid w:val="00B62A28"/>
    <w:rsid w:val="00B63E4D"/>
    <w:rsid w:val="00B6704B"/>
    <w:rsid w:val="00B7050F"/>
    <w:rsid w:val="00B7109B"/>
    <w:rsid w:val="00B75ACC"/>
    <w:rsid w:val="00B803AE"/>
    <w:rsid w:val="00B80D02"/>
    <w:rsid w:val="00B84B43"/>
    <w:rsid w:val="00B85E68"/>
    <w:rsid w:val="00BA02D4"/>
    <w:rsid w:val="00BB2029"/>
    <w:rsid w:val="00BB3AC2"/>
    <w:rsid w:val="00BB613C"/>
    <w:rsid w:val="00BB789E"/>
    <w:rsid w:val="00BD5653"/>
    <w:rsid w:val="00BD6A13"/>
    <w:rsid w:val="00BE32E7"/>
    <w:rsid w:val="00BE3A84"/>
    <w:rsid w:val="00BE51E7"/>
    <w:rsid w:val="00BE67B3"/>
    <w:rsid w:val="00BE718B"/>
    <w:rsid w:val="00BF4E0E"/>
    <w:rsid w:val="00BF4E50"/>
    <w:rsid w:val="00BF644C"/>
    <w:rsid w:val="00C03BEE"/>
    <w:rsid w:val="00C1047D"/>
    <w:rsid w:val="00C10E1C"/>
    <w:rsid w:val="00C13687"/>
    <w:rsid w:val="00C14470"/>
    <w:rsid w:val="00C17DDB"/>
    <w:rsid w:val="00C21151"/>
    <w:rsid w:val="00C27F3C"/>
    <w:rsid w:val="00C3161A"/>
    <w:rsid w:val="00C31E61"/>
    <w:rsid w:val="00C31EC2"/>
    <w:rsid w:val="00C32414"/>
    <w:rsid w:val="00C40857"/>
    <w:rsid w:val="00C40C6B"/>
    <w:rsid w:val="00C41225"/>
    <w:rsid w:val="00C4604D"/>
    <w:rsid w:val="00C52E0E"/>
    <w:rsid w:val="00C6537C"/>
    <w:rsid w:val="00C75E5D"/>
    <w:rsid w:val="00C77F81"/>
    <w:rsid w:val="00C82FE8"/>
    <w:rsid w:val="00C831CC"/>
    <w:rsid w:val="00C850C7"/>
    <w:rsid w:val="00C872C3"/>
    <w:rsid w:val="00C905E4"/>
    <w:rsid w:val="00C9068C"/>
    <w:rsid w:val="00C94768"/>
    <w:rsid w:val="00C96194"/>
    <w:rsid w:val="00CA1B4B"/>
    <w:rsid w:val="00CA6652"/>
    <w:rsid w:val="00CA747D"/>
    <w:rsid w:val="00CA76B6"/>
    <w:rsid w:val="00CB20FA"/>
    <w:rsid w:val="00CB6E86"/>
    <w:rsid w:val="00CB7D12"/>
    <w:rsid w:val="00CC2218"/>
    <w:rsid w:val="00CC2BD6"/>
    <w:rsid w:val="00CC42B6"/>
    <w:rsid w:val="00CD03A1"/>
    <w:rsid w:val="00CD4F4C"/>
    <w:rsid w:val="00CD6D83"/>
    <w:rsid w:val="00CD77A4"/>
    <w:rsid w:val="00CE7244"/>
    <w:rsid w:val="00CF046A"/>
    <w:rsid w:val="00CF0991"/>
    <w:rsid w:val="00CF2C34"/>
    <w:rsid w:val="00CF4506"/>
    <w:rsid w:val="00CF6737"/>
    <w:rsid w:val="00D00457"/>
    <w:rsid w:val="00D01B86"/>
    <w:rsid w:val="00D02DA6"/>
    <w:rsid w:val="00D0464D"/>
    <w:rsid w:val="00D0598F"/>
    <w:rsid w:val="00D065D9"/>
    <w:rsid w:val="00D06FC5"/>
    <w:rsid w:val="00D1131E"/>
    <w:rsid w:val="00D11630"/>
    <w:rsid w:val="00D16F8B"/>
    <w:rsid w:val="00D17AFB"/>
    <w:rsid w:val="00D22DB8"/>
    <w:rsid w:val="00D36A93"/>
    <w:rsid w:val="00D40526"/>
    <w:rsid w:val="00D42FE5"/>
    <w:rsid w:val="00D47C87"/>
    <w:rsid w:val="00D5030F"/>
    <w:rsid w:val="00D517FF"/>
    <w:rsid w:val="00D54375"/>
    <w:rsid w:val="00D54C32"/>
    <w:rsid w:val="00D61AB3"/>
    <w:rsid w:val="00D65E55"/>
    <w:rsid w:val="00D72A63"/>
    <w:rsid w:val="00D81B0B"/>
    <w:rsid w:val="00D82121"/>
    <w:rsid w:val="00D82916"/>
    <w:rsid w:val="00D847C5"/>
    <w:rsid w:val="00D869E4"/>
    <w:rsid w:val="00D9059E"/>
    <w:rsid w:val="00D9278E"/>
    <w:rsid w:val="00D95178"/>
    <w:rsid w:val="00DA1130"/>
    <w:rsid w:val="00DA5952"/>
    <w:rsid w:val="00DB02CB"/>
    <w:rsid w:val="00DB07B9"/>
    <w:rsid w:val="00DB1A9B"/>
    <w:rsid w:val="00DC1067"/>
    <w:rsid w:val="00DC17CA"/>
    <w:rsid w:val="00DC4ED4"/>
    <w:rsid w:val="00DC65A6"/>
    <w:rsid w:val="00DC714C"/>
    <w:rsid w:val="00DD1B9D"/>
    <w:rsid w:val="00DE37D9"/>
    <w:rsid w:val="00DF1876"/>
    <w:rsid w:val="00DF5F7D"/>
    <w:rsid w:val="00DF6991"/>
    <w:rsid w:val="00E018AA"/>
    <w:rsid w:val="00E02161"/>
    <w:rsid w:val="00E03A2F"/>
    <w:rsid w:val="00E105D0"/>
    <w:rsid w:val="00E11A63"/>
    <w:rsid w:val="00E12CF5"/>
    <w:rsid w:val="00E142F9"/>
    <w:rsid w:val="00E15941"/>
    <w:rsid w:val="00E16F8C"/>
    <w:rsid w:val="00E20C57"/>
    <w:rsid w:val="00E22969"/>
    <w:rsid w:val="00E24220"/>
    <w:rsid w:val="00E31AFE"/>
    <w:rsid w:val="00E44D57"/>
    <w:rsid w:val="00E50F39"/>
    <w:rsid w:val="00E579BE"/>
    <w:rsid w:val="00E60E0E"/>
    <w:rsid w:val="00E65E36"/>
    <w:rsid w:val="00E669EC"/>
    <w:rsid w:val="00E709C2"/>
    <w:rsid w:val="00E75CFF"/>
    <w:rsid w:val="00E76A3A"/>
    <w:rsid w:val="00E829F3"/>
    <w:rsid w:val="00E84B8C"/>
    <w:rsid w:val="00E84F24"/>
    <w:rsid w:val="00E85757"/>
    <w:rsid w:val="00E868D7"/>
    <w:rsid w:val="00E9001B"/>
    <w:rsid w:val="00E907FF"/>
    <w:rsid w:val="00E93663"/>
    <w:rsid w:val="00E94037"/>
    <w:rsid w:val="00E9415C"/>
    <w:rsid w:val="00E95BA9"/>
    <w:rsid w:val="00E96023"/>
    <w:rsid w:val="00E97451"/>
    <w:rsid w:val="00EA661E"/>
    <w:rsid w:val="00EB16D9"/>
    <w:rsid w:val="00EB6E32"/>
    <w:rsid w:val="00EC0C33"/>
    <w:rsid w:val="00EC20A6"/>
    <w:rsid w:val="00EC4967"/>
    <w:rsid w:val="00EC6B2D"/>
    <w:rsid w:val="00ED1281"/>
    <w:rsid w:val="00ED3AE6"/>
    <w:rsid w:val="00ED567C"/>
    <w:rsid w:val="00ED5988"/>
    <w:rsid w:val="00ED75B4"/>
    <w:rsid w:val="00EE0072"/>
    <w:rsid w:val="00EE0891"/>
    <w:rsid w:val="00EE120C"/>
    <w:rsid w:val="00EE331B"/>
    <w:rsid w:val="00EF09FE"/>
    <w:rsid w:val="00EF23AD"/>
    <w:rsid w:val="00EF41A0"/>
    <w:rsid w:val="00EF72B9"/>
    <w:rsid w:val="00F00D0D"/>
    <w:rsid w:val="00F031F1"/>
    <w:rsid w:val="00F06520"/>
    <w:rsid w:val="00F10C49"/>
    <w:rsid w:val="00F116E6"/>
    <w:rsid w:val="00F13962"/>
    <w:rsid w:val="00F16B4F"/>
    <w:rsid w:val="00F224D2"/>
    <w:rsid w:val="00F2432A"/>
    <w:rsid w:val="00F25826"/>
    <w:rsid w:val="00F30373"/>
    <w:rsid w:val="00F373EF"/>
    <w:rsid w:val="00F40DD5"/>
    <w:rsid w:val="00F52C0E"/>
    <w:rsid w:val="00F654EB"/>
    <w:rsid w:val="00F67332"/>
    <w:rsid w:val="00F70FAD"/>
    <w:rsid w:val="00F7384D"/>
    <w:rsid w:val="00F74C60"/>
    <w:rsid w:val="00F762E0"/>
    <w:rsid w:val="00F77E25"/>
    <w:rsid w:val="00F82442"/>
    <w:rsid w:val="00F87098"/>
    <w:rsid w:val="00F914E5"/>
    <w:rsid w:val="00F94491"/>
    <w:rsid w:val="00FA0181"/>
    <w:rsid w:val="00FA56ED"/>
    <w:rsid w:val="00FB3957"/>
    <w:rsid w:val="00FB4B39"/>
    <w:rsid w:val="00FB6283"/>
    <w:rsid w:val="00FB6995"/>
    <w:rsid w:val="00FB7706"/>
    <w:rsid w:val="00FC198E"/>
    <w:rsid w:val="00FC78AB"/>
    <w:rsid w:val="00FD7701"/>
    <w:rsid w:val="00FE0746"/>
    <w:rsid w:val="00FE1A04"/>
    <w:rsid w:val="00FF1E89"/>
    <w:rsid w:val="00FF2A33"/>
    <w:rsid w:val="00FF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EF6B7"/>
  <w15:chartTrackingRefBased/>
  <w15:docId w15:val="{88539A59-0CF7-4485-BBA4-E909A42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69"/>
    <w:pPr>
      <w:spacing w:before="160" w:after="0" w:line="320" w:lineRule="atLeast"/>
      <w:jc w:val="both"/>
    </w:pPr>
    <w:rPr>
      <w:rFonts w:ascii="Tahoma" w:hAnsi="Tahoma"/>
      <w:sz w:val="23"/>
    </w:rPr>
  </w:style>
  <w:style w:type="paragraph" w:styleId="Heading1">
    <w:name w:val="heading 1"/>
    <w:basedOn w:val="Normal"/>
    <w:next w:val="Normal"/>
    <w:link w:val="Heading1Char"/>
    <w:autoRedefine/>
    <w:uiPriority w:val="9"/>
    <w:qFormat/>
    <w:rsid w:val="00D9278E"/>
    <w:pPr>
      <w:keepNext/>
      <w:keepLines/>
      <w:shd w:val="clear" w:color="auto" w:fill="E56300"/>
      <w:spacing w:before="5000"/>
      <w:jc w:val="center"/>
      <w:outlineLvl w:val="0"/>
    </w:pPr>
    <w:rPr>
      <w:rFonts w:eastAsiaTheme="majorEastAsia" w:cstheme="majorBidi"/>
      <w:b/>
      <w:bCs/>
      <w:color w:val="FFFFFF" w:themeColor="background1"/>
      <w:sz w:val="144"/>
      <w:szCs w:val="28"/>
    </w:rPr>
  </w:style>
  <w:style w:type="paragraph" w:styleId="Heading2">
    <w:name w:val="heading 2"/>
    <w:basedOn w:val="Normal"/>
    <w:next w:val="Normal"/>
    <w:link w:val="Heading2Char"/>
    <w:uiPriority w:val="9"/>
    <w:unhideWhenUsed/>
    <w:qFormat/>
    <w:rsid w:val="00063581"/>
    <w:pPr>
      <w:keepNext/>
      <w:keepLines/>
      <w:outlineLvl w:val="1"/>
    </w:pPr>
    <w:rPr>
      <w:rFonts w:cstheme="majorBidi"/>
      <w:b/>
      <w:bCs/>
      <w:color w:val="E56300"/>
      <w:sz w:val="32"/>
      <w:szCs w:val="26"/>
    </w:rPr>
  </w:style>
  <w:style w:type="paragraph" w:styleId="Heading3">
    <w:name w:val="heading 3"/>
    <w:next w:val="Default"/>
    <w:link w:val="Heading3Char"/>
    <w:autoRedefine/>
    <w:uiPriority w:val="9"/>
    <w:unhideWhenUsed/>
    <w:qFormat/>
    <w:rsid w:val="006C0DD5"/>
    <w:pPr>
      <w:keepNext/>
      <w:keepLines/>
      <w:spacing w:before="160" w:after="0" w:line="320" w:lineRule="atLeast"/>
      <w:outlineLvl w:val="2"/>
    </w:pPr>
    <w:rPr>
      <w:rFonts w:ascii="Tahoma" w:hAnsi="Tahoma" w:cstheme="majorBidi"/>
      <w:b/>
      <w:color w:val="04427D"/>
      <w:sz w:val="28"/>
      <w:szCs w:val="24"/>
    </w:rPr>
  </w:style>
  <w:style w:type="paragraph" w:styleId="Heading4">
    <w:name w:val="heading 4"/>
    <w:basedOn w:val="Normal"/>
    <w:next w:val="Normal"/>
    <w:link w:val="Heading4Char"/>
    <w:autoRedefine/>
    <w:uiPriority w:val="9"/>
    <w:unhideWhenUsed/>
    <w:qFormat/>
    <w:rsid w:val="00AD5869"/>
    <w:pPr>
      <w:keepNext/>
      <w:keepLines/>
      <w:spacing w:before="40"/>
      <w:outlineLvl w:val="3"/>
    </w:pPr>
    <w:rPr>
      <w:rFonts w:eastAsiaTheme="majorEastAsia" w:cstheme="majorBidi"/>
      <w:b/>
      <w:iCs/>
      <w:color w:val="365F91" w:themeColor="accent1" w:themeShade="BF"/>
      <w:sz w:val="26"/>
    </w:rPr>
  </w:style>
  <w:style w:type="paragraph" w:styleId="Heading5">
    <w:name w:val="heading 5"/>
    <w:basedOn w:val="Normal"/>
    <w:next w:val="Normal"/>
    <w:link w:val="Heading5Char"/>
    <w:uiPriority w:val="9"/>
    <w:semiHidden/>
    <w:unhideWhenUsed/>
    <w:qFormat/>
    <w:rsid w:val="00B3499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29C"/>
    <w:pPr>
      <w:tabs>
        <w:tab w:val="center" w:pos="4680"/>
        <w:tab w:val="right" w:pos="9360"/>
      </w:tabs>
      <w:spacing w:line="240" w:lineRule="auto"/>
    </w:pPr>
  </w:style>
  <w:style w:type="character" w:customStyle="1" w:styleId="HeaderChar">
    <w:name w:val="Header Char"/>
    <w:basedOn w:val="DefaultParagraphFont"/>
    <w:link w:val="Header"/>
    <w:uiPriority w:val="99"/>
    <w:rsid w:val="003F229C"/>
  </w:style>
  <w:style w:type="paragraph" w:styleId="Footer">
    <w:name w:val="footer"/>
    <w:basedOn w:val="Normal"/>
    <w:link w:val="FooterChar"/>
    <w:uiPriority w:val="99"/>
    <w:unhideWhenUsed/>
    <w:rsid w:val="003F229C"/>
    <w:pPr>
      <w:tabs>
        <w:tab w:val="center" w:pos="4680"/>
        <w:tab w:val="right" w:pos="9360"/>
      </w:tabs>
      <w:spacing w:line="240" w:lineRule="auto"/>
    </w:pPr>
  </w:style>
  <w:style w:type="character" w:customStyle="1" w:styleId="FooterChar">
    <w:name w:val="Footer Char"/>
    <w:basedOn w:val="DefaultParagraphFont"/>
    <w:link w:val="Footer"/>
    <w:uiPriority w:val="99"/>
    <w:rsid w:val="003F229C"/>
  </w:style>
  <w:style w:type="paragraph" w:customStyle="1" w:styleId="TableParagraph">
    <w:name w:val="Table Paragraph"/>
    <w:basedOn w:val="Normal"/>
    <w:uiPriority w:val="1"/>
    <w:rsid w:val="003F229C"/>
    <w:pPr>
      <w:widowControl w:val="0"/>
      <w:autoSpaceDE w:val="0"/>
      <w:autoSpaceDN w:val="0"/>
      <w:spacing w:line="279" w:lineRule="exact"/>
      <w:ind w:left="107"/>
    </w:pPr>
    <w:rPr>
      <w:rFonts w:ascii="Calibri" w:eastAsia="Calibri" w:hAnsi="Calibri" w:cs="Calibri"/>
      <w:lang w:bidi="en-US"/>
    </w:rPr>
  </w:style>
  <w:style w:type="character" w:customStyle="1" w:styleId="Heading1Char">
    <w:name w:val="Heading 1 Char"/>
    <w:basedOn w:val="DefaultParagraphFont"/>
    <w:link w:val="Heading1"/>
    <w:uiPriority w:val="9"/>
    <w:rsid w:val="00D9278E"/>
    <w:rPr>
      <w:rFonts w:ascii="Tahoma" w:eastAsiaTheme="majorEastAsia" w:hAnsi="Tahoma" w:cstheme="majorBidi"/>
      <w:b/>
      <w:bCs/>
      <w:color w:val="FFFFFF" w:themeColor="background1"/>
      <w:sz w:val="144"/>
      <w:szCs w:val="28"/>
      <w:shd w:val="clear" w:color="auto" w:fill="E56300"/>
    </w:rPr>
  </w:style>
  <w:style w:type="paragraph" w:styleId="ListParagraph">
    <w:name w:val="List Paragraph"/>
    <w:basedOn w:val="Normal"/>
    <w:uiPriority w:val="1"/>
    <w:qFormat/>
    <w:rsid w:val="00063581"/>
    <w:pPr>
      <w:ind w:left="619"/>
    </w:pPr>
  </w:style>
  <w:style w:type="character" w:styleId="Hyperlink">
    <w:name w:val="Hyperlink"/>
    <w:basedOn w:val="DefaultParagraphFont"/>
    <w:uiPriority w:val="99"/>
    <w:qFormat/>
    <w:rsid w:val="001323A5"/>
    <w:rPr>
      <w:rFonts w:ascii="Tahoma" w:hAnsi="Tahoma" w:cs="Times New Roman"/>
      <w:b/>
      <w:color w:val="04427D"/>
      <w:sz w:val="23"/>
      <w:u w:val="single"/>
    </w:rPr>
  </w:style>
  <w:style w:type="character" w:customStyle="1" w:styleId="placement">
    <w:name w:val="placement"/>
    <w:uiPriority w:val="99"/>
    <w:rsid w:val="00B3499D"/>
    <w:rPr>
      <w:vanish/>
      <w:color w:val="FF00FF"/>
      <w:sz w:val="16"/>
    </w:rPr>
  </w:style>
  <w:style w:type="character" w:customStyle="1" w:styleId="Heading5Char">
    <w:name w:val="Heading 5 Char"/>
    <w:basedOn w:val="DefaultParagraphFont"/>
    <w:link w:val="Heading5"/>
    <w:uiPriority w:val="9"/>
    <w:semiHidden/>
    <w:rsid w:val="00B3499D"/>
    <w:rPr>
      <w:rFonts w:asciiTheme="majorHAnsi" w:eastAsiaTheme="majorEastAsia" w:hAnsiTheme="majorHAnsi" w:cstheme="majorBidi"/>
      <w:color w:val="365F91" w:themeColor="accent1" w:themeShade="BF"/>
    </w:rPr>
  </w:style>
  <w:style w:type="paragraph" w:customStyle="1" w:styleId="BL1">
    <w:name w:val="BL 1"/>
    <w:basedOn w:val="Normal"/>
    <w:link w:val="BL1Char"/>
    <w:uiPriority w:val="99"/>
    <w:rsid w:val="00B3499D"/>
    <w:pPr>
      <w:tabs>
        <w:tab w:val="left" w:pos="900"/>
        <w:tab w:val="left" w:pos="1195"/>
        <w:tab w:val="left" w:pos="2400"/>
        <w:tab w:val="left" w:pos="3120"/>
      </w:tabs>
      <w:spacing w:before="100"/>
      <w:ind w:left="907" w:hanging="187"/>
    </w:pPr>
    <w:rPr>
      <w:rFonts w:ascii="Times New Roman" w:eastAsia="Times New Roman" w:hAnsi="Times New Roman" w:cs="Times New Roman"/>
      <w:sz w:val="24"/>
      <w:szCs w:val="20"/>
    </w:rPr>
  </w:style>
  <w:style w:type="paragraph" w:customStyle="1" w:styleId="BL2">
    <w:name w:val="BL 2"/>
    <w:basedOn w:val="BL1"/>
    <w:uiPriority w:val="99"/>
    <w:rsid w:val="00B3499D"/>
    <w:pPr>
      <w:tabs>
        <w:tab w:val="clear" w:pos="900"/>
        <w:tab w:val="clear" w:pos="1195"/>
        <w:tab w:val="clear" w:pos="2400"/>
        <w:tab w:val="left" w:pos="1382"/>
        <w:tab w:val="left" w:pos="2160"/>
        <w:tab w:val="left" w:pos="2405"/>
      </w:tabs>
      <w:ind w:left="1382"/>
    </w:pPr>
  </w:style>
  <w:style w:type="paragraph" w:customStyle="1" w:styleId="Text1">
    <w:name w:val="Text 1"/>
    <w:basedOn w:val="Normal"/>
    <w:uiPriority w:val="99"/>
    <w:rsid w:val="00B3499D"/>
    <w:pPr>
      <w:tabs>
        <w:tab w:val="left" w:pos="720"/>
        <w:tab w:val="left" w:pos="1680"/>
        <w:tab w:val="left" w:pos="2400"/>
        <w:tab w:val="left" w:pos="3120"/>
      </w:tabs>
    </w:pPr>
    <w:rPr>
      <w:rFonts w:ascii="Times New Roman" w:eastAsia="Times New Roman" w:hAnsi="Times New Roman" w:cs="Times New Roman"/>
      <w:sz w:val="24"/>
      <w:szCs w:val="20"/>
    </w:rPr>
  </w:style>
  <w:style w:type="paragraph" w:customStyle="1" w:styleId="Text2">
    <w:name w:val="Text 2"/>
    <w:basedOn w:val="Normal"/>
    <w:uiPriority w:val="99"/>
    <w:rsid w:val="00B3499D"/>
    <w:pPr>
      <w:tabs>
        <w:tab w:val="left" w:pos="720"/>
        <w:tab w:val="left" w:pos="1680"/>
        <w:tab w:val="left" w:pos="2400"/>
        <w:tab w:val="left" w:pos="3120"/>
      </w:tabs>
      <w:ind w:left="720"/>
    </w:pPr>
    <w:rPr>
      <w:rFonts w:ascii="Times New Roman" w:eastAsia="Times New Roman" w:hAnsi="Times New Roman" w:cs="Times New Roman"/>
      <w:sz w:val="24"/>
      <w:szCs w:val="20"/>
    </w:rPr>
  </w:style>
  <w:style w:type="character" w:customStyle="1" w:styleId="Itlc">
    <w:name w:val="Itlc"/>
    <w:uiPriority w:val="99"/>
    <w:rsid w:val="00B3499D"/>
    <w:rPr>
      <w:i/>
      <w:color w:val="FF0000"/>
    </w:rPr>
  </w:style>
  <w:style w:type="character" w:customStyle="1" w:styleId="Revised">
    <w:name w:val="Revised"/>
    <w:uiPriority w:val="99"/>
    <w:rsid w:val="00B3499D"/>
    <w:rPr>
      <w:color w:val="008000"/>
    </w:rPr>
  </w:style>
  <w:style w:type="paragraph" w:customStyle="1" w:styleId="Default">
    <w:name w:val="Default"/>
    <w:rsid w:val="00B3499D"/>
    <w:pPr>
      <w:autoSpaceDE w:val="0"/>
      <w:autoSpaceDN w:val="0"/>
      <w:adjustRightInd w:val="0"/>
      <w:spacing w:before="160" w:after="0" w:line="240" w:lineRule="auto"/>
      <w:jc w:val="both"/>
    </w:pPr>
    <w:rPr>
      <w:rFonts w:ascii="Times New Roman" w:eastAsia="Times New Roman" w:hAnsi="Times New Roman" w:cs="Times New Roman"/>
      <w:color w:val="000000"/>
      <w:sz w:val="24"/>
      <w:szCs w:val="24"/>
    </w:rPr>
  </w:style>
  <w:style w:type="paragraph" w:customStyle="1" w:styleId="DefaultText">
    <w:name w:val="Default Text"/>
    <w:basedOn w:val="Normal"/>
    <w:rsid w:val="00B3499D"/>
    <w:pPr>
      <w:overflowPunct w:val="0"/>
      <w:autoSpaceDE w:val="0"/>
      <w:autoSpaceDN w:val="0"/>
      <w:adjustRightInd w:val="0"/>
      <w:spacing w:after="216" w:line="240" w:lineRule="auto"/>
      <w:textAlignment w:val="baseline"/>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3499D"/>
    <w:rPr>
      <w:sz w:val="16"/>
      <w:szCs w:val="16"/>
    </w:rPr>
  </w:style>
  <w:style w:type="paragraph" w:styleId="CommentText">
    <w:name w:val="annotation text"/>
    <w:basedOn w:val="Normal"/>
    <w:link w:val="CommentTextChar"/>
    <w:uiPriority w:val="99"/>
    <w:unhideWhenUsed/>
    <w:rsid w:val="00B3499D"/>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3499D"/>
    <w:rPr>
      <w:rFonts w:ascii="Times New Roman" w:eastAsia="Times New Roman" w:hAnsi="Times New Roman" w:cs="Times New Roman"/>
      <w:sz w:val="20"/>
      <w:szCs w:val="20"/>
    </w:rPr>
  </w:style>
  <w:style w:type="paragraph" w:styleId="NoSpacing">
    <w:name w:val="No Spacing"/>
    <w:uiPriority w:val="1"/>
    <w:rsid w:val="00B3499D"/>
    <w:pPr>
      <w:spacing w:before="160" w:after="0" w:line="240" w:lineRule="auto"/>
      <w:jc w:val="both"/>
    </w:pPr>
    <w:rPr>
      <w:rFonts w:ascii="Times New Roman" w:eastAsia="Times New Roman" w:hAnsi="Times New Roman" w:cs="Times New Roman"/>
      <w:sz w:val="24"/>
      <w:szCs w:val="20"/>
    </w:rPr>
  </w:style>
  <w:style w:type="character" w:customStyle="1" w:styleId="BL1Char">
    <w:name w:val="BL 1 Char"/>
    <w:basedOn w:val="DefaultParagraphFont"/>
    <w:link w:val="BL1"/>
    <w:uiPriority w:val="99"/>
    <w:rsid w:val="00B3499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349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99D"/>
    <w:rPr>
      <w:rFonts w:ascii="Segoe UI" w:hAnsi="Segoe UI" w:cs="Segoe UI"/>
      <w:sz w:val="18"/>
      <w:szCs w:val="18"/>
    </w:rPr>
  </w:style>
  <w:style w:type="character" w:customStyle="1" w:styleId="Heading2Char">
    <w:name w:val="Heading 2 Char"/>
    <w:basedOn w:val="DefaultParagraphFont"/>
    <w:link w:val="Heading2"/>
    <w:uiPriority w:val="9"/>
    <w:rsid w:val="00063581"/>
    <w:rPr>
      <w:rFonts w:ascii="Tahoma" w:hAnsi="Tahoma" w:cstheme="majorBidi"/>
      <w:b/>
      <w:bCs/>
      <w:color w:val="E56300"/>
      <w:sz w:val="32"/>
      <w:szCs w:val="26"/>
    </w:rPr>
  </w:style>
  <w:style w:type="character" w:styleId="FollowedHyperlink">
    <w:name w:val="FollowedHyperlink"/>
    <w:basedOn w:val="DefaultParagraphFont"/>
    <w:uiPriority w:val="99"/>
    <w:semiHidden/>
    <w:unhideWhenUsed/>
    <w:rsid w:val="00FF1E89"/>
    <w:rPr>
      <w:color w:val="E36C09" w:themeColor="followedHyperlink"/>
      <w:u w:val="single"/>
    </w:rPr>
  </w:style>
  <w:style w:type="paragraph" w:customStyle="1" w:styleId="Head1">
    <w:name w:val="Head 1"/>
    <w:basedOn w:val="Normal"/>
    <w:next w:val="Text1"/>
    <w:uiPriority w:val="99"/>
    <w:rsid w:val="001E698B"/>
    <w:pPr>
      <w:tabs>
        <w:tab w:val="left" w:pos="720"/>
      </w:tabs>
      <w:spacing w:before="480" w:line="360" w:lineRule="auto"/>
      <w:ind w:left="720" w:hanging="720"/>
      <w:jc w:val="center"/>
    </w:pPr>
    <w:rPr>
      <w:rFonts w:ascii="Calibri" w:eastAsia="Times New Roman" w:hAnsi="Calibri" w:cs="Times New Roman"/>
      <w:b/>
      <w:color w:val="FFFFFF" w:themeColor="background1"/>
      <w:sz w:val="96"/>
      <w:szCs w:val="20"/>
    </w:rPr>
  </w:style>
  <w:style w:type="paragraph" w:styleId="CommentSubject">
    <w:name w:val="annotation subject"/>
    <w:basedOn w:val="CommentText"/>
    <w:next w:val="CommentText"/>
    <w:link w:val="CommentSubjectChar"/>
    <w:uiPriority w:val="99"/>
    <w:semiHidden/>
    <w:unhideWhenUsed/>
    <w:rsid w:val="00B803AE"/>
    <w:pPr>
      <w:spacing w:before="0"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803A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6C0DD5"/>
    <w:rPr>
      <w:rFonts w:ascii="Tahoma" w:hAnsi="Tahoma" w:cstheme="majorBidi"/>
      <w:b/>
      <w:color w:val="04427D"/>
      <w:sz w:val="28"/>
      <w:szCs w:val="24"/>
    </w:rPr>
  </w:style>
  <w:style w:type="table" w:styleId="TableGrid">
    <w:name w:val="Table Grid"/>
    <w:basedOn w:val="TableNormal"/>
    <w:uiPriority w:val="39"/>
    <w:rsid w:val="00495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Text1"/>
    <w:uiPriority w:val="99"/>
    <w:rsid w:val="00FB4B39"/>
    <w:pPr>
      <w:tabs>
        <w:tab w:val="clear" w:pos="720"/>
        <w:tab w:val="clear" w:pos="1680"/>
        <w:tab w:val="clear" w:pos="2400"/>
        <w:tab w:val="clear" w:pos="3120"/>
        <w:tab w:val="left" w:pos="4320"/>
      </w:tabs>
      <w:ind w:left="4320"/>
      <w:jc w:val="left"/>
    </w:pPr>
    <w:rPr>
      <w:rFonts w:ascii="Tahoma" w:hAnsi="Tahoma"/>
      <w:sz w:val="23"/>
    </w:rPr>
  </w:style>
  <w:style w:type="paragraph" w:styleId="Revision">
    <w:name w:val="Revision"/>
    <w:hidden/>
    <w:uiPriority w:val="99"/>
    <w:semiHidden/>
    <w:rsid w:val="00461104"/>
    <w:pPr>
      <w:spacing w:after="0" w:line="240" w:lineRule="auto"/>
    </w:pPr>
  </w:style>
  <w:style w:type="character" w:styleId="UnresolvedMention">
    <w:name w:val="Unresolved Mention"/>
    <w:basedOn w:val="DefaultParagraphFont"/>
    <w:uiPriority w:val="99"/>
    <w:semiHidden/>
    <w:unhideWhenUsed/>
    <w:rsid w:val="00A54FEB"/>
    <w:rPr>
      <w:color w:val="605E5C"/>
      <w:shd w:val="clear" w:color="auto" w:fill="E1DFDD"/>
    </w:rPr>
  </w:style>
  <w:style w:type="paragraph" w:styleId="TOCHeading">
    <w:name w:val="TOC Heading"/>
    <w:next w:val="Normal"/>
    <w:autoRedefine/>
    <w:uiPriority w:val="39"/>
    <w:unhideWhenUsed/>
    <w:qFormat/>
    <w:rsid w:val="00964C9E"/>
    <w:pPr>
      <w:spacing w:before="120" w:after="120" w:line="320" w:lineRule="atLeast"/>
      <w:jc w:val="center"/>
    </w:pPr>
    <w:rPr>
      <w:rFonts w:ascii="Tahoma" w:eastAsiaTheme="majorEastAsia" w:hAnsi="Tahoma" w:cstheme="majorBidi"/>
      <w:b/>
      <w:sz w:val="44"/>
      <w:szCs w:val="32"/>
    </w:rPr>
  </w:style>
  <w:style w:type="paragraph" w:styleId="TOC1">
    <w:name w:val="toc 1"/>
    <w:basedOn w:val="Normal"/>
    <w:next w:val="Normal"/>
    <w:autoRedefine/>
    <w:uiPriority w:val="39"/>
    <w:unhideWhenUsed/>
    <w:rsid w:val="001E698B"/>
    <w:pPr>
      <w:tabs>
        <w:tab w:val="right" w:leader="dot" w:pos="10070"/>
      </w:tabs>
      <w:spacing w:after="100"/>
    </w:pPr>
    <w:rPr>
      <w:rFonts w:cs="Tahoma"/>
      <w:b/>
      <w:noProof/>
      <w:kern w:val="24"/>
      <w:szCs w:val="23"/>
    </w:rPr>
  </w:style>
  <w:style w:type="paragraph" w:styleId="TOC2">
    <w:name w:val="toc 2"/>
    <w:basedOn w:val="Normal"/>
    <w:next w:val="Normal"/>
    <w:autoRedefine/>
    <w:uiPriority w:val="39"/>
    <w:unhideWhenUsed/>
    <w:rsid w:val="00E93663"/>
    <w:pPr>
      <w:tabs>
        <w:tab w:val="right" w:leader="dot" w:pos="10070"/>
      </w:tabs>
      <w:spacing w:after="100"/>
      <w:ind w:left="220"/>
    </w:pPr>
    <w:rPr>
      <w:rFonts w:cs="Tahoma"/>
      <w:b/>
      <w:noProof/>
      <w:kern w:val="24"/>
    </w:rPr>
  </w:style>
  <w:style w:type="paragraph" w:styleId="TOC3">
    <w:name w:val="toc 3"/>
    <w:basedOn w:val="Normal"/>
    <w:next w:val="Normal"/>
    <w:autoRedefine/>
    <w:uiPriority w:val="39"/>
    <w:unhideWhenUsed/>
    <w:rsid w:val="00450E3B"/>
    <w:pPr>
      <w:spacing w:after="100"/>
      <w:ind w:left="440"/>
    </w:pPr>
  </w:style>
  <w:style w:type="paragraph" w:styleId="Title">
    <w:name w:val="Title"/>
    <w:basedOn w:val="Normal"/>
    <w:next w:val="Normal"/>
    <w:link w:val="TitleChar"/>
    <w:uiPriority w:val="10"/>
    <w:rsid w:val="001323A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323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323A5"/>
    <w:rPr>
      <w:rFonts w:eastAsiaTheme="minorEastAsia"/>
      <w:color w:val="5A5A5A" w:themeColor="text1" w:themeTint="A5"/>
      <w:spacing w:val="15"/>
    </w:rPr>
  </w:style>
  <w:style w:type="paragraph" w:customStyle="1" w:styleId="Heading4ADA">
    <w:name w:val="Heading 4 ADA"/>
    <w:autoRedefine/>
    <w:qFormat/>
    <w:rsid w:val="008321EA"/>
    <w:pPr>
      <w:spacing w:before="160" w:after="0" w:line="320" w:lineRule="atLeast"/>
    </w:pPr>
    <w:rPr>
      <w:rFonts w:ascii="Tahoma" w:eastAsiaTheme="minorEastAsia" w:hAnsi="Tahoma"/>
      <w:b/>
      <w:color w:val="04427D"/>
      <w:sz w:val="26"/>
    </w:rPr>
  </w:style>
  <w:style w:type="paragraph" w:customStyle="1" w:styleId="Heading5ADA">
    <w:name w:val="Heading 5 ADA"/>
    <w:basedOn w:val="Heading4ADA"/>
    <w:qFormat/>
    <w:rsid w:val="001323A5"/>
    <w:rPr>
      <w:b w:val="0"/>
    </w:rPr>
  </w:style>
  <w:style w:type="character" w:customStyle="1" w:styleId="Heading4Char">
    <w:name w:val="Heading 4 Char"/>
    <w:basedOn w:val="DefaultParagraphFont"/>
    <w:link w:val="Heading4"/>
    <w:uiPriority w:val="9"/>
    <w:rsid w:val="00AD5869"/>
    <w:rPr>
      <w:rFonts w:ascii="Tahoma" w:eastAsiaTheme="majorEastAsia" w:hAnsi="Tahoma" w:cstheme="majorBidi"/>
      <w:b/>
      <w:iCs/>
      <w:color w:val="365F91" w:themeColor="accent1" w:themeShade="BF"/>
      <w:sz w:val="26"/>
    </w:rPr>
  </w:style>
  <w:style w:type="paragraph" w:styleId="ListBullet">
    <w:name w:val="List Bullet"/>
    <w:basedOn w:val="Normal"/>
    <w:uiPriority w:val="99"/>
    <w:unhideWhenUsed/>
    <w:qFormat/>
    <w:rsid w:val="00063581"/>
    <w:pPr>
      <w:numPr>
        <w:numId w:val="56"/>
      </w:numPr>
      <w:ind w:left="979"/>
    </w:pPr>
  </w:style>
  <w:style w:type="paragraph" w:styleId="ListBullet2">
    <w:name w:val="List Bullet 2"/>
    <w:basedOn w:val="Normal"/>
    <w:uiPriority w:val="99"/>
    <w:unhideWhenUsed/>
    <w:qFormat/>
    <w:rsid w:val="00716031"/>
    <w:pPr>
      <w:numPr>
        <w:numId w:val="57"/>
      </w:numPr>
    </w:pPr>
  </w:style>
  <w:style w:type="paragraph" w:customStyle="1" w:styleId="Introduction">
    <w:name w:val="Introduction"/>
    <w:basedOn w:val="Heading2"/>
    <w:next w:val="Heading2"/>
    <w:link w:val="IntroductionChar"/>
    <w:qFormat/>
    <w:rsid w:val="00964C9E"/>
    <w:pPr>
      <w:pageBreakBefore/>
    </w:pPr>
  </w:style>
  <w:style w:type="character" w:customStyle="1" w:styleId="IntroductionChar">
    <w:name w:val="Introduction Char"/>
    <w:basedOn w:val="Heading2Char"/>
    <w:link w:val="Introduction"/>
    <w:rsid w:val="00964C9E"/>
    <w:rPr>
      <w:rFonts w:ascii="Tahoma" w:hAnsi="Tahoma" w:cstheme="majorBidi"/>
      <w:b/>
      <w:bCs/>
      <w:color w:val="E56300"/>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0521">
      <w:bodyDiv w:val="1"/>
      <w:marLeft w:val="0"/>
      <w:marRight w:val="0"/>
      <w:marTop w:val="0"/>
      <w:marBottom w:val="0"/>
      <w:divBdr>
        <w:top w:val="none" w:sz="0" w:space="0" w:color="auto"/>
        <w:left w:val="none" w:sz="0" w:space="0" w:color="auto"/>
        <w:bottom w:val="none" w:sz="0" w:space="0" w:color="auto"/>
        <w:right w:val="none" w:sz="0" w:space="0" w:color="auto"/>
      </w:divBdr>
    </w:div>
    <w:div w:id="487014653">
      <w:bodyDiv w:val="1"/>
      <w:marLeft w:val="0"/>
      <w:marRight w:val="0"/>
      <w:marTop w:val="0"/>
      <w:marBottom w:val="0"/>
      <w:divBdr>
        <w:top w:val="none" w:sz="0" w:space="0" w:color="auto"/>
        <w:left w:val="none" w:sz="0" w:space="0" w:color="auto"/>
        <w:bottom w:val="none" w:sz="0" w:space="0" w:color="auto"/>
        <w:right w:val="none" w:sz="0" w:space="0" w:color="auto"/>
      </w:divBdr>
    </w:div>
    <w:div w:id="746608033">
      <w:bodyDiv w:val="1"/>
      <w:marLeft w:val="0"/>
      <w:marRight w:val="0"/>
      <w:marTop w:val="0"/>
      <w:marBottom w:val="0"/>
      <w:divBdr>
        <w:top w:val="none" w:sz="0" w:space="0" w:color="auto"/>
        <w:left w:val="none" w:sz="0" w:space="0" w:color="auto"/>
        <w:bottom w:val="none" w:sz="0" w:space="0" w:color="auto"/>
        <w:right w:val="none" w:sz="0" w:space="0" w:color="auto"/>
      </w:divBdr>
    </w:div>
    <w:div w:id="838276553">
      <w:bodyDiv w:val="1"/>
      <w:marLeft w:val="0"/>
      <w:marRight w:val="0"/>
      <w:marTop w:val="0"/>
      <w:marBottom w:val="0"/>
      <w:divBdr>
        <w:top w:val="none" w:sz="0" w:space="0" w:color="auto"/>
        <w:left w:val="none" w:sz="0" w:space="0" w:color="auto"/>
        <w:bottom w:val="none" w:sz="0" w:space="0" w:color="auto"/>
        <w:right w:val="none" w:sz="0" w:space="0" w:color="auto"/>
      </w:divBdr>
      <w:divsChild>
        <w:div w:id="1642613447">
          <w:marLeft w:val="0"/>
          <w:marRight w:val="0"/>
          <w:marTop w:val="0"/>
          <w:marBottom w:val="0"/>
          <w:divBdr>
            <w:top w:val="none" w:sz="0" w:space="0" w:color="auto"/>
            <w:left w:val="none" w:sz="0" w:space="0" w:color="auto"/>
            <w:bottom w:val="none" w:sz="0" w:space="0" w:color="auto"/>
            <w:right w:val="none" w:sz="0" w:space="0" w:color="auto"/>
          </w:divBdr>
        </w:div>
      </w:divsChild>
    </w:div>
    <w:div w:id="1269653717">
      <w:bodyDiv w:val="1"/>
      <w:marLeft w:val="0"/>
      <w:marRight w:val="0"/>
      <w:marTop w:val="0"/>
      <w:marBottom w:val="0"/>
      <w:divBdr>
        <w:top w:val="none" w:sz="0" w:space="0" w:color="auto"/>
        <w:left w:val="none" w:sz="0" w:space="0" w:color="auto"/>
        <w:bottom w:val="none" w:sz="0" w:space="0" w:color="auto"/>
        <w:right w:val="none" w:sz="0" w:space="0" w:color="auto"/>
      </w:divBdr>
    </w:div>
    <w:div w:id="1874610117">
      <w:bodyDiv w:val="1"/>
      <w:marLeft w:val="0"/>
      <w:marRight w:val="0"/>
      <w:marTop w:val="0"/>
      <w:marBottom w:val="0"/>
      <w:divBdr>
        <w:top w:val="none" w:sz="0" w:space="0" w:color="auto"/>
        <w:left w:val="none" w:sz="0" w:space="0" w:color="auto"/>
        <w:bottom w:val="none" w:sz="0" w:space="0" w:color="auto"/>
        <w:right w:val="none" w:sz="0" w:space="0" w:color="auto"/>
      </w:divBdr>
    </w:div>
    <w:div w:id="19608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dss.mo.gov/media/pdf/personal-care-manual" TargetMode="External"/><Relationship Id="rId18" Type="http://schemas.openxmlformats.org/officeDocument/2006/relationships/hyperlink" Target="https://mmac.mo.gov/wp-content/uploads/sites/11/2014/05/FMS-Addendum.docx" TargetMode="External"/><Relationship Id="rId26" Type="http://schemas.openxmlformats.org/officeDocument/2006/relationships/hyperlink" Target="https://mydss.mo.gov/media/pdf/general-sections-manual" TargetMode="External"/><Relationship Id="rId39" Type="http://schemas.openxmlformats.org/officeDocument/2006/relationships/hyperlink" Target="https://health.mo.gov/seniors/hcbs/hcbsmanual/index.php" TargetMode="External"/><Relationship Id="rId21" Type="http://schemas.openxmlformats.org/officeDocument/2006/relationships/hyperlink" Target="https://mydss.mo.gov/media/pdf/general-sections-manual" TargetMode="External"/><Relationship Id="rId34" Type="http://schemas.openxmlformats.org/officeDocument/2006/relationships/hyperlink" Target="https://mydss.mo.gov/media/pdf/personal-care-manual" TargetMode="External"/><Relationship Id="rId42" Type="http://schemas.openxmlformats.org/officeDocument/2006/relationships/hyperlink" Target="https://health.mo.gov/seniors/hcbs/hcbsmanual/pdf/4.00appendix2-form.pdf" TargetMode="External"/><Relationship Id="rId47" Type="http://schemas.openxmlformats.org/officeDocument/2006/relationships/hyperlink" Target="https://health.mo.gov/seniors/hcbs/hcbsmanual/pdf/4.00appendix2-form.pdf" TargetMode="External"/><Relationship Id="rId50" Type="http://schemas.openxmlformats.org/officeDocument/2006/relationships/hyperlink" Target="https://health.mo.gov/seniors/hcbs/pdf/communicating-with-hcbs-intake-pccp-quick-guide.pdf" TargetMode="External"/><Relationship Id="rId55" Type="http://schemas.openxmlformats.org/officeDocument/2006/relationships/hyperlink" Target="https://www.emomed.com/" TargetMode="External"/><Relationship Id="rId63" Type="http://schemas.openxmlformats.org/officeDocument/2006/relationships/hyperlink" Target="https://mydss.mo.gov/media/pdf/general-sections-manual" TargetMode="External"/><Relationship Id="rId68" Type="http://schemas.openxmlformats.org/officeDocument/2006/relationships/hyperlink" Target="https://commerce.ama-assn.org/store/ui"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mac.mo.gov/providers/provider-enrollment/" TargetMode="External"/><Relationship Id="rId29" Type="http://schemas.openxmlformats.org/officeDocument/2006/relationships/hyperlink" Target="https://mydss.mo.gov/media/pdf/general-sections-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dss.mo.gov/mhd/cpt" TargetMode="External"/><Relationship Id="rId24" Type="http://schemas.openxmlformats.org/officeDocument/2006/relationships/hyperlink" Target="https://mydss.mo.gov/media/pdf/personal-care-manual" TargetMode="External"/><Relationship Id="rId32" Type="http://schemas.openxmlformats.org/officeDocument/2006/relationships/hyperlink" Target="https://mydss.mo.gov/media/pdf/general-sections-manual" TargetMode="External"/><Relationship Id="rId37" Type="http://schemas.openxmlformats.org/officeDocument/2006/relationships/hyperlink" Target="https://www.ecfr.gov/current/title-42/chapter-IV/subchapter-C/part-441" TargetMode="External"/><Relationship Id="rId40" Type="http://schemas.openxmlformats.org/officeDocument/2006/relationships/hyperlink" Target="https://mydss.mo.gov/media/pdf/general-sections-manual" TargetMode="External"/><Relationship Id="rId45" Type="http://schemas.openxmlformats.org/officeDocument/2006/relationships/hyperlink" Target="mailto:HCBSCallCenterReferrals@health.mo.gov" TargetMode="External"/><Relationship Id="rId53" Type="http://schemas.openxmlformats.org/officeDocument/2006/relationships/hyperlink" Target="https://www.emomed.com/public/publicdocs/5010%20Companion%20Guide.pdf" TargetMode="External"/><Relationship Id="rId58" Type="http://schemas.openxmlformats.org/officeDocument/2006/relationships/hyperlink" Target="https://www.ada.org/-/media/project/ada-organization/ada/ada-org/files/publications/cdt/2019adadentalclaim-form_2019may.pdf" TargetMode="External"/><Relationship Id="rId66" Type="http://schemas.openxmlformats.org/officeDocument/2006/relationships/hyperlink" Target="https://mydss.mo.gov/media/pdf/general-sections-manual" TargetMode="External"/><Relationship Id="rId5" Type="http://schemas.openxmlformats.org/officeDocument/2006/relationships/webSettings" Target="webSettings.xml"/><Relationship Id="rId15" Type="http://schemas.openxmlformats.org/officeDocument/2006/relationships/hyperlink" Target="https://health.mo.gov/safety/fcsr/" TargetMode="External"/><Relationship Id="rId23" Type="http://schemas.openxmlformats.org/officeDocument/2006/relationships/hyperlink" Target="https://s1.sos.mo.gov/cmsimages/adrules/csr/current/13csr/13c70-3.pdf" TargetMode="External"/><Relationship Id="rId28" Type="http://schemas.openxmlformats.org/officeDocument/2006/relationships/hyperlink" Target="https://www.emomed.com/" TargetMode="External"/><Relationship Id="rId36" Type="http://schemas.openxmlformats.org/officeDocument/2006/relationships/hyperlink" Target="https://mydss.mo.gov/media/pdf/personal-care-manual" TargetMode="External"/><Relationship Id="rId49" Type="http://schemas.openxmlformats.org/officeDocument/2006/relationships/hyperlink" Target="https://health.mo.gov/seniors/abuse.php" TargetMode="External"/><Relationship Id="rId57" Type="http://schemas.openxmlformats.org/officeDocument/2006/relationships/hyperlink" Target="https://www.cdc.gov/wtc/pdfs/policies/ub-40-P.pdf" TargetMode="External"/><Relationship Id="rId61" Type="http://schemas.openxmlformats.org/officeDocument/2006/relationships/hyperlink" Target="https://www.cms.gov/Medicare/CMS-Forms/CMS-Forms/downloads/cms1500.pdf" TargetMode="External"/><Relationship Id="rId10" Type="http://schemas.openxmlformats.org/officeDocument/2006/relationships/hyperlink" Target="https://mydss.mo.gov/mhd/cpt" TargetMode="External"/><Relationship Id="rId19" Type="http://schemas.openxmlformats.org/officeDocument/2006/relationships/hyperlink" Target="file:///C:\Users\faltuaf\AppData\Local\Microsoft\Windows\INetCache\Content.Outlook\CU537QQH\mmac.ihscontracts@dss.mo.gov" TargetMode="External"/><Relationship Id="rId31" Type="http://schemas.openxmlformats.org/officeDocument/2006/relationships/hyperlink" Target="https://s1.sos.mo.gov/cmsimages/adrules/csr/current/19csr/19c15-8.pdf" TargetMode="External"/><Relationship Id="rId44" Type="http://schemas.openxmlformats.org/officeDocument/2006/relationships/hyperlink" Target="https://health.mo.gov/seniors/hcbs/hcbsmanual/pdf/8.00appendix3.pdf" TargetMode="External"/><Relationship Id="rId52" Type="http://schemas.openxmlformats.org/officeDocument/2006/relationships/hyperlink" Target="https://wpc-edi.com/" TargetMode="External"/><Relationship Id="rId60" Type="http://schemas.openxmlformats.org/officeDocument/2006/relationships/hyperlink" Target="https://www.cms.gov/Medicare/CMS-Forms/CMS-Forms/downloads/cms1500.pdf" TargetMode="External"/><Relationship Id="rId65" Type="http://schemas.openxmlformats.org/officeDocument/2006/relationships/hyperlink" Target="https://www.emomed.com/" TargetMode="External"/><Relationship Id="rId4" Type="http://schemas.openxmlformats.org/officeDocument/2006/relationships/settings" Target="settings.xml"/><Relationship Id="rId9" Type="http://schemas.openxmlformats.org/officeDocument/2006/relationships/hyperlink" Target="https://www.ssa.gov/OP_Home/ssact/title19/1915.htm" TargetMode="External"/><Relationship Id="rId14" Type="http://schemas.openxmlformats.org/officeDocument/2006/relationships/hyperlink" Target="https://www.mtm-inc.net/" TargetMode="External"/><Relationship Id="rId22" Type="http://schemas.openxmlformats.org/officeDocument/2006/relationships/hyperlink" Target="https://mydss.mo.gov/media/pdf/personal-care-manual" TargetMode="External"/><Relationship Id="rId27" Type="http://schemas.openxmlformats.org/officeDocument/2006/relationships/hyperlink" Target="https://mydss.mo.gov/media/pdf/personal-care-manual" TargetMode="External"/><Relationship Id="rId30" Type="http://schemas.openxmlformats.org/officeDocument/2006/relationships/hyperlink" Target="https://mydss.mo.gov/media/pdf/personal-care-manual" TargetMode="External"/><Relationship Id="rId35" Type="http://schemas.openxmlformats.org/officeDocument/2006/relationships/hyperlink" Target="https://mydss.mo.gov/media/pdf/personal-care-manual" TargetMode="External"/><Relationship Id="rId43" Type="http://schemas.openxmlformats.org/officeDocument/2006/relationships/hyperlink" Target="https://health.mo.gov/seniors/hcbs/hcbsmanual/pdf/8.00appendix6.pdf" TargetMode="External"/><Relationship Id="rId48" Type="http://schemas.openxmlformats.org/officeDocument/2006/relationships/hyperlink" Target="https://health.mo.gov/information/hipaa/pdf/dhss-notice-of-privacy-practices-ada.pdf" TargetMode="External"/><Relationship Id="rId56" Type="http://schemas.openxmlformats.org/officeDocument/2006/relationships/hyperlink" Target="https://www.emomed.com/" TargetMode="External"/><Relationship Id="rId64" Type="http://schemas.openxmlformats.org/officeDocument/2006/relationships/hyperlink" Target="https://www.emomed.com/" TargetMode="External"/><Relationship Id="rId69"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health.mo.gov/seniors/hcbs/hcbsmanual/pdf/4.00appendix2-form.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ydss.mo.gov/media/pdf/personal-care-manual" TargetMode="External"/><Relationship Id="rId17" Type="http://schemas.openxmlformats.org/officeDocument/2006/relationships/hyperlink" Target="https://mydss.mo.gov/media/pdf/personal-care-manual" TargetMode="External"/><Relationship Id="rId25" Type="http://schemas.openxmlformats.org/officeDocument/2006/relationships/hyperlink" Target="https://mydss.mo.gov/mhd/evv" TargetMode="External"/><Relationship Id="rId33" Type="http://schemas.openxmlformats.org/officeDocument/2006/relationships/hyperlink" Target="https://mydss.mo.gov/media/pdf/personal-care-manual" TargetMode="External"/><Relationship Id="rId38" Type="http://schemas.openxmlformats.org/officeDocument/2006/relationships/hyperlink" Target="https://www.ecfr.gov/current/title-42/chapter-IV/subchapter-C/part-441" TargetMode="External"/><Relationship Id="rId46" Type="http://schemas.openxmlformats.org/officeDocument/2006/relationships/hyperlink" Target="https://health.mo.gov/seniors/hcbs/pdf/communicating-with-hcbs-intake-pccp-quick-guide.pdf" TargetMode="External"/><Relationship Id="rId59" Type="http://schemas.openxmlformats.org/officeDocument/2006/relationships/hyperlink" Target="https://mydss.mo.gov/media/pdf/general-sections-manual" TargetMode="External"/><Relationship Id="rId67" Type="http://schemas.openxmlformats.org/officeDocument/2006/relationships/hyperlink" Target="http://www.cdc.gov/nchs/icd.htm" TargetMode="External"/><Relationship Id="rId20" Type="http://schemas.openxmlformats.org/officeDocument/2006/relationships/hyperlink" Target="https://mmac.mo.gov/providers/provider-enrollment/" TargetMode="External"/><Relationship Id="rId41" Type="http://schemas.openxmlformats.org/officeDocument/2006/relationships/hyperlink" Target="http://health.mo.gov/seniors/homecomservices/pdf/BHCS-EvalTeam.pdf" TargetMode="External"/><Relationship Id="rId54" Type="http://schemas.openxmlformats.org/officeDocument/2006/relationships/hyperlink" Target="https://www.emomed.com/public/publicdocs/D.0%20Companion%20Guide.pdf" TargetMode="External"/><Relationship Id="rId62" Type="http://schemas.openxmlformats.org/officeDocument/2006/relationships/hyperlink" Target="https://mydss.mo.gov/media/pdf/general-sections-manual"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Custom 9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E36C09"/>
      </a:hlink>
      <a:folHlink>
        <a:srgbClr val="E36C0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D35A2-8DB6-4433-9FA8-7B10ECA2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8473</Words>
  <Characters>48297</Characters>
  <Application>Microsoft Office Word</Application>
  <DocSecurity>8</DocSecurity>
  <Lines>402</Lines>
  <Paragraphs>113</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MO HealthNet Independent Living Waiver Provider Manual</vt:lpstr>
      <vt:lpstr>/Independent Living Waiver Provider Manual</vt:lpstr>
      <vt:lpstr>    </vt:lpstr>
      <vt:lpstr>    Introduction </vt:lpstr>
      <vt:lpstr>    Section 1: Reimbursement Methodology </vt:lpstr>
      <vt:lpstr>        1.1 Independent Living Waiver Services</vt:lpstr>
      <vt:lpstr>        1.2 Fee Schedule</vt:lpstr>
      <vt:lpstr>    Section 2: Benefits and Limitations </vt:lpstr>
      <vt:lpstr>        2.1 Independent Living Waiver Services </vt:lpstr>
      <vt:lpstr>        2.2 Service Limitations</vt:lpstr>
      <vt:lpstr>        2.3 Provider Conditions of Participation</vt:lpstr>
      <vt:lpstr>        2.5 Participant Eligibility</vt:lpstr>
      <vt:lpstr>        2.6 Authorization of Services</vt:lpstr>
      <vt:lpstr>        2.7 Records</vt:lpstr>
      <vt:lpstr>        2.8 Training</vt:lpstr>
      <vt:lpstr>        2.9 Discharge Policies and Procedures</vt:lpstr>
      <vt:lpstr>        2.10 Provider Reassessments </vt:lpstr>
      <vt:lpstr>        2.11 Home and Community-Based Services Setting Requirements </vt:lpstr>
      <vt:lpstr>    Section 3: Special Documentation Requirements </vt:lpstr>
      <vt:lpstr>        3.1 Prior Authorization</vt:lpstr>
      <vt:lpstr>        3.2 Home and Community-Based Services Referral</vt:lpstr>
      <vt:lpstr>        3.3 Participant Choice Statement</vt:lpstr>
      <vt:lpstr>    Section 4: Billing Instructions </vt:lpstr>
      <vt:lpstr>        4.1 Electronic Data Interchange</vt:lpstr>
      <vt:lpstr>        4.2 Electronic Claim Submission</vt:lpstr>
      <vt:lpstr>        4.3 CMS-1500 Claim Form</vt:lpstr>
      <vt:lpstr>        4.4 Resubmission of Claims</vt:lpstr>
      <vt:lpstr>        4.5 Place of Service Codes</vt:lpstr>
      <vt:lpstr>        4.6 Insurance Coverage  </vt:lpstr>
      <vt:lpstr>        4.7 Diagnosis Codes</vt:lpstr>
      <vt:lpstr>    Section 5: Procedure Codes</vt:lpstr>
    </vt:vector>
  </TitlesOfParts>
  <Manager>Missouri Department of Social Services</Manager>
  <Company>State of Missouri</Company>
  <LinksUpToDate>false</LinksUpToDate>
  <CharactersWithSpaces>56657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Independent Living Waiver Provider Manual</dc:title>
  <dc:subject/>
  <dc:creator>MO HealthNet Division</dc:creator>
  <cp:keywords>MO HealthNet Independent Living Provider Manual</cp:keywords>
  <dc:description/>
  <cp:lastModifiedBy>Peanick, Julie</cp:lastModifiedBy>
  <cp:revision>4</cp:revision>
  <dcterms:created xsi:type="dcterms:W3CDTF">2026-05-04T18:30:00Z</dcterms:created>
  <dcterms:modified xsi:type="dcterms:W3CDTF">2026-05-04T19:12:00Z</dcterms:modified>
</cp:coreProperties>
</file>