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4FEA64FE" w:rsidR="004C5767" w:rsidRPr="006560B3" w:rsidRDefault="004C5767" w:rsidP="00D27533">
      <w:pPr>
        <w:pStyle w:val="tbody"/>
        <w:rPr>
          <w:b w:val="0"/>
        </w:rPr>
      </w:pPr>
      <w:r w:rsidRPr="00C02553">
        <w:t>Drug/Drug Class:</w:t>
      </w:r>
      <w:r w:rsidR="006560B3">
        <w:rPr>
          <w:b w:val="0"/>
        </w:rPr>
        <w:t xml:space="preserve"> </w:t>
      </w:r>
      <w:r w:rsidR="005B186F" w:rsidRPr="005B186F">
        <w:rPr>
          <w:b w:val="0"/>
        </w:rPr>
        <w:t>Botulinum Toxin Clinical Edit</w:t>
      </w:r>
    </w:p>
    <w:p w14:paraId="7AD7FFCE" w14:textId="5BD6A7D6" w:rsidR="004C5767" w:rsidRPr="006560B3" w:rsidRDefault="004C5767" w:rsidP="00D27533">
      <w:pPr>
        <w:pStyle w:val="tbody"/>
        <w:rPr>
          <w:b w:val="0"/>
        </w:rPr>
      </w:pPr>
      <w:r w:rsidRPr="00C02553">
        <w:t>First Implementation Date:</w:t>
      </w:r>
      <w:r w:rsidR="006560B3">
        <w:rPr>
          <w:b w:val="0"/>
        </w:rPr>
        <w:t xml:space="preserve"> </w:t>
      </w:r>
      <w:r w:rsidR="000117DC" w:rsidRPr="000117DC">
        <w:rPr>
          <w:b w:val="0"/>
        </w:rPr>
        <w:t>January 29, 2004</w:t>
      </w:r>
    </w:p>
    <w:p w14:paraId="4B7D760D" w14:textId="143DEE0F" w:rsidR="004C5767" w:rsidRPr="00D232D9" w:rsidRDefault="004540E3" w:rsidP="15EB50BA">
      <w:pPr>
        <w:pStyle w:val="tbody"/>
        <w:rPr>
          <w:b w:val="0"/>
        </w:rPr>
      </w:pPr>
      <w:r>
        <w:t>Revised</w:t>
      </w:r>
      <w:r w:rsidR="004C5767">
        <w:t xml:space="preserve"> Date:</w:t>
      </w:r>
      <w:r w:rsidR="00065C22">
        <w:t xml:space="preserve"> </w:t>
      </w:r>
      <w:r w:rsidR="00814813">
        <w:rPr>
          <w:b w:val="0"/>
        </w:rPr>
        <w:t>May 14,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2C2E22BF" w:rsidR="004C5767" w:rsidRPr="00D27533" w:rsidRDefault="004C5767" w:rsidP="00D27533">
      <w:pPr>
        <w:pStyle w:val="tbody"/>
        <w:rPr>
          <w:b w:val="0"/>
          <w:bCs/>
          <w:spacing w:val="-3"/>
        </w:rPr>
      </w:pPr>
      <w:r w:rsidRPr="00C02553">
        <w:t xml:space="preserve">Criteria Status: </w:t>
      </w:r>
      <w:r w:rsidR="00800964">
        <w:rPr>
          <w:b w:val="0"/>
          <w:bCs/>
          <w:spacing w:val="-3"/>
        </w:rPr>
        <w:t xml:space="preserve">Revision of </w:t>
      </w:r>
      <w:r w:rsidR="00566BE4" w:rsidRPr="000117DC">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0F253CBE" w14:textId="77777777" w:rsidR="00465CA5" w:rsidRDefault="00465CA5" w:rsidP="00696E3A">
      <w:r w:rsidRPr="00465CA5">
        <w:t>Ensure appropriate utilization and control of botulinum toxin agents</w:t>
      </w:r>
    </w:p>
    <w:p w14:paraId="2320C114" w14:textId="456A03EC" w:rsidR="00E23EC0" w:rsidRPr="002C2C41" w:rsidRDefault="00E23EC0" w:rsidP="00696E3A">
      <w:pPr>
        <w:rPr>
          <w:rFonts w:cs="Arial"/>
          <w:szCs w:val="20"/>
        </w:rPr>
      </w:pPr>
      <w:r w:rsidRPr="00C02553">
        <w:tab/>
      </w:r>
    </w:p>
    <w:p w14:paraId="3A9BE506" w14:textId="11761DC1" w:rsidR="00E23EC0" w:rsidRDefault="00E23EC0" w:rsidP="00696E3A">
      <w:pPr>
        <w:rPr>
          <w:b/>
          <w:bCs/>
        </w:rPr>
      </w:pPr>
      <w:r w:rsidRPr="00696E3A">
        <w:rPr>
          <w:b/>
          <w:bCs/>
        </w:rPr>
        <w:t>Why Issue Selected:</w:t>
      </w:r>
    </w:p>
    <w:p w14:paraId="43A83848" w14:textId="5D4B1A94" w:rsidR="00B46B91" w:rsidRPr="00B46B91" w:rsidRDefault="00B46B91" w:rsidP="00696E3A">
      <w:r w:rsidRPr="00B46B91">
        <w:t>Botulinum toxin has been in use since the 1970s. Over the last few years utilization of botulinum toxin has expanded to a larger range of cosmetic and non-cosmetic approved indications. Four preparations of botulinum toxin type A (Botox</w:t>
      </w:r>
      <w:r w:rsidRPr="00B46B91">
        <w:rPr>
          <w:vertAlign w:val="superscript"/>
        </w:rPr>
        <w:t>®</w:t>
      </w:r>
      <w:r w:rsidRPr="00B46B91">
        <w:t>, Daxxify</w:t>
      </w:r>
      <w:r w:rsidRPr="00B46B91">
        <w:rPr>
          <w:vertAlign w:val="superscript"/>
        </w:rPr>
        <w:t>®</w:t>
      </w:r>
      <w:r w:rsidRPr="00B46B91">
        <w:t>, Dysport</w:t>
      </w:r>
      <w:r w:rsidRPr="00B46B91">
        <w:rPr>
          <w:vertAlign w:val="superscript"/>
        </w:rPr>
        <w:t>®</w:t>
      </w:r>
      <w:r w:rsidRPr="00B46B91">
        <w:t xml:space="preserve"> and Xeomin</w:t>
      </w:r>
      <w:r w:rsidRPr="00B46B91">
        <w:rPr>
          <w:vertAlign w:val="superscript"/>
        </w:rPr>
        <w:t>®</w:t>
      </w:r>
      <w:r w:rsidRPr="00B46B91">
        <w:t>) and one preparation of botulinum toxin type B (Myobloc</w:t>
      </w:r>
      <w:r w:rsidRPr="00B46B91">
        <w:rPr>
          <w:vertAlign w:val="superscript"/>
        </w:rPr>
        <w:t>®</w:t>
      </w:r>
      <w:r w:rsidRPr="00B46B91">
        <w:t>) are commercially available.  Botox first earned FDA approval in 1989. Dysport and Myobloc were approved in 2009, Xeomin was approved in 2010, and Daxxify was approved in 2022.  The clinical effect of botulinum toxin is the result of a reversible inhibition of acetylcholine release which prevents contraction of muscle.  The molecules and pharmacokinetics of the botulinum toxin products differ, making a straight conversion ratio of equivalent therapeutic doses difficult.  MO HealthNet will edit botulinum toxin agents to ensure appropriate prescribing of these agents for non-cosmetic uses only.</w:t>
      </w:r>
    </w:p>
    <w:p w14:paraId="7ACECC9F" w14:textId="77777777" w:rsidR="00B56DCC" w:rsidRDefault="00B56DCC" w:rsidP="00696E3A"/>
    <w:p w14:paraId="5B5260CF" w14:textId="6324FE01" w:rsidR="003D4704" w:rsidRPr="00AD17B7" w:rsidRDefault="003D4704" w:rsidP="003D4704">
      <w:r>
        <w:rPr>
          <w:b/>
          <w:bCs/>
        </w:rPr>
        <w:t xml:space="preserve">Program-Specific Information: </w:t>
      </w:r>
      <w:r>
        <w:t>Dat</w:t>
      </w:r>
      <w:r w:rsidR="00ED760F">
        <w:t>e</w:t>
      </w:r>
      <w:r>
        <w:t xml:space="preserve"> Ranges FFS </w:t>
      </w:r>
      <w:r w:rsidR="004F7FEA">
        <w:t>7</w:t>
      </w:r>
      <w:r>
        <w:t xml:space="preserve">-1-2024 to </w:t>
      </w:r>
      <w:r w:rsidR="004F7FEA">
        <w:t>6</w:t>
      </w:r>
      <w:r>
        <w:t>-30-2025</w:t>
      </w:r>
    </w:p>
    <w:tbl>
      <w:tblPr>
        <w:tblW w:w="8455" w:type="dxa"/>
        <w:tblLayout w:type="fixed"/>
        <w:tblLook w:val="04A0" w:firstRow="1" w:lastRow="0" w:firstColumn="1" w:lastColumn="0" w:noHBand="0" w:noVBand="1"/>
      </w:tblPr>
      <w:tblGrid>
        <w:gridCol w:w="3506"/>
        <w:gridCol w:w="1112"/>
        <w:gridCol w:w="1587"/>
        <w:gridCol w:w="2250"/>
      </w:tblGrid>
      <w:tr w:rsidR="00CA2066" w:rsidRPr="003710E4" w14:paraId="59DC1579" w14:textId="77777777" w:rsidTr="00CA2066">
        <w:trPr>
          <w:trHeight w:val="232"/>
        </w:trPr>
        <w:tc>
          <w:tcPr>
            <w:tcW w:w="350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47ABDB8" w14:textId="77777777" w:rsidR="00CA2066" w:rsidRPr="003710E4" w:rsidRDefault="00CA2066">
            <w:pPr>
              <w:jc w:val="center"/>
              <w:rPr>
                <w:rFonts w:cs="Arial"/>
                <w:b/>
                <w:bCs/>
                <w:spacing w:val="-3"/>
                <w:szCs w:val="20"/>
              </w:rPr>
            </w:pPr>
            <w:r w:rsidRPr="003710E4">
              <w:rPr>
                <w:rFonts w:cs="Arial"/>
                <w:b/>
                <w:bCs/>
                <w:spacing w:val="-3"/>
                <w:szCs w:val="20"/>
              </w:rPr>
              <w:t>Drug</w:t>
            </w:r>
          </w:p>
        </w:tc>
        <w:tc>
          <w:tcPr>
            <w:tcW w:w="1112"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13CD11CA" w14:textId="77777777" w:rsidR="00CA2066" w:rsidRPr="003710E4" w:rsidRDefault="00CA2066">
            <w:pPr>
              <w:jc w:val="center"/>
              <w:rPr>
                <w:rFonts w:cs="Arial"/>
                <w:b/>
                <w:bCs/>
                <w:spacing w:val="-3"/>
                <w:szCs w:val="20"/>
              </w:rPr>
            </w:pPr>
            <w:r w:rsidRPr="003710E4">
              <w:rPr>
                <w:rFonts w:cs="Arial"/>
                <w:b/>
                <w:bCs/>
                <w:spacing w:val="-3"/>
                <w:szCs w:val="20"/>
              </w:rPr>
              <w:t>Claims</w:t>
            </w:r>
          </w:p>
        </w:tc>
        <w:tc>
          <w:tcPr>
            <w:tcW w:w="158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D3032F9" w14:textId="77777777" w:rsidR="00CA2066" w:rsidRPr="003710E4" w:rsidRDefault="00CA2066">
            <w:pPr>
              <w:jc w:val="center"/>
              <w:rPr>
                <w:rFonts w:cs="Arial"/>
                <w:b/>
                <w:bCs/>
                <w:spacing w:val="-3"/>
                <w:szCs w:val="20"/>
              </w:rPr>
            </w:pPr>
            <w:r w:rsidRPr="003710E4">
              <w:rPr>
                <w:rFonts w:cs="Arial"/>
                <w:b/>
                <w:bCs/>
                <w:spacing w:val="-3"/>
                <w:szCs w:val="20"/>
              </w:rPr>
              <w:t>Spend</w:t>
            </w:r>
          </w:p>
        </w:tc>
        <w:tc>
          <w:tcPr>
            <w:tcW w:w="225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7D2043F5" w14:textId="77777777" w:rsidR="00CA2066" w:rsidRPr="003710E4" w:rsidRDefault="00CA2066">
            <w:pPr>
              <w:jc w:val="center"/>
              <w:rPr>
                <w:rFonts w:cs="Arial"/>
                <w:b/>
                <w:bCs/>
                <w:spacing w:val="-3"/>
                <w:szCs w:val="20"/>
              </w:rPr>
            </w:pPr>
            <w:r w:rsidRPr="003710E4">
              <w:rPr>
                <w:rFonts w:cs="Arial"/>
                <w:b/>
                <w:spacing w:val="-3"/>
                <w:szCs w:val="20"/>
              </w:rPr>
              <w:t>Avg Spend per Claim</w:t>
            </w:r>
          </w:p>
        </w:tc>
      </w:tr>
      <w:tr w:rsidR="00CA2066" w:rsidRPr="00CF7A7E" w14:paraId="10D635EE" w14:textId="77777777" w:rsidTr="00CA2066">
        <w:trPr>
          <w:trHeight w:val="232"/>
        </w:trPr>
        <w:tc>
          <w:tcPr>
            <w:tcW w:w="3506" w:type="dxa"/>
            <w:tcBorders>
              <w:top w:val="single" w:sz="4" w:space="0" w:color="auto"/>
              <w:left w:val="single" w:sz="4" w:space="0" w:color="auto"/>
              <w:bottom w:val="single" w:sz="4" w:space="0" w:color="auto"/>
              <w:right w:val="single" w:sz="4" w:space="0" w:color="auto"/>
            </w:tcBorders>
          </w:tcPr>
          <w:p w14:paraId="6B30AC61" w14:textId="77777777" w:rsidR="00CA2066" w:rsidRPr="002A7996" w:rsidRDefault="00CA2066">
            <w:pPr>
              <w:rPr>
                <w:rFonts w:cs="Arial"/>
                <w:szCs w:val="20"/>
              </w:rPr>
            </w:pPr>
            <w:r w:rsidRPr="00BA34CD">
              <w:t>BOTOX 100 UNIT VIAL</w:t>
            </w:r>
          </w:p>
        </w:tc>
        <w:tc>
          <w:tcPr>
            <w:tcW w:w="1112" w:type="dxa"/>
            <w:tcBorders>
              <w:top w:val="single" w:sz="4" w:space="0" w:color="auto"/>
              <w:left w:val="single" w:sz="4" w:space="0" w:color="auto"/>
              <w:bottom w:val="single" w:sz="4" w:space="0" w:color="auto"/>
              <w:right w:val="single" w:sz="4" w:space="0" w:color="auto"/>
            </w:tcBorders>
          </w:tcPr>
          <w:p w14:paraId="4551F4E2" w14:textId="77777777" w:rsidR="00CA2066" w:rsidRPr="002A7996" w:rsidRDefault="00CA2066">
            <w:pPr>
              <w:jc w:val="center"/>
              <w:rPr>
                <w:rFonts w:cs="Arial"/>
                <w:szCs w:val="20"/>
              </w:rPr>
            </w:pPr>
            <w:r w:rsidRPr="00C51677">
              <w:t>3</w:t>
            </w:r>
            <w:r>
              <w:t>,</w:t>
            </w:r>
            <w:r w:rsidRPr="00C51677">
              <w:t>406</w:t>
            </w:r>
          </w:p>
        </w:tc>
        <w:tc>
          <w:tcPr>
            <w:tcW w:w="1587" w:type="dxa"/>
            <w:tcBorders>
              <w:top w:val="single" w:sz="4" w:space="0" w:color="auto"/>
              <w:left w:val="single" w:sz="4" w:space="0" w:color="auto"/>
              <w:bottom w:val="single" w:sz="4" w:space="0" w:color="auto"/>
              <w:right w:val="single" w:sz="4" w:space="0" w:color="auto"/>
            </w:tcBorders>
          </w:tcPr>
          <w:p w14:paraId="742C4E73" w14:textId="77777777" w:rsidR="00CA2066" w:rsidRPr="002A7996" w:rsidRDefault="00CA2066">
            <w:pPr>
              <w:jc w:val="right"/>
              <w:rPr>
                <w:rFonts w:cs="Arial"/>
                <w:szCs w:val="20"/>
              </w:rPr>
            </w:pPr>
            <w:r w:rsidRPr="00C51677">
              <w:t xml:space="preserve">$4,270,513.35 </w:t>
            </w:r>
          </w:p>
        </w:tc>
        <w:tc>
          <w:tcPr>
            <w:tcW w:w="2250" w:type="dxa"/>
            <w:tcBorders>
              <w:top w:val="single" w:sz="4" w:space="0" w:color="auto"/>
              <w:left w:val="single" w:sz="4" w:space="0" w:color="auto"/>
              <w:bottom w:val="single" w:sz="4" w:space="0" w:color="auto"/>
              <w:right w:val="single" w:sz="4" w:space="0" w:color="auto"/>
            </w:tcBorders>
          </w:tcPr>
          <w:p w14:paraId="62CA9580" w14:textId="77777777" w:rsidR="00CA2066" w:rsidRPr="002A7996" w:rsidRDefault="00CA2066">
            <w:pPr>
              <w:jc w:val="right"/>
              <w:rPr>
                <w:rFonts w:cs="Arial"/>
                <w:szCs w:val="20"/>
              </w:rPr>
            </w:pPr>
            <w:r w:rsidRPr="00C51677">
              <w:t xml:space="preserve">$1,253.82 </w:t>
            </w:r>
          </w:p>
        </w:tc>
      </w:tr>
      <w:tr w:rsidR="00CA2066" w:rsidRPr="00084E3B" w14:paraId="6D3A06D4" w14:textId="77777777" w:rsidTr="00CA2066">
        <w:trPr>
          <w:trHeight w:val="232"/>
        </w:trPr>
        <w:tc>
          <w:tcPr>
            <w:tcW w:w="3506" w:type="dxa"/>
            <w:tcBorders>
              <w:top w:val="single" w:sz="4" w:space="0" w:color="auto"/>
              <w:left w:val="single" w:sz="4" w:space="0" w:color="auto"/>
              <w:bottom w:val="single" w:sz="4" w:space="0" w:color="auto"/>
              <w:right w:val="single" w:sz="4" w:space="0" w:color="auto"/>
            </w:tcBorders>
          </w:tcPr>
          <w:p w14:paraId="04DFAA8E" w14:textId="77777777" w:rsidR="00CA2066" w:rsidRPr="00084E3B" w:rsidRDefault="00CA2066">
            <w:r w:rsidRPr="00084E3B">
              <w:t>BOTOX 200 UNIT VIAL</w:t>
            </w:r>
          </w:p>
        </w:tc>
        <w:tc>
          <w:tcPr>
            <w:tcW w:w="1112" w:type="dxa"/>
            <w:tcBorders>
              <w:top w:val="single" w:sz="4" w:space="0" w:color="auto"/>
              <w:left w:val="single" w:sz="4" w:space="0" w:color="auto"/>
              <w:bottom w:val="single" w:sz="4" w:space="0" w:color="auto"/>
              <w:right w:val="single" w:sz="4" w:space="0" w:color="auto"/>
            </w:tcBorders>
          </w:tcPr>
          <w:p w14:paraId="139EBAD1" w14:textId="77777777" w:rsidR="00CA2066" w:rsidRPr="00084E3B" w:rsidRDefault="00CA2066">
            <w:pPr>
              <w:jc w:val="center"/>
            </w:pPr>
            <w:r w:rsidRPr="00DB10EE">
              <w:t>1</w:t>
            </w:r>
            <w:r>
              <w:t>,</w:t>
            </w:r>
            <w:r w:rsidRPr="00DB10EE">
              <w:t>211</w:t>
            </w:r>
          </w:p>
        </w:tc>
        <w:tc>
          <w:tcPr>
            <w:tcW w:w="1587" w:type="dxa"/>
            <w:tcBorders>
              <w:top w:val="single" w:sz="4" w:space="0" w:color="auto"/>
              <w:left w:val="single" w:sz="4" w:space="0" w:color="auto"/>
              <w:bottom w:val="single" w:sz="4" w:space="0" w:color="auto"/>
              <w:right w:val="single" w:sz="4" w:space="0" w:color="auto"/>
            </w:tcBorders>
          </w:tcPr>
          <w:p w14:paraId="4B71A45D" w14:textId="77777777" w:rsidR="00CA2066" w:rsidRPr="00084E3B" w:rsidRDefault="00CA2066">
            <w:pPr>
              <w:jc w:val="right"/>
            </w:pPr>
            <w:r w:rsidRPr="00DB10EE">
              <w:t xml:space="preserve">$1,562,079.12 </w:t>
            </w:r>
          </w:p>
        </w:tc>
        <w:tc>
          <w:tcPr>
            <w:tcW w:w="2250" w:type="dxa"/>
            <w:tcBorders>
              <w:top w:val="single" w:sz="4" w:space="0" w:color="auto"/>
              <w:left w:val="single" w:sz="4" w:space="0" w:color="auto"/>
              <w:bottom w:val="single" w:sz="4" w:space="0" w:color="auto"/>
              <w:right w:val="single" w:sz="4" w:space="0" w:color="auto"/>
            </w:tcBorders>
          </w:tcPr>
          <w:p w14:paraId="61BB65B7" w14:textId="77777777" w:rsidR="00CA2066" w:rsidRPr="00084E3B" w:rsidRDefault="00CA2066">
            <w:pPr>
              <w:jc w:val="right"/>
            </w:pPr>
            <w:r w:rsidRPr="00DB10EE">
              <w:t xml:space="preserve">$1,289.91 </w:t>
            </w:r>
          </w:p>
        </w:tc>
      </w:tr>
      <w:tr w:rsidR="00CA2066" w:rsidRPr="00CF7A7E" w14:paraId="075E8DC2" w14:textId="77777777" w:rsidTr="00CA2066">
        <w:trPr>
          <w:trHeight w:val="232"/>
        </w:trPr>
        <w:tc>
          <w:tcPr>
            <w:tcW w:w="3506" w:type="dxa"/>
            <w:tcBorders>
              <w:top w:val="single" w:sz="4" w:space="0" w:color="auto"/>
              <w:left w:val="single" w:sz="4" w:space="0" w:color="auto"/>
              <w:bottom w:val="single" w:sz="4" w:space="0" w:color="auto"/>
              <w:right w:val="single" w:sz="4" w:space="0" w:color="auto"/>
            </w:tcBorders>
          </w:tcPr>
          <w:p w14:paraId="6624DBB0" w14:textId="77777777" w:rsidR="00CA2066" w:rsidRPr="002A7996" w:rsidRDefault="00CA2066">
            <w:pPr>
              <w:rPr>
                <w:rFonts w:cs="Arial"/>
                <w:szCs w:val="20"/>
              </w:rPr>
            </w:pPr>
            <w:r w:rsidRPr="009D0730">
              <w:t>DAXXIFY 100 UNIT VIAL</w:t>
            </w:r>
          </w:p>
        </w:tc>
        <w:tc>
          <w:tcPr>
            <w:tcW w:w="1112" w:type="dxa"/>
            <w:tcBorders>
              <w:top w:val="single" w:sz="4" w:space="0" w:color="auto"/>
              <w:left w:val="single" w:sz="4" w:space="0" w:color="auto"/>
              <w:bottom w:val="single" w:sz="4" w:space="0" w:color="auto"/>
              <w:right w:val="single" w:sz="4" w:space="0" w:color="auto"/>
            </w:tcBorders>
          </w:tcPr>
          <w:p w14:paraId="2F0CE5B3" w14:textId="77777777" w:rsidR="00CA2066" w:rsidRPr="002A7996" w:rsidRDefault="00CA2066">
            <w:pPr>
              <w:jc w:val="center"/>
              <w:rPr>
                <w:rFonts w:cs="Arial"/>
                <w:szCs w:val="20"/>
              </w:rPr>
            </w:pPr>
            <w:r w:rsidRPr="009D0730">
              <w:t>1</w:t>
            </w:r>
          </w:p>
        </w:tc>
        <w:tc>
          <w:tcPr>
            <w:tcW w:w="1587" w:type="dxa"/>
            <w:tcBorders>
              <w:top w:val="single" w:sz="4" w:space="0" w:color="auto"/>
              <w:left w:val="single" w:sz="4" w:space="0" w:color="auto"/>
              <w:bottom w:val="single" w:sz="4" w:space="0" w:color="auto"/>
              <w:right w:val="single" w:sz="4" w:space="0" w:color="auto"/>
            </w:tcBorders>
          </w:tcPr>
          <w:p w14:paraId="1CD4DA0C" w14:textId="77777777" w:rsidR="00CA2066" w:rsidRPr="002A7996" w:rsidRDefault="00CA2066">
            <w:pPr>
              <w:jc w:val="right"/>
              <w:rPr>
                <w:rFonts w:cs="Arial"/>
                <w:szCs w:val="20"/>
              </w:rPr>
            </w:pPr>
            <w:r w:rsidRPr="009D0730">
              <w:t xml:space="preserve">$1,260.00 </w:t>
            </w:r>
          </w:p>
        </w:tc>
        <w:tc>
          <w:tcPr>
            <w:tcW w:w="2250" w:type="dxa"/>
            <w:tcBorders>
              <w:top w:val="single" w:sz="4" w:space="0" w:color="auto"/>
              <w:left w:val="single" w:sz="4" w:space="0" w:color="auto"/>
              <w:bottom w:val="single" w:sz="4" w:space="0" w:color="auto"/>
              <w:right w:val="single" w:sz="4" w:space="0" w:color="auto"/>
            </w:tcBorders>
          </w:tcPr>
          <w:p w14:paraId="2CBDC5EB" w14:textId="77777777" w:rsidR="00CA2066" w:rsidRPr="002A7996" w:rsidRDefault="00CA2066">
            <w:pPr>
              <w:jc w:val="right"/>
              <w:rPr>
                <w:rFonts w:cs="Arial"/>
                <w:szCs w:val="20"/>
              </w:rPr>
            </w:pPr>
            <w:r w:rsidRPr="009D0730">
              <w:t xml:space="preserve">$1,260.00 </w:t>
            </w:r>
          </w:p>
        </w:tc>
      </w:tr>
      <w:tr w:rsidR="00CA2066" w:rsidRPr="006B3FE6" w14:paraId="70C14F68" w14:textId="77777777" w:rsidTr="00CA2066">
        <w:trPr>
          <w:trHeight w:val="232"/>
        </w:trPr>
        <w:tc>
          <w:tcPr>
            <w:tcW w:w="3506" w:type="dxa"/>
            <w:tcBorders>
              <w:top w:val="single" w:sz="4" w:space="0" w:color="auto"/>
              <w:left w:val="single" w:sz="4" w:space="0" w:color="auto"/>
              <w:bottom w:val="single" w:sz="4" w:space="0" w:color="auto"/>
              <w:right w:val="single" w:sz="4" w:space="0" w:color="auto"/>
            </w:tcBorders>
          </w:tcPr>
          <w:p w14:paraId="51710698" w14:textId="77777777" w:rsidR="00CA2066" w:rsidRPr="006B3FE6" w:rsidRDefault="00CA2066">
            <w:r w:rsidRPr="006B3FE6">
              <w:t>DYSPORT 300 UNIT VIAL</w:t>
            </w:r>
          </w:p>
        </w:tc>
        <w:tc>
          <w:tcPr>
            <w:tcW w:w="1112" w:type="dxa"/>
            <w:tcBorders>
              <w:top w:val="single" w:sz="4" w:space="0" w:color="auto"/>
              <w:left w:val="single" w:sz="4" w:space="0" w:color="auto"/>
              <w:bottom w:val="single" w:sz="4" w:space="0" w:color="auto"/>
              <w:right w:val="single" w:sz="4" w:space="0" w:color="auto"/>
            </w:tcBorders>
          </w:tcPr>
          <w:p w14:paraId="7816DB1E" w14:textId="77777777" w:rsidR="00CA2066" w:rsidRPr="006B3FE6" w:rsidRDefault="00CA2066">
            <w:pPr>
              <w:jc w:val="center"/>
            </w:pPr>
            <w:r w:rsidRPr="00DD6E5F">
              <w:t>61</w:t>
            </w:r>
          </w:p>
        </w:tc>
        <w:tc>
          <w:tcPr>
            <w:tcW w:w="1587" w:type="dxa"/>
            <w:tcBorders>
              <w:top w:val="single" w:sz="4" w:space="0" w:color="auto"/>
              <w:left w:val="single" w:sz="4" w:space="0" w:color="auto"/>
              <w:bottom w:val="single" w:sz="4" w:space="0" w:color="auto"/>
              <w:right w:val="single" w:sz="4" w:space="0" w:color="auto"/>
            </w:tcBorders>
          </w:tcPr>
          <w:p w14:paraId="1FE10F4D" w14:textId="77777777" w:rsidR="00CA2066" w:rsidRPr="006B3FE6" w:rsidRDefault="00CA2066">
            <w:pPr>
              <w:jc w:val="right"/>
            </w:pPr>
            <w:r w:rsidRPr="00DD6E5F">
              <w:t xml:space="preserve">$37,208.01 </w:t>
            </w:r>
          </w:p>
        </w:tc>
        <w:tc>
          <w:tcPr>
            <w:tcW w:w="2250" w:type="dxa"/>
            <w:tcBorders>
              <w:top w:val="single" w:sz="4" w:space="0" w:color="auto"/>
              <w:left w:val="single" w:sz="4" w:space="0" w:color="auto"/>
              <w:bottom w:val="single" w:sz="4" w:space="0" w:color="auto"/>
              <w:right w:val="single" w:sz="4" w:space="0" w:color="auto"/>
            </w:tcBorders>
          </w:tcPr>
          <w:p w14:paraId="1814CB20" w14:textId="77777777" w:rsidR="00CA2066" w:rsidRPr="006B3FE6" w:rsidRDefault="00CA2066">
            <w:pPr>
              <w:jc w:val="right"/>
            </w:pPr>
            <w:r w:rsidRPr="00DD6E5F">
              <w:t xml:space="preserve">$609.97 </w:t>
            </w:r>
          </w:p>
        </w:tc>
      </w:tr>
      <w:tr w:rsidR="00CA2066" w:rsidRPr="00CF7A7E" w14:paraId="511C3AAA" w14:textId="77777777" w:rsidTr="00CA2066">
        <w:trPr>
          <w:trHeight w:val="232"/>
        </w:trPr>
        <w:tc>
          <w:tcPr>
            <w:tcW w:w="3506" w:type="dxa"/>
            <w:tcBorders>
              <w:top w:val="single" w:sz="4" w:space="0" w:color="auto"/>
              <w:left w:val="single" w:sz="4" w:space="0" w:color="auto"/>
              <w:bottom w:val="single" w:sz="4" w:space="0" w:color="auto"/>
              <w:right w:val="single" w:sz="4" w:space="0" w:color="auto"/>
            </w:tcBorders>
          </w:tcPr>
          <w:p w14:paraId="43103F3E" w14:textId="77777777" w:rsidR="00CA2066" w:rsidRPr="002A7996" w:rsidRDefault="00CA2066">
            <w:pPr>
              <w:rPr>
                <w:rFonts w:cs="Arial"/>
                <w:szCs w:val="20"/>
              </w:rPr>
            </w:pPr>
            <w:r w:rsidRPr="00107D22">
              <w:t>DYSPORT 500 UNIT VIAL</w:t>
            </w:r>
          </w:p>
        </w:tc>
        <w:tc>
          <w:tcPr>
            <w:tcW w:w="1112" w:type="dxa"/>
            <w:tcBorders>
              <w:top w:val="single" w:sz="4" w:space="0" w:color="auto"/>
              <w:left w:val="single" w:sz="4" w:space="0" w:color="auto"/>
              <w:bottom w:val="single" w:sz="4" w:space="0" w:color="auto"/>
              <w:right w:val="single" w:sz="4" w:space="0" w:color="auto"/>
            </w:tcBorders>
          </w:tcPr>
          <w:p w14:paraId="61570E1B" w14:textId="77777777" w:rsidR="00CA2066" w:rsidRPr="002A7996" w:rsidRDefault="00CA2066">
            <w:pPr>
              <w:jc w:val="center"/>
              <w:rPr>
                <w:rFonts w:cs="Arial"/>
                <w:szCs w:val="20"/>
              </w:rPr>
            </w:pPr>
            <w:r w:rsidRPr="004E4DEB">
              <w:t>106</w:t>
            </w:r>
          </w:p>
        </w:tc>
        <w:tc>
          <w:tcPr>
            <w:tcW w:w="1587" w:type="dxa"/>
            <w:tcBorders>
              <w:top w:val="single" w:sz="4" w:space="0" w:color="auto"/>
              <w:left w:val="single" w:sz="4" w:space="0" w:color="auto"/>
              <w:bottom w:val="single" w:sz="4" w:space="0" w:color="auto"/>
              <w:right w:val="single" w:sz="4" w:space="0" w:color="auto"/>
            </w:tcBorders>
          </w:tcPr>
          <w:p w14:paraId="63C500D1" w14:textId="77777777" w:rsidR="00CA2066" w:rsidRPr="002A7996" w:rsidRDefault="00CA2066">
            <w:pPr>
              <w:jc w:val="right"/>
              <w:rPr>
                <w:rFonts w:cs="Arial"/>
                <w:szCs w:val="20"/>
              </w:rPr>
            </w:pPr>
            <w:r w:rsidRPr="004E4DEB">
              <w:t xml:space="preserve">$142,610.41 </w:t>
            </w:r>
          </w:p>
        </w:tc>
        <w:tc>
          <w:tcPr>
            <w:tcW w:w="2250" w:type="dxa"/>
            <w:tcBorders>
              <w:top w:val="single" w:sz="4" w:space="0" w:color="auto"/>
              <w:left w:val="single" w:sz="4" w:space="0" w:color="auto"/>
              <w:bottom w:val="single" w:sz="4" w:space="0" w:color="auto"/>
              <w:right w:val="single" w:sz="4" w:space="0" w:color="auto"/>
            </w:tcBorders>
          </w:tcPr>
          <w:p w14:paraId="17BD380E" w14:textId="77777777" w:rsidR="00CA2066" w:rsidRPr="002A7996" w:rsidRDefault="00CA2066">
            <w:pPr>
              <w:jc w:val="right"/>
              <w:rPr>
                <w:rFonts w:cs="Arial"/>
                <w:szCs w:val="20"/>
              </w:rPr>
            </w:pPr>
            <w:r w:rsidRPr="004E4DEB">
              <w:t xml:space="preserve">$1,345.38 </w:t>
            </w:r>
          </w:p>
        </w:tc>
      </w:tr>
      <w:tr w:rsidR="00CA2066" w:rsidRPr="00CF7A7E" w14:paraId="76FD8796" w14:textId="77777777" w:rsidTr="00CA2066">
        <w:trPr>
          <w:trHeight w:val="232"/>
        </w:trPr>
        <w:tc>
          <w:tcPr>
            <w:tcW w:w="3506" w:type="dxa"/>
            <w:tcBorders>
              <w:top w:val="single" w:sz="4" w:space="0" w:color="auto"/>
              <w:left w:val="single" w:sz="4" w:space="0" w:color="auto"/>
              <w:bottom w:val="single" w:sz="4" w:space="0" w:color="auto"/>
              <w:right w:val="single" w:sz="4" w:space="0" w:color="auto"/>
            </w:tcBorders>
          </w:tcPr>
          <w:p w14:paraId="430373D5" w14:textId="77777777" w:rsidR="00CA2066" w:rsidRPr="002A7996" w:rsidRDefault="00CA2066">
            <w:pPr>
              <w:rPr>
                <w:rFonts w:cs="Arial"/>
                <w:szCs w:val="20"/>
              </w:rPr>
            </w:pPr>
            <w:r w:rsidRPr="00D52B9E">
              <w:t>MYOBLOC 2,500 UNIT/0.5 ML VIAL</w:t>
            </w:r>
          </w:p>
        </w:tc>
        <w:tc>
          <w:tcPr>
            <w:tcW w:w="1112" w:type="dxa"/>
            <w:tcBorders>
              <w:top w:val="single" w:sz="4" w:space="0" w:color="auto"/>
              <w:left w:val="single" w:sz="4" w:space="0" w:color="auto"/>
              <w:bottom w:val="single" w:sz="4" w:space="0" w:color="auto"/>
              <w:right w:val="single" w:sz="4" w:space="0" w:color="auto"/>
            </w:tcBorders>
          </w:tcPr>
          <w:p w14:paraId="767F97AE" w14:textId="77777777" w:rsidR="00CA2066" w:rsidRPr="002A7996" w:rsidRDefault="00CA2066">
            <w:pPr>
              <w:jc w:val="center"/>
              <w:rPr>
                <w:rFonts w:cs="Arial"/>
                <w:szCs w:val="20"/>
              </w:rPr>
            </w:pPr>
            <w:r w:rsidRPr="00D52B9E">
              <w:t>1</w:t>
            </w:r>
          </w:p>
        </w:tc>
        <w:tc>
          <w:tcPr>
            <w:tcW w:w="1587" w:type="dxa"/>
            <w:tcBorders>
              <w:top w:val="single" w:sz="4" w:space="0" w:color="auto"/>
              <w:left w:val="single" w:sz="4" w:space="0" w:color="auto"/>
              <w:bottom w:val="single" w:sz="4" w:space="0" w:color="auto"/>
              <w:right w:val="single" w:sz="4" w:space="0" w:color="auto"/>
            </w:tcBorders>
          </w:tcPr>
          <w:p w14:paraId="17EADE3B" w14:textId="77777777" w:rsidR="00CA2066" w:rsidRPr="002A7996" w:rsidRDefault="00CA2066">
            <w:pPr>
              <w:jc w:val="right"/>
              <w:rPr>
                <w:rFonts w:cs="Arial"/>
                <w:szCs w:val="20"/>
              </w:rPr>
            </w:pPr>
            <w:r w:rsidRPr="00D52B9E">
              <w:t xml:space="preserve">$613.28 </w:t>
            </w:r>
          </w:p>
        </w:tc>
        <w:tc>
          <w:tcPr>
            <w:tcW w:w="2250" w:type="dxa"/>
            <w:tcBorders>
              <w:top w:val="single" w:sz="4" w:space="0" w:color="auto"/>
              <w:left w:val="single" w:sz="4" w:space="0" w:color="auto"/>
              <w:bottom w:val="single" w:sz="4" w:space="0" w:color="auto"/>
              <w:right w:val="single" w:sz="4" w:space="0" w:color="auto"/>
            </w:tcBorders>
          </w:tcPr>
          <w:p w14:paraId="285C4631" w14:textId="77777777" w:rsidR="00CA2066" w:rsidRPr="002A7996" w:rsidRDefault="00CA2066">
            <w:pPr>
              <w:jc w:val="right"/>
              <w:rPr>
                <w:rFonts w:cs="Arial"/>
                <w:szCs w:val="20"/>
              </w:rPr>
            </w:pPr>
            <w:r w:rsidRPr="00D52B9E">
              <w:t xml:space="preserve">$613.28 </w:t>
            </w:r>
          </w:p>
        </w:tc>
      </w:tr>
      <w:tr w:rsidR="00CA2066" w:rsidRPr="00CF7A7E" w14:paraId="163604F6" w14:textId="77777777" w:rsidTr="00CA2066">
        <w:trPr>
          <w:trHeight w:val="232"/>
        </w:trPr>
        <w:tc>
          <w:tcPr>
            <w:tcW w:w="3506" w:type="dxa"/>
            <w:tcBorders>
              <w:top w:val="single" w:sz="4" w:space="0" w:color="auto"/>
              <w:left w:val="single" w:sz="4" w:space="0" w:color="auto"/>
              <w:bottom w:val="single" w:sz="4" w:space="0" w:color="auto"/>
              <w:right w:val="single" w:sz="4" w:space="0" w:color="auto"/>
            </w:tcBorders>
          </w:tcPr>
          <w:p w14:paraId="774771C3" w14:textId="77777777" w:rsidR="00CA2066" w:rsidRPr="002A7996" w:rsidRDefault="00CA2066">
            <w:pPr>
              <w:rPr>
                <w:rFonts w:cs="Arial"/>
                <w:szCs w:val="20"/>
              </w:rPr>
            </w:pPr>
            <w:r w:rsidRPr="00C44065">
              <w:t>MYOBLOC 5,000 UNITS/1 ML VIAL</w:t>
            </w:r>
          </w:p>
        </w:tc>
        <w:tc>
          <w:tcPr>
            <w:tcW w:w="1112" w:type="dxa"/>
            <w:tcBorders>
              <w:top w:val="single" w:sz="4" w:space="0" w:color="auto"/>
              <w:left w:val="single" w:sz="4" w:space="0" w:color="auto"/>
              <w:bottom w:val="single" w:sz="4" w:space="0" w:color="auto"/>
              <w:right w:val="single" w:sz="4" w:space="0" w:color="auto"/>
            </w:tcBorders>
          </w:tcPr>
          <w:p w14:paraId="0AE431D1" w14:textId="77777777" w:rsidR="00CA2066" w:rsidRPr="002A7996" w:rsidRDefault="00CA2066">
            <w:pPr>
              <w:jc w:val="center"/>
              <w:rPr>
                <w:rFonts w:cs="Arial"/>
                <w:szCs w:val="20"/>
              </w:rPr>
            </w:pPr>
            <w:r w:rsidRPr="00C44065">
              <w:t>3</w:t>
            </w:r>
          </w:p>
        </w:tc>
        <w:tc>
          <w:tcPr>
            <w:tcW w:w="1587" w:type="dxa"/>
            <w:tcBorders>
              <w:top w:val="single" w:sz="4" w:space="0" w:color="auto"/>
              <w:left w:val="single" w:sz="4" w:space="0" w:color="auto"/>
              <w:bottom w:val="single" w:sz="4" w:space="0" w:color="auto"/>
              <w:right w:val="single" w:sz="4" w:space="0" w:color="auto"/>
            </w:tcBorders>
          </w:tcPr>
          <w:p w14:paraId="6F57C8A9" w14:textId="77777777" w:rsidR="00CA2066" w:rsidRPr="002A7996" w:rsidRDefault="00CA2066">
            <w:pPr>
              <w:jc w:val="right"/>
              <w:rPr>
                <w:rFonts w:cs="Arial"/>
                <w:szCs w:val="20"/>
              </w:rPr>
            </w:pPr>
            <w:r w:rsidRPr="00C44065">
              <w:t xml:space="preserve">$1,292.11 </w:t>
            </w:r>
          </w:p>
        </w:tc>
        <w:tc>
          <w:tcPr>
            <w:tcW w:w="2250" w:type="dxa"/>
            <w:tcBorders>
              <w:top w:val="single" w:sz="4" w:space="0" w:color="auto"/>
              <w:left w:val="single" w:sz="4" w:space="0" w:color="auto"/>
              <w:bottom w:val="single" w:sz="4" w:space="0" w:color="auto"/>
              <w:right w:val="single" w:sz="4" w:space="0" w:color="auto"/>
            </w:tcBorders>
          </w:tcPr>
          <w:p w14:paraId="15B9DBE8" w14:textId="77777777" w:rsidR="00CA2066" w:rsidRPr="002A7996" w:rsidRDefault="00CA2066">
            <w:pPr>
              <w:jc w:val="right"/>
              <w:rPr>
                <w:rFonts w:cs="Arial"/>
                <w:szCs w:val="20"/>
              </w:rPr>
            </w:pPr>
            <w:r w:rsidRPr="00C44065">
              <w:t xml:space="preserve">$430.70 </w:t>
            </w:r>
          </w:p>
        </w:tc>
      </w:tr>
      <w:tr w:rsidR="00CA2066" w:rsidRPr="00CF7A7E" w14:paraId="2A9C68DA" w14:textId="77777777" w:rsidTr="00CA2066">
        <w:trPr>
          <w:trHeight w:val="232"/>
        </w:trPr>
        <w:tc>
          <w:tcPr>
            <w:tcW w:w="3506" w:type="dxa"/>
            <w:tcBorders>
              <w:top w:val="single" w:sz="4" w:space="0" w:color="auto"/>
              <w:left w:val="single" w:sz="4" w:space="0" w:color="auto"/>
              <w:bottom w:val="single" w:sz="4" w:space="0" w:color="auto"/>
              <w:right w:val="single" w:sz="4" w:space="0" w:color="auto"/>
            </w:tcBorders>
          </w:tcPr>
          <w:p w14:paraId="31691541" w14:textId="77777777" w:rsidR="00CA2066" w:rsidRPr="002A7996" w:rsidRDefault="00CA2066">
            <w:pPr>
              <w:rPr>
                <w:rFonts w:cs="Arial"/>
                <w:szCs w:val="20"/>
              </w:rPr>
            </w:pPr>
            <w:r w:rsidRPr="00D33897">
              <w:t>XEOMIN 50 UNIT VIAL</w:t>
            </w:r>
          </w:p>
        </w:tc>
        <w:tc>
          <w:tcPr>
            <w:tcW w:w="1112" w:type="dxa"/>
            <w:tcBorders>
              <w:top w:val="single" w:sz="4" w:space="0" w:color="auto"/>
              <w:left w:val="single" w:sz="4" w:space="0" w:color="auto"/>
              <w:bottom w:val="single" w:sz="4" w:space="0" w:color="auto"/>
              <w:right w:val="single" w:sz="4" w:space="0" w:color="auto"/>
            </w:tcBorders>
          </w:tcPr>
          <w:p w14:paraId="276127D2" w14:textId="77777777" w:rsidR="00CA2066" w:rsidRPr="002A7996" w:rsidRDefault="00CA2066">
            <w:pPr>
              <w:jc w:val="center"/>
              <w:rPr>
                <w:rFonts w:cs="Arial"/>
                <w:szCs w:val="20"/>
              </w:rPr>
            </w:pPr>
            <w:r w:rsidRPr="00502928">
              <w:t>22</w:t>
            </w:r>
          </w:p>
        </w:tc>
        <w:tc>
          <w:tcPr>
            <w:tcW w:w="1587" w:type="dxa"/>
            <w:tcBorders>
              <w:top w:val="single" w:sz="4" w:space="0" w:color="auto"/>
              <w:left w:val="single" w:sz="4" w:space="0" w:color="auto"/>
              <w:bottom w:val="single" w:sz="4" w:space="0" w:color="auto"/>
              <w:right w:val="single" w:sz="4" w:space="0" w:color="auto"/>
            </w:tcBorders>
          </w:tcPr>
          <w:p w14:paraId="55416886" w14:textId="77777777" w:rsidR="00CA2066" w:rsidRPr="002A7996" w:rsidRDefault="00CA2066">
            <w:pPr>
              <w:jc w:val="right"/>
              <w:rPr>
                <w:rFonts w:cs="Arial"/>
                <w:szCs w:val="20"/>
              </w:rPr>
            </w:pPr>
            <w:r w:rsidRPr="00502928">
              <w:t xml:space="preserve">$6,592.19 </w:t>
            </w:r>
          </w:p>
        </w:tc>
        <w:tc>
          <w:tcPr>
            <w:tcW w:w="2250" w:type="dxa"/>
            <w:tcBorders>
              <w:top w:val="single" w:sz="4" w:space="0" w:color="auto"/>
              <w:left w:val="single" w:sz="4" w:space="0" w:color="auto"/>
              <w:bottom w:val="single" w:sz="4" w:space="0" w:color="auto"/>
              <w:right w:val="single" w:sz="4" w:space="0" w:color="auto"/>
            </w:tcBorders>
          </w:tcPr>
          <w:p w14:paraId="4953B039" w14:textId="77777777" w:rsidR="00CA2066" w:rsidRPr="002A7996" w:rsidRDefault="00CA2066">
            <w:pPr>
              <w:jc w:val="right"/>
              <w:rPr>
                <w:rFonts w:cs="Arial"/>
                <w:szCs w:val="20"/>
              </w:rPr>
            </w:pPr>
            <w:r w:rsidRPr="00502928">
              <w:t xml:space="preserve">$299.65 </w:t>
            </w:r>
          </w:p>
        </w:tc>
      </w:tr>
      <w:tr w:rsidR="00CA2066" w:rsidRPr="00CF7A7E" w14:paraId="4595DE42" w14:textId="77777777" w:rsidTr="00CA2066">
        <w:trPr>
          <w:trHeight w:val="232"/>
        </w:trPr>
        <w:tc>
          <w:tcPr>
            <w:tcW w:w="3506" w:type="dxa"/>
            <w:tcBorders>
              <w:top w:val="single" w:sz="4" w:space="0" w:color="auto"/>
              <w:left w:val="single" w:sz="4" w:space="0" w:color="auto"/>
              <w:bottom w:val="single" w:sz="4" w:space="0" w:color="auto"/>
              <w:right w:val="single" w:sz="4" w:space="0" w:color="auto"/>
            </w:tcBorders>
          </w:tcPr>
          <w:p w14:paraId="4D6F4D7C" w14:textId="77777777" w:rsidR="00CA2066" w:rsidRPr="002A7996" w:rsidRDefault="00CA2066">
            <w:pPr>
              <w:rPr>
                <w:rFonts w:cs="Arial"/>
                <w:szCs w:val="20"/>
              </w:rPr>
            </w:pPr>
            <w:r w:rsidRPr="00D95192">
              <w:t>XEOMIN 100 UNIT VIAL</w:t>
            </w:r>
          </w:p>
        </w:tc>
        <w:tc>
          <w:tcPr>
            <w:tcW w:w="1112" w:type="dxa"/>
            <w:tcBorders>
              <w:top w:val="single" w:sz="4" w:space="0" w:color="auto"/>
              <w:left w:val="single" w:sz="4" w:space="0" w:color="auto"/>
              <w:bottom w:val="single" w:sz="4" w:space="0" w:color="auto"/>
              <w:right w:val="single" w:sz="4" w:space="0" w:color="auto"/>
            </w:tcBorders>
          </w:tcPr>
          <w:p w14:paraId="41FC632A" w14:textId="77777777" w:rsidR="00CA2066" w:rsidRPr="002A7996" w:rsidRDefault="00CA2066">
            <w:pPr>
              <w:jc w:val="center"/>
              <w:rPr>
                <w:rFonts w:cs="Arial"/>
                <w:szCs w:val="20"/>
              </w:rPr>
            </w:pPr>
            <w:r w:rsidRPr="0053227E">
              <w:t>70</w:t>
            </w:r>
          </w:p>
        </w:tc>
        <w:tc>
          <w:tcPr>
            <w:tcW w:w="1587" w:type="dxa"/>
            <w:tcBorders>
              <w:top w:val="single" w:sz="4" w:space="0" w:color="auto"/>
              <w:left w:val="single" w:sz="4" w:space="0" w:color="auto"/>
              <w:bottom w:val="single" w:sz="4" w:space="0" w:color="auto"/>
              <w:right w:val="single" w:sz="4" w:space="0" w:color="auto"/>
            </w:tcBorders>
          </w:tcPr>
          <w:p w14:paraId="0A75294A" w14:textId="77777777" w:rsidR="00CA2066" w:rsidRPr="002A7996" w:rsidRDefault="00CA2066">
            <w:pPr>
              <w:jc w:val="right"/>
              <w:rPr>
                <w:rFonts w:cs="Arial"/>
                <w:szCs w:val="20"/>
              </w:rPr>
            </w:pPr>
            <w:r w:rsidRPr="0053227E">
              <w:t xml:space="preserve">$40,931.46 </w:t>
            </w:r>
          </w:p>
        </w:tc>
        <w:tc>
          <w:tcPr>
            <w:tcW w:w="2250" w:type="dxa"/>
            <w:tcBorders>
              <w:top w:val="single" w:sz="4" w:space="0" w:color="auto"/>
              <w:left w:val="single" w:sz="4" w:space="0" w:color="auto"/>
              <w:bottom w:val="single" w:sz="4" w:space="0" w:color="auto"/>
              <w:right w:val="single" w:sz="4" w:space="0" w:color="auto"/>
            </w:tcBorders>
          </w:tcPr>
          <w:p w14:paraId="4BBDA5FE" w14:textId="77777777" w:rsidR="00CA2066" w:rsidRPr="002A7996" w:rsidRDefault="00CA2066">
            <w:pPr>
              <w:jc w:val="right"/>
              <w:rPr>
                <w:rFonts w:cs="Arial"/>
                <w:szCs w:val="20"/>
              </w:rPr>
            </w:pPr>
            <w:r w:rsidRPr="0053227E">
              <w:t xml:space="preserve">$584.74 </w:t>
            </w:r>
          </w:p>
        </w:tc>
      </w:tr>
      <w:tr w:rsidR="00CA2066" w:rsidRPr="00CF7A7E" w14:paraId="017E14ED" w14:textId="77777777" w:rsidTr="00CA2066">
        <w:trPr>
          <w:trHeight w:val="232"/>
        </w:trPr>
        <w:tc>
          <w:tcPr>
            <w:tcW w:w="3506" w:type="dxa"/>
            <w:tcBorders>
              <w:top w:val="single" w:sz="4" w:space="0" w:color="auto"/>
              <w:left w:val="single" w:sz="4" w:space="0" w:color="auto"/>
              <w:bottom w:val="single" w:sz="4" w:space="0" w:color="auto"/>
              <w:right w:val="single" w:sz="4" w:space="0" w:color="auto"/>
            </w:tcBorders>
            <w:vAlign w:val="bottom"/>
          </w:tcPr>
          <w:p w14:paraId="217C73C7" w14:textId="77777777" w:rsidR="00CA2066" w:rsidRPr="0030746A" w:rsidRDefault="00CA2066">
            <w:pPr>
              <w:rPr>
                <w:rFonts w:cs="Arial"/>
                <w:b/>
                <w:bCs/>
                <w:szCs w:val="20"/>
                <w:highlight w:val="yellow"/>
              </w:rPr>
            </w:pPr>
            <w:r w:rsidRPr="00132213">
              <w:rPr>
                <w:rFonts w:cs="Arial"/>
                <w:b/>
                <w:bCs/>
                <w:szCs w:val="20"/>
              </w:rPr>
              <w:t>Total</w:t>
            </w:r>
          </w:p>
        </w:tc>
        <w:tc>
          <w:tcPr>
            <w:tcW w:w="1112" w:type="dxa"/>
            <w:tcBorders>
              <w:top w:val="single" w:sz="4" w:space="0" w:color="auto"/>
              <w:left w:val="single" w:sz="4" w:space="0" w:color="auto"/>
              <w:bottom w:val="single" w:sz="4" w:space="0" w:color="auto"/>
              <w:right w:val="single" w:sz="4" w:space="0" w:color="auto"/>
            </w:tcBorders>
          </w:tcPr>
          <w:p w14:paraId="3E725F0D" w14:textId="77777777" w:rsidR="00CA2066" w:rsidRPr="00DE7384" w:rsidRDefault="00CA2066">
            <w:pPr>
              <w:jc w:val="center"/>
              <w:rPr>
                <w:rFonts w:cs="Arial"/>
                <w:b/>
                <w:bCs/>
                <w:szCs w:val="20"/>
                <w:highlight w:val="yellow"/>
              </w:rPr>
            </w:pPr>
            <w:r w:rsidRPr="00DE7384">
              <w:rPr>
                <w:b/>
                <w:bCs/>
              </w:rPr>
              <w:t>4</w:t>
            </w:r>
            <w:r>
              <w:rPr>
                <w:b/>
                <w:bCs/>
              </w:rPr>
              <w:t>,</w:t>
            </w:r>
            <w:r w:rsidRPr="00DE7384">
              <w:rPr>
                <w:b/>
                <w:bCs/>
              </w:rPr>
              <w:t>881</w:t>
            </w:r>
          </w:p>
        </w:tc>
        <w:tc>
          <w:tcPr>
            <w:tcW w:w="1587" w:type="dxa"/>
            <w:tcBorders>
              <w:top w:val="single" w:sz="4" w:space="0" w:color="auto"/>
              <w:left w:val="single" w:sz="4" w:space="0" w:color="auto"/>
              <w:bottom w:val="single" w:sz="4" w:space="0" w:color="auto"/>
              <w:right w:val="single" w:sz="4" w:space="0" w:color="auto"/>
            </w:tcBorders>
          </w:tcPr>
          <w:p w14:paraId="44B553AF" w14:textId="77777777" w:rsidR="00CA2066" w:rsidRPr="00DE7384" w:rsidRDefault="00CA2066">
            <w:pPr>
              <w:jc w:val="right"/>
              <w:rPr>
                <w:rFonts w:cs="Arial"/>
                <w:b/>
                <w:bCs/>
                <w:szCs w:val="20"/>
                <w:highlight w:val="yellow"/>
              </w:rPr>
            </w:pPr>
            <w:r w:rsidRPr="00DE7384">
              <w:rPr>
                <w:b/>
                <w:bCs/>
              </w:rPr>
              <w:t xml:space="preserve">$6,063,099.93 </w:t>
            </w:r>
          </w:p>
        </w:tc>
        <w:tc>
          <w:tcPr>
            <w:tcW w:w="2250" w:type="dxa"/>
            <w:tcBorders>
              <w:top w:val="single" w:sz="4" w:space="0" w:color="auto"/>
              <w:left w:val="single" w:sz="4" w:space="0" w:color="auto"/>
              <w:bottom w:val="single" w:sz="4" w:space="0" w:color="auto"/>
              <w:right w:val="single" w:sz="4" w:space="0" w:color="auto"/>
            </w:tcBorders>
          </w:tcPr>
          <w:p w14:paraId="7B5831DE" w14:textId="77777777" w:rsidR="00CA2066" w:rsidRPr="00DE7384" w:rsidRDefault="00CA2066">
            <w:pPr>
              <w:jc w:val="right"/>
              <w:rPr>
                <w:rFonts w:cs="Arial"/>
                <w:b/>
                <w:bCs/>
                <w:szCs w:val="20"/>
                <w:highlight w:val="yellow"/>
              </w:rPr>
            </w:pPr>
            <w:r w:rsidRPr="00DE7384">
              <w:rPr>
                <w:b/>
                <w:bCs/>
              </w:rPr>
              <w:t xml:space="preserve">$1,242.18 </w:t>
            </w:r>
          </w:p>
        </w:tc>
      </w:tr>
    </w:tbl>
    <w:p w14:paraId="4691DC98" w14:textId="77777777" w:rsidR="003D4704" w:rsidRDefault="003D4704" w:rsidP="003D4704">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374831E2" w:rsidR="0097028A" w:rsidRPr="0079438F" w:rsidRDefault="0097028A" w:rsidP="00696E3A">
      <w:pPr>
        <w:rPr>
          <w:b/>
        </w:rPr>
      </w:pPr>
      <w:r w:rsidRPr="00696E3A">
        <w:rPr>
          <w:b/>
          <w:bCs/>
        </w:rPr>
        <w:t>Drug class for review:</w:t>
      </w:r>
      <w:r w:rsidRPr="00C02553">
        <w:t xml:space="preserve"> </w:t>
      </w:r>
      <w:r w:rsidR="008F5265" w:rsidRPr="008F5265">
        <w:t>Botulinum toxin agents</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2532D7FD" w14:textId="77777777" w:rsidR="006C789C" w:rsidRPr="00286C15" w:rsidRDefault="006C789C" w:rsidP="006C789C">
      <w:pPr>
        <w:pStyle w:val="ListParagraph"/>
      </w:pPr>
      <w:bookmarkStart w:id="1" w:name="_Hlk78986009"/>
      <w:r w:rsidRPr="00286C15">
        <w:t>Must meet one of the following:</w:t>
      </w:r>
    </w:p>
    <w:p w14:paraId="2A94CCFE" w14:textId="77777777" w:rsidR="006C789C" w:rsidRPr="00286C15" w:rsidRDefault="006C789C" w:rsidP="006C789C">
      <w:pPr>
        <w:pStyle w:val="ListParagraph"/>
        <w:numPr>
          <w:ilvl w:val="1"/>
          <w:numId w:val="6"/>
        </w:numPr>
      </w:pPr>
      <w:r w:rsidRPr="00286C15">
        <w:t xml:space="preserve">Documented diagnosis of cervical dystonia </w:t>
      </w:r>
      <w:proofErr w:type="gramStart"/>
      <w:r w:rsidRPr="00286C15">
        <w:t>torticollis;</w:t>
      </w:r>
      <w:proofErr w:type="gramEnd"/>
    </w:p>
    <w:p w14:paraId="2988FC13" w14:textId="77777777" w:rsidR="006C789C" w:rsidRPr="00286C15" w:rsidRDefault="006C789C" w:rsidP="006C789C">
      <w:pPr>
        <w:pStyle w:val="ListParagraph"/>
        <w:numPr>
          <w:ilvl w:val="1"/>
          <w:numId w:val="6"/>
        </w:numPr>
      </w:pPr>
      <w:r w:rsidRPr="00286C15">
        <w:t>Documented diagnosis of blepharospasm – must meet one of the following:</w:t>
      </w:r>
    </w:p>
    <w:p w14:paraId="073B298A" w14:textId="77777777" w:rsidR="006C789C" w:rsidRPr="00286C15" w:rsidRDefault="006C789C" w:rsidP="006C789C">
      <w:pPr>
        <w:pStyle w:val="ListParagraph"/>
        <w:numPr>
          <w:ilvl w:val="2"/>
          <w:numId w:val="6"/>
        </w:numPr>
      </w:pPr>
      <w:r w:rsidRPr="00286C15">
        <w:lastRenderedPageBreak/>
        <w:t xml:space="preserve">Claim is for Botox and participant aged 12 years or older; </w:t>
      </w:r>
      <w:r w:rsidRPr="00286C15">
        <w:rPr>
          <w:b/>
          <w:bCs/>
        </w:rPr>
        <w:t>OR</w:t>
      </w:r>
    </w:p>
    <w:p w14:paraId="03B5554C" w14:textId="77777777" w:rsidR="006C789C" w:rsidRPr="00286C15" w:rsidRDefault="006C789C" w:rsidP="006C789C">
      <w:pPr>
        <w:pStyle w:val="ListParagraph"/>
        <w:numPr>
          <w:ilvl w:val="2"/>
          <w:numId w:val="6"/>
        </w:numPr>
      </w:pPr>
      <w:r w:rsidRPr="00286C15">
        <w:t xml:space="preserve">Claim is for Xeomin and participant aged 18 years or </w:t>
      </w:r>
      <w:proofErr w:type="gramStart"/>
      <w:r w:rsidRPr="00286C15">
        <w:t>older;</w:t>
      </w:r>
      <w:proofErr w:type="gramEnd"/>
      <w:r w:rsidRPr="00286C15">
        <w:t xml:space="preserve"> </w:t>
      </w:r>
    </w:p>
    <w:p w14:paraId="5E9606FF" w14:textId="77777777" w:rsidR="006C789C" w:rsidRPr="00286C15" w:rsidRDefault="006C789C" w:rsidP="006C789C">
      <w:pPr>
        <w:pStyle w:val="ListParagraph"/>
        <w:numPr>
          <w:ilvl w:val="1"/>
          <w:numId w:val="6"/>
        </w:numPr>
      </w:pPr>
      <w:r w:rsidRPr="00286C15">
        <w:t xml:space="preserve">Documented diagnosis of upper limb spasticity – must meet </w:t>
      </w:r>
      <w:proofErr w:type="gramStart"/>
      <w:r w:rsidRPr="00286C15">
        <w:t>all of</w:t>
      </w:r>
      <w:proofErr w:type="gramEnd"/>
      <w:r w:rsidRPr="00286C15">
        <w:t xml:space="preserve"> the following:</w:t>
      </w:r>
    </w:p>
    <w:p w14:paraId="3C973BEE" w14:textId="77777777" w:rsidR="006C789C" w:rsidRPr="00286C15" w:rsidRDefault="006C789C" w:rsidP="006C789C">
      <w:pPr>
        <w:pStyle w:val="ListParagraph"/>
        <w:numPr>
          <w:ilvl w:val="2"/>
          <w:numId w:val="6"/>
        </w:numPr>
      </w:pPr>
      <w:r w:rsidRPr="00286C15">
        <w:t xml:space="preserve">Claim is for Botox, Xeomin, or Dysport; </w:t>
      </w:r>
      <w:r w:rsidRPr="00B549C7">
        <w:rPr>
          <w:b/>
          <w:bCs/>
        </w:rPr>
        <w:t>AND</w:t>
      </w:r>
    </w:p>
    <w:p w14:paraId="10E2E464" w14:textId="77777777" w:rsidR="006C789C" w:rsidRPr="00286C15" w:rsidRDefault="006C789C" w:rsidP="006C789C">
      <w:pPr>
        <w:pStyle w:val="ListParagraph"/>
        <w:numPr>
          <w:ilvl w:val="2"/>
          <w:numId w:val="6"/>
        </w:numPr>
      </w:pPr>
      <w:r w:rsidRPr="00286C15">
        <w:t xml:space="preserve">Participant aged 2 years or </w:t>
      </w:r>
      <w:proofErr w:type="gramStart"/>
      <w:r w:rsidRPr="00286C15">
        <w:t>older;</w:t>
      </w:r>
      <w:proofErr w:type="gramEnd"/>
    </w:p>
    <w:p w14:paraId="6B609C61" w14:textId="77777777" w:rsidR="006C789C" w:rsidRPr="00286C15" w:rsidRDefault="006C789C" w:rsidP="006C789C">
      <w:pPr>
        <w:pStyle w:val="ListParagraph"/>
        <w:numPr>
          <w:ilvl w:val="1"/>
          <w:numId w:val="6"/>
        </w:numPr>
      </w:pPr>
      <w:r w:rsidRPr="00286C15">
        <w:t xml:space="preserve">Documented diagnosis of lower limb spasticity – must meet </w:t>
      </w:r>
      <w:proofErr w:type="gramStart"/>
      <w:r w:rsidRPr="00286C15">
        <w:t>all of</w:t>
      </w:r>
      <w:proofErr w:type="gramEnd"/>
      <w:r w:rsidRPr="00286C15">
        <w:t xml:space="preserve"> the following:</w:t>
      </w:r>
    </w:p>
    <w:p w14:paraId="745C1D16" w14:textId="77777777" w:rsidR="006C789C" w:rsidRPr="00286C15" w:rsidRDefault="006C789C" w:rsidP="006C789C">
      <w:pPr>
        <w:pStyle w:val="ListParagraph"/>
        <w:numPr>
          <w:ilvl w:val="2"/>
          <w:numId w:val="6"/>
        </w:numPr>
      </w:pPr>
      <w:r w:rsidRPr="00286C15">
        <w:t xml:space="preserve">Claim is for Botox or Dysport; </w:t>
      </w:r>
      <w:r w:rsidRPr="00B549C7">
        <w:rPr>
          <w:b/>
          <w:bCs/>
        </w:rPr>
        <w:t>AND</w:t>
      </w:r>
    </w:p>
    <w:p w14:paraId="0CD4CBE8" w14:textId="77777777" w:rsidR="006C789C" w:rsidRPr="00286C15" w:rsidRDefault="006C789C" w:rsidP="006C789C">
      <w:pPr>
        <w:pStyle w:val="ListParagraph"/>
        <w:numPr>
          <w:ilvl w:val="2"/>
          <w:numId w:val="6"/>
        </w:numPr>
      </w:pPr>
      <w:r w:rsidRPr="00286C15">
        <w:t xml:space="preserve">Participant aged 2 years or </w:t>
      </w:r>
      <w:proofErr w:type="gramStart"/>
      <w:r w:rsidRPr="00286C15">
        <w:t>older;</w:t>
      </w:r>
      <w:proofErr w:type="gramEnd"/>
    </w:p>
    <w:p w14:paraId="5A9F40F2" w14:textId="77777777" w:rsidR="006C789C" w:rsidRPr="00286C15" w:rsidRDefault="006C789C" w:rsidP="006C789C">
      <w:pPr>
        <w:pStyle w:val="ListParagraph"/>
        <w:numPr>
          <w:ilvl w:val="1"/>
          <w:numId w:val="6"/>
        </w:numPr>
      </w:pPr>
      <w:r w:rsidRPr="00286C15">
        <w:t>Documented diagnosis of chronic sialorrhea – must meet one of the following:</w:t>
      </w:r>
    </w:p>
    <w:p w14:paraId="2A8B7090" w14:textId="77777777" w:rsidR="006C789C" w:rsidRPr="00286C15" w:rsidRDefault="006C789C" w:rsidP="006C789C">
      <w:pPr>
        <w:pStyle w:val="ListParagraph"/>
        <w:numPr>
          <w:ilvl w:val="2"/>
          <w:numId w:val="6"/>
        </w:numPr>
      </w:pPr>
      <w:r w:rsidRPr="00286C15">
        <w:t xml:space="preserve">Claim is for Xeomin and participant aged 2 years or older; </w:t>
      </w:r>
      <w:r w:rsidRPr="00B549C7">
        <w:rPr>
          <w:b/>
          <w:bCs/>
        </w:rPr>
        <w:t>OR</w:t>
      </w:r>
    </w:p>
    <w:p w14:paraId="426A0653" w14:textId="77777777" w:rsidR="006C789C" w:rsidRPr="00286C15" w:rsidRDefault="006C789C" w:rsidP="006C789C">
      <w:pPr>
        <w:pStyle w:val="ListParagraph"/>
        <w:numPr>
          <w:ilvl w:val="2"/>
          <w:numId w:val="6"/>
        </w:numPr>
      </w:pPr>
      <w:r w:rsidRPr="00286C15">
        <w:t xml:space="preserve">Claim is for Myobloc and participant aged 18 years or </w:t>
      </w:r>
      <w:proofErr w:type="gramStart"/>
      <w:r w:rsidRPr="00286C15">
        <w:t>older;</w:t>
      </w:r>
      <w:proofErr w:type="gramEnd"/>
    </w:p>
    <w:p w14:paraId="788178F6" w14:textId="77777777" w:rsidR="006C789C" w:rsidRPr="00286C15" w:rsidRDefault="006C789C" w:rsidP="006C789C">
      <w:pPr>
        <w:pStyle w:val="ListParagraph"/>
        <w:numPr>
          <w:ilvl w:val="1"/>
          <w:numId w:val="6"/>
        </w:numPr>
      </w:pPr>
      <w:r w:rsidRPr="00286C15">
        <w:t xml:space="preserve">Documented diagnosis of strabismus and claim is for </w:t>
      </w:r>
      <w:proofErr w:type="gramStart"/>
      <w:r w:rsidRPr="00286C15">
        <w:t>Botox;</w:t>
      </w:r>
      <w:proofErr w:type="gramEnd"/>
    </w:p>
    <w:p w14:paraId="1A0A7B44" w14:textId="77777777" w:rsidR="006C789C" w:rsidRPr="00B549C7" w:rsidRDefault="006C789C" w:rsidP="006C789C">
      <w:pPr>
        <w:pStyle w:val="ListParagraph"/>
        <w:numPr>
          <w:ilvl w:val="1"/>
          <w:numId w:val="6"/>
        </w:numPr>
      </w:pPr>
      <w:r w:rsidRPr="00B549C7">
        <w:t>Documented diagnosis of chronic migraine:</w:t>
      </w:r>
    </w:p>
    <w:p w14:paraId="1F27A9F6" w14:textId="77777777" w:rsidR="006C789C" w:rsidRPr="00B549C7" w:rsidRDefault="006C789C" w:rsidP="006C789C">
      <w:pPr>
        <w:pStyle w:val="ListParagraph"/>
        <w:numPr>
          <w:ilvl w:val="2"/>
          <w:numId w:val="6"/>
        </w:numPr>
      </w:pPr>
      <w:r w:rsidRPr="00B549C7">
        <w:t xml:space="preserve">Claim is for Botox; </w:t>
      </w:r>
      <w:r w:rsidRPr="00B549C7">
        <w:rPr>
          <w:b/>
          <w:bCs/>
        </w:rPr>
        <w:t>AND</w:t>
      </w:r>
    </w:p>
    <w:p w14:paraId="4FAFF611" w14:textId="77777777" w:rsidR="006C789C" w:rsidRPr="00B549C7" w:rsidRDefault="006C789C" w:rsidP="006C789C">
      <w:pPr>
        <w:pStyle w:val="ListParagraph"/>
        <w:numPr>
          <w:ilvl w:val="2"/>
          <w:numId w:val="6"/>
        </w:numPr>
      </w:pPr>
      <w:r w:rsidRPr="00B549C7">
        <w:t>Must meet one of the following:</w:t>
      </w:r>
    </w:p>
    <w:p w14:paraId="2C7FD0C1" w14:textId="77777777" w:rsidR="006C789C" w:rsidRPr="00B549C7" w:rsidRDefault="006C789C" w:rsidP="006C789C">
      <w:pPr>
        <w:pStyle w:val="ListParagraph"/>
        <w:numPr>
          <w:ilvl w:val="3"/>
          <w:numId w:val="6"/>
        </w:numPr>
        <w:ind w:left="1440"/>
      </w:pPr>
      <w:r w:rsidRPr="00B549C7">
        <w:t xml:space="preserve">Previous history of Botox therapy in the past year without concurrent prophylactic CGRP inhibitor therapy; </w:t>
      </w:r>
      <w:r w:rsidRPr="00D263F4">
        <w:rPr>
          <w:b/>
          <w:bCs/>
        </w:rPr>
        <w:t>OR</w:t>
      </w:r>
    </w:p>
    <w:p w14:paraId="3E784924" w14:textId="77777777" w:rsidR="006C789C" w:rsidRPr="00B549C7" w:rsidRDefault="006C789C" w:rsidP="006C789C">
      <w:pPr>
        <w:pStyle w:val="ListParagraph"/>
        <w:numPr>
          <w:ilvl w:val="3"/>
          <w:numId w:val="6"/>
        </w:numPr>
        <w:ind w:left="1440"/>
      </w:pPr>
      <w:r w:rsidRPr="00B549C7">
        <w:t xml:space="preserve">If no previous history of Botox therapy in past year – must meet </w:t>
      </w:r>
      <w:proofErr w:type="gramStart"/>
      <w:r w:rsidRPr="00B549C7">
        <w:t>all of</w:t>
      </w:r>
      <w:proofErr w:type="gramEnd"/>
      <w:r w:rsidRPr="00B549C7">
        <w:t xml:space="preserve"> the following:</w:t>
      </w:r>
    </w:p>
    <w:p w14:paraId="279AB96E" w14:textId="77777777" w:rsidR="006C789C" w:rsidRPr="00B549C7" w:rsidRDefault="006C789C" w:rsidP="006C789C">
      <w:pPr>
        <w:pStyle w:val="ListParagraph"/>
        <w:numPr>
          <w:ilvl w:val="4"/>
          <w:numId w:val="6"/>
        </w:numPr>
        <w:ind w:left="1800"/>
      </w:pPr>
      <w:r w:rsidRPr="00B549C7">
        <w:t xml:space="preserve">Therapeutic trial of calcitonin gene-related peptide (CGRP) inhibitors approved for prophylactic therapy (90 days out of the past 150 days); </w:t>
      </w:r>
      <w:r w:rsidRPr="00D263F4">
        <w:rPr>
          <w:b/>
          <w:bCs/>
        </w:rPr>
        <w:t>AND</w:t>
      </w:r>
    </w:p>
    <w:p w14:paraId="75C87225" w14:textId="77777777" w:rsidR="006C789C" w:rsidRPr="00B549C7" w:rsidRDefault="006C789C" w:rsidP="006C789C">
      <w:pPr>
        <w:pStyle w:val="ListParagraph"/>
        <w:numPr>
          <w:ilvl w:val="4"/>
          <w:numId w:val="6"/>
        </w:numPr>
        <w:ind w:left="1800"/>
      </w:pPr>
      <w:r w:rsidRPr="00B549C7">
        <w:t xml:space="preserve">Documented history of 4 or more migraines per month despite prophylactic CGRP inhibitor therapy; </w:t>
      </w:r>
      <w:r w:rsidRPr="00680D74">
        <w:rPr>
          <w:b/>
          <w:bCs/>
        </w:rPr>
        <w:t>OR</w:t>
      </w:r>
    </w:p>
    <w:p w14:paraId="25CFF6B2" w14:textId="77777777" w:rsidR="006C789C" w:rsidRPr="00B549C7" w:rsidRDefault="006C789C" w:rsidP="006C789C">
      <w:pPr>
        <w:pStyle w:val="ListParagraph"/>
        <w:numPr>
          <w:ilvl w:val="3"/>
          <w:numId w:val="6"/>
        </w:numPr>
        <w:ind w:left="1440"/>
      </w:pPr>
      <w:r w:rsidRPr="00B549C7">
        <w:t xml:space="preserve">For Botox therapy for migraines with concurrent prophylactic CGRP inhibitor therapy must meet </w:t>
      </w:r>
      <w:proofErr w:type="gramStart"/>
      <w:r w:rsidRPr="00B549C7">
        <w:t>all of</w:t>
      </w:r>
      <w:proofErr w:type="gramEnd"/>
      <w:r w:rsidRPr="00B549C7">
        <w:t xml:space="preserve"> the following:</w:t>
      </w:r>
    </w:p>
    <w:p w14:paraId="3637CAE1" w14:textId="77777777" w:rsidR="006C789C" w:rsidRPr="00B549C7" w:rsidRDefault="006C789C" w:rsidP="006C789C">
      <w:pPr>
        <w:pStyle w:val="ListParagraph"/>
        <w:numPr>
          <w:ilvl w:val="4"/>
          <w:numId w:val="6"/>
        </w:numPr>
        <w:ind w:left="1800"/>
      </w:pPr>
      <w:r w:rsidRPr="00B549C7">
        <w:t xml:space="preserve">Failure to achieve desired therapeutic outcomes with trial of 2 or more prophylactic CGRP inhibitor agents in the past 12 months; </w:t>
      </w:r>
      <w:r w:rsidRPr="00680D74">
        <w:rPr>
          <w:b/>
          <w:bCs/>
        </w:rPr>
        <w:t>AND</w:t>
      </w:r>
    </w:p>
    <w:p w14:paraId="156EE6C4" w14:textId="77777777" w:rsidR="006C789C" w:rsidRPr="00B549C7" w:rsidRDefault="006C789C" w:rsidP="006C789C">
      <w:pPr>
        <w:pStyle w:val="ListParagraph"/>
        <w:numPr>
          <w:ilvl w:val="4"/>
          <w:numId w:val="6"/>
        </w:numPr>
        <w:ind w:left="1800"/>
      </w:pPr>
      <w:r w:rsidRPr="00B549C7">
        <w:t>Documented history of 4 or more migraines per month or severe headaches causing impaired function, despite stable monotherapy regimens with both a CGRP inhibitor and Botox alone.</w:t>
      </w:r>
    </w:p>
    <w:p w14:paraId="5A97BC8D" w14:textId="77777777" w:rsidR="006C789C" w:rsidRPr="00EA1421" w:rsidRDefault="006C789C" w:rsidP="006C789C">
      <w:pPr>
        <w:pStyle w:val="ListParagraph"/>
        <w:numPr>
          <w:ilvl w:val="1"/>
          <w:numId w:val="16"/>
        </w:numPr>
        <w:ind w:left="900"/>
      </w:pPr>
      <w:r w:rsidRPr="00B549C7">
        <w:t>Criteria for CGRP inhibitors approved for prophylactic therapy are listed in the Calcitonin Gene-Related Peptide (CGRP) Inhibitors PDL Edit</w:t>
      </w:r>
      <w:r w:rsidRPr="00680D74">
        <w:t xml:space="preserve"> </w:t>
      </w:r>
      <w:r w:rsidRPr="00B549C7">
        <w:t>located here: </w:t>
      </w:r>
      <w:hyperlink r:id="rId11" w:history="1">
        <w:r w:rsidRPr="004608A0">
          <w:rPr>
            <w:rStyle w:val="Hyperlink"/>
          </w:rPr>
          <w:t>Pharmacy Clinical Edits and Preferred Drug Lists | mydss.mo.gov</w:t>
        </w:r>
      </w:hyperlink>
      <w:r>
        <w:t>;</w:t>
      </w:r>
    </w:p>
    <w:p w14:paraId="0A2954C7" w14:textId="77777777" w:rsidR="006C789C" w:rsidRPr="004608A0" w:rsidRDefault="006C789C" w:rsidP="006C789C">
      <w:pPr>
        <w:pStyle w:val="ListParagraph"/>
        <w:numPr>
          <w:ilvl w:val="1"/>
          <w:numId w:val="6"/>
        </w:numPr>
      </w:pPr>
      <w:r w:rsidRPr="004608A0">
        <w:t xml:space="preserve">Documented diagnosis of hyperhidrosis, primary focal hyperhidrosis, secondary facial hyperhidrosis, neurogenic bladder, detrusor over-activity, hypertonicity of bladder, urge incontinence, or mixed incontinence – must meet </w:t>
      </w:r>
      <w:proofErr w:type="gramStart"/>
      <w:r w:rsidRPr="004608A0">
        <w:t>all of</w:t>
      </w:r>
      <w:proofErr w:type="gramEnd"/>
      <w:r w:rsidRPr="004608A0">
        <w:t xml:space="preserve"> the following:</w:t>
      </w:r>
    </w:p>
    <w:p w14:paraId="6EA60AD1" w14:textId="77777777" w:rsidR="006C789C" w:rsidRPr="004608A0" w:rsidRDefault="006C789C" w:rsidP="006C789C">
      <w:pPr>
        <w:pStyle w:val="ListParagraph"/>
        <w:numPr>
          <w:ilvl w:val="2"/>
          <w:numId w:val="6"/>
        </w:numPr>
      </w:pPr>
      <w:r w:rsidRPr="004608A0">
        <w:t xml:space="preserve">Claim is for </w:t>
      </w:r>
      <w:proofErr w:type="gramStart"/>
      <w:r w:rsidRPr="004608A0">
        <w:t>Botox;</w:t>
      </w:r>
      <w:proofErr w:type="gramEnd"/>
      <w:r w:rsidRPr="004608A0">
        <w:t xml:space="preserve"> </w:t>
      </w:r>
    </w:p>
    <w:p w14:paraId="72F9DA6D" w14:textId="77777777" w:rsidR="006C789C" w:rsidRPr="004608A0" w:rsidRDefault="006C789C" w:rsidP="006C789C">
      <w:pPr>
        <w:pStyle w:val="ListParagraph"/>
        <w:numPr>
          <w:ilvl w:val="2"/>
          <w:numId w:val="6"/>
        </w:numPr>
      </w:pPr>
      <w:r w:rsidRPr="004608A0">
        <w:t xml:space="preserve">Documented trial and failure of anticholinergics, antispasmodics, or drying agents; </w:t>
      </w:r>
      <w:r w:rsidRPr="004608A0">
        <w:rPr>
          <w:b/>
          <w:bCs/>
        </w:rPr>
        <w:t>AND</w:t>
      </w:r>
    </w:p>
    <w:p w14:paraId="763D7404" w14:textId="77777777" w:rsidR="006C789C" w:rsidRPr="004608A0" w:rsidRDefault="006C789C" w:rsidP="006C789C">
      <w:pPr>
        <w:pStyle w:val="ListParagraph"/>
        <w:numPr>
          <w:ilvl w:val="2"/>
          <w:numId w:val="6"/>
        </w:numPr>
      </w:pPr>
      <w:r w:rsidRPr="004608A0">
        <w:t xml:space="preserve">Clinical Consultant Review; </w:t>
      </w:r>
      <w:r w:rsidRPr="004608A0">
        <w:rPr>
          <w:b/>
          <w:bCs/>
        </w:rPr>
        <w:t>OR</w:t>
      </w:r>
    </w:p>
    <w:p w14:paraId="2E98B75D" w14:textId="77777777" w:rsidR="006C789C" w:rsidRPr="004608A0" w:rsidRDefault="006C789C" w:rsidP="006C789C">
      <w:pPr>
        <w:pStyle w:val="ListParagraph"/>
        <w:numPr>
          <w:ilvl w:val="1"/>
          <w:numId w:val="6"/>
        </w:numPr>
      </w:pPr>
      <w:r w:rsidRPr="004608A0">
        <w:t xml:space="preserve">Documented diagnosis of idiopathic constipation or Hirschsprung’s disease – must meet </w:t>
      </w:r>
      <w:proofErr w:type="gramStart"/>
      <w:r w:rsidRPr="004608A0">
        <w:t>all of</w:t>
      </w:r>
      <w:proofErr w:type="gramEnd"/>
      <w:r w:rsidRPr="004608A0">
        <w:t xml:space="preserve"> the following:</w:t>
      </w:r>
    </w:p>
    <w:p w14:paraId="33BF32A4" w14:textId="77777777" w:rsidR="006C789C" w:rsidRPr="004608A0" w:rsidRDefault="006C789C" w:rsidP="006C789C">
      <w:pPr>
        <w:pStyle w:val="ListParagraph"/>
        <w:numPr>
          <w:ilvl w:val="2"/>
          <w:numId w:val="6"/>
        </w:numPr>
      </w:pPr>
      <w:r w:rsidRPr="004608A0">
        <w:t xml:space="preserve">Claim is for Botox; </w:t>
      </w:r>
      <w:r w:rsidRPr="004608A0">
        <w:rPr>
          <w:b/>
          <w:bCs/>
        </w:rPr>
        <w:t>AND</w:t>
      </w:r>
    </w:p>
    <w:p w14:paraId="49069ED6" w14:textId="77777777" w:rsidR="006C789C" w:rsidRPr="004608A0" w:rsidRDefault="006C789C" w:rsidP="006C789C">
      <w:pPr>
        <w:pStyle w:val="ListParagraph"/>
        <w:numPr>
          <w:ilvl w:val="2"/>
          <w:numId w:val="6"/>
        </w:numPr>
      </w:pPr>
      <w:r w:rsidRPr="004608A0">
        <w:t>Clinical Consultant Review.</w:t>
      </w:r>
    </w:p>
    <w:bookmarkEnd w:id="1"/>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53D5BBE4" w14:textId="77777777" w:rsidR="00CF2A32" w:rsidRPr="00C43581" w:rsidRDefault="00CF2A32" w:rsidP="00CF2A32">
      <w:pPr>
        <w:numPr>
          <w:ilvl w:val="0"/>
          <w:numId w:val="17"/>
        </w:numPr>
        <w:contextualSpacing/>
        <w:rPr>
          <w:rFonts w:cs="Arial"/>
          <w:noProof/>
          <w:szCs w:val="20"/>
        </w:rPr>
      </w:pPr>
      <w:bookmarkStart w:id="2" w:name="_Hlk47597237"/>
      <w:r w:rsidRPr="00C43581">
        <w:rPr>
          <w:rFonts w:cs="Arial"/>
          <w:noProof/>
          <w:szCs w:val="20"/>
        </w:rPr>
        <w:t>Therapy will deny with presence of one of the following:</w:t>
      </w:r>
    </w:p>
    <w:p w14:paraId="4995FDB5" w14:textId="77777777" w:rsidR="00CF2A32" w:rsidRPr="00C43581" w:rsidRDefault="00CF2A32" w:rsidP="00CF2A32">
      <w:pPr>
        <w:numPr>
          <w:ilvl w:val="1"/>
          <w:numId w:val="17"/>
        </w:numPr>
        <w:contextualSpacing/>
        <w:rPr>
          <w:rFonts w:cs="Arial"/>
          <w:noProof/>
          <w:szCs w:val="20"/>
        </w:rPr>
      </w:pPr>
      <w:r w:rsidRPr="00C43581">
        <w:rPr>
          <w:rFonts w:cs="Arial"/>
          <w:noProof/>
          <w:szCs w:val="20"/>
        </w:rPr>
        <w:t>Any approval criteria are not met;</w:t>
      </w:r>
    </w:p>
    <w:p w14:paraId="1A32E777" w14:textId="77777777" w:rsidR="00CF2A32" w:rsidRPr="00C43581" w:rsidRDefault="00CF2A32" w:rsidP="00CF2A32">
      <w:pPr>
        <w:numPr>
          <w:ilvl w:val="1"/>
          <w:numId w:val="17"/>
        </w:numPr>
        <w:contextualSpacing/>
        <w:rPr>
          <w:rFonts w:cs="Arial"/>
          <w:noProof/>
          <w:szCs w:val="20"/>
        </w:rPr>
      </w:pPr>
      <w:r w:rsidRPr="00C43581">
        <w:rPr>
          <w:rFonts w:cs="Arial"/>
          <w:noProof/>
          <w:szCs w:val="20"/>
        </w:rPr>
        <w:t>Inappropriate diagnosis;</w:t>
      </w:r>
    </w:p>
    <w:p w14:paraId="2DE68A7C" w14:textId="77777777" w:rsidR="00CF2A32" w:rsidRPr="00C43581" w:rsidRDefault="00CF2A32" w:rsidP="00CF2A32">
      <w:pPr>
        <w:numPr>
          <w:ilvl w:val="1"/>
          <w:numId w:val="17"/>
        </w:numPr>
        <w:contextualSpacing/>
        <w:rPr>
          <w:rFonts w:cs="Arial"/>
          <w:noProof/>
          <w:szCs w:val="20"/>
        </w:rPr>
      </w:pPr>
      <w:r w:rsidRPr="00C43581">
        <w:rPr>
          <w:rFonts w:cs="Arial"/>
          <w:noProof/>
          <w:szCs w:val="20"/>
        </w:rPr>
        <w:t xml:space="preserve">Cosmetic use; </w:t>
      </w:r>
      <w:r w:rsidRPr="00C43581">
        <w:rPr>
          <w:rFonts w:cs="Arial"/>
          <w:b/>
          <w:bCs/>
          <w:noProof/>
          <w:szCs w:val="20"/>
        </w:rPr>
        <w:t>OR</w:t>
      </w:r>
    </w:p>
    <w:p w14:paraId="005B911D" w14:textId="77777777" w:rsidR="00CF2A32" w:rsidRPr="000D3C85" w:rsidRDefault="00CF2A32" w:rsidP="00CF2A32">
      <w:pPr>
        <w:numPr>
          <w:ilvl w:val="1"/>
          <w:numId w:val="17"/>
        </w:numPr>
        <w:contextualSpacing/>
        <w:rPr>
          <w:rFonts w:cs="Arial"/>
          <w:noProof/>
          <w:szCs w:val="20"/>
        </w:rPr>
      </w:pPr>
      <w:r w:rsidRPr="000D3C85">
        <w:rPr>
          <w:rFonts w:cs="Arial"/>
          <w:noProof/>
          <w:szCs w:val="20"/>
        </w:rPr>
        <w:t>Claim exceeds maximum dosing limitation for the following*:</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5"/>
        <w:gridCol w:w="3330"/>
        <w:gridCol w:w="2520"/>
      </w:tblGrid>
      <w:tr w:rsidR="000D3C85" w:rsidRPr="000D3C85" w14:paraId="2E4B5A4D" w14:textId="77777777">
        <w:tc>
          <w:tcPr>
            <w:tcW w:w="3595" w:type="dxa"/>
            <w:shd w:val="clear" w:color="auto" w:fill="FABF8F" w:themeFill="accent6" w:themeFillTint="99"/>
            <w:vAlign w:val="center"/>
          </w:tcPr>
          <w:p w14:paraId="53DAC5BF" w14:textId="77777777" w:rsidR="00CF2A32" w:rsidRPr="00585B8E" w:rsidRDefault="00CF2A32">
            <w:pPr>
              <w:rPr>
                <w:rFonts w:cs="Arial"/>
                <w:b/>
                <w:bCs/>
                <w:caps/>
                <w:szCs w:val="20"/>
              </w:rPr>
            </w:pPr>
            <w:r w:rsidRPr="00585B8E">
              <w:rPr>
                <w:rFonts w:cs="Arial"/>
                <w:b/>
                <w:bCs/>
                <w:caps/>
                <w:szCs w:val="20"/>
              </w:rPr>
              <w:t>Drug Description</w:t>
            </w:r>
          </w:p>
        </w:tc>
        <w:tc>
          <w:tcPr>
            <w:tcW w:w="3330" w:type="dxa"/>
            <w:shd w:val="clear" w:color="auto" w:fill="FABF8F" w:themeFill="accent6" w:themeFillTint="99"/>
            <w:vAlign w:val="center"/>
          </w:tcPr>
          <w:p w14:paraId="0AE123C8" w14:textId="77777777" w:rsidR="00CF2A32" w:rsidRPr="00585B8E" w:rsidRDefault="00CF2A32">
            <w:pPr>
              <w:rPr>
                <w:rFonts w:cs="Arial"/>
                <w:b/>
                <w:bCs/>
                <w:caps/>
                <w:szCs w:val="20"/>
              </w:rPr>
            </w:pPr>
            <w:r w:rsidRPr="00585B8E">
              <w:rPr>
                <w:rFonts w:cs="Arial"/>
                <w:b/>
                <w:bCs/>
                <w:caps/>
                <w:szCs w:val="20"/>
              </w:rPr>
              <w:t>Generic Equivalent</w:t>
            </w:r>
          </w:p>
        </w:tc>
        <w:tc>
          <w:tcPr>
            <w:tcW w:w="2520" w:type="dxa"/>
            <w:shd w:val="clear" w:color="auto" w:fill="FABF8F" w:themeFill="accent6" w:themeFillTint="99"/>
            <w:vAlign w:val="center"/>
          </w:tcPr>
          <w:p w14:paraId="7A266706" w14:textId="77777777" w:rsidR="00CF2A32" w:rsidRPr="00585B8E" w:rsidRDefault="00CF2A32">
            <w:pPr>
              <w:rPr>
                <w:rFonts w:cs="Arial"/>
                <w:b/>
                <w:bCs/>
                <w:caps/>
                <w:szCs w:val="20"/>
              </w:rPr>
            </w:pPr>
            <w:r w:rsidRPr="00585B8E">
              <w:rPr>
                <w:rFonts w:cs="Arial"/>
                <w:b/>
                <w:bCs/>
                <w:caps/>
                <w:szCs w:val="20"/>
              </w:rPr>
              <w:t>Max Dosing Limitation</w:t>
            </w:r>
          </w:p>
        </w:tc>
      </w:tr>
      <w:tr w:rsidR="000D3C85" w:rsidRPr="000D3C85" w14:paraId="622CEB05" w14:textId="77777777">
        <w:tc>
          <w:tcPr>
            <w:tcW w:w="3595" w:type="dxa"/>
            <w:tcBorders>
              <w:top w:val="single" w:sz="4" w:space="0" w:color="auto"/>
              <w:left w:val="single" w:sz="4" w:space="0" w:color="auto"/>
              <w:bottom w:val="single" w:sz="4" w:space="0" w:color="auto"/>
              <w:right w:val="single" w:sz="4" w:space="0" w:color="auto"/>
            </w:tcBorders>
            <w:vAlign w:val="center"/>
          </w:tcPr>
          <w:p w14:paraId="1BD3FF09" w14:textId="77777777" w:rsidR="00CF2A32" w:rsidRPr="000D3C85" w:rsidRDefault="00CF2A32">
            <w:pPr>
              <w:jc w:val="both"/>
              <w:rPr>
                <w:rFonts w:cs="Arial"/>
                <w:caps/>
                <w:szCs w:val="20"/>
              </w:rPr>
            </w:pPr>
            <w:r w:rsidRPr="000D3C85">
              <w:rPr>
                <w:rFonts w:cs="Arial"/>
                <w:caps/>
                <w:szCs w:val="20"/>
              </w:rPr>
              <w:t>BOTOX 100 UNITS VIAL</w:t>
            </w:r>
          </w:p>
        </w:tc>
        <w:tc>
          <w:tcPr>
            <w:tcW w:w="3330" w:type="dxa"/>
            <w:tcBorders>
              <w:top w:val="single" w:sz="4" w:space="0" w:color="auto"/>
              <w:left w:val="single" w:sz="4" w:space="0" w:color="auto"/>
              <w:bottom w:val="single" w:sz="4" w:space="0" w:color="auto"/>
              <w:right w:val="single" w:sz="4" w:space="0" w:color="auto"/>
            </w:tcBorders>
            <w:vAlign w:val="center"/>
          </w:tcPr>
          <w:p w14:paraId="2EEBC58D" w14:textId="77777777" w:rsidR="00CF2A32" w:rsidRPr="000D3C85" w:rsidRDefault="00CF2A32">
            <w:pPr>
              <w:rPr>
                <w:rFonts w:cs="Arial"/>
                <w:caps/>
                <w:szCs w:val="20"/>
              </w:rPr>
            </w:pPr>
            <w:r w:rsidRPr="000D3C85">
              <w:rPr>
                <w:rFonts w:cs="Arial"/>
                <w:caps/>
                <w:szCs w:val="20"/>
              </w:rPr>
              <w:t xml:space="preserve">ONABOTULINUMTOXINA       </w:t>
            </w:r>
          </w:p>
        </w:tc>
        <w:tc>
          <w:tcPr>
            <w:tcW w:w="2520" w:type="dxa"/>
            <w:tcBorders>
              <w:top w:val="single" w:sz="4" w:space="0" w:color="auto"/>
              <w:left w:val="single" w:sz="4" w:space="0" w:color="auto"/>
              <w:bottom w:val="single" w:sz="4" w:space="0" w:color="auto"/>
              <w:right w:val="single" w:sz="4" w:space="0" w:color="auto"/>
            </w:tcBorders>
            <w:vAlign w:val="center"/>
          </w:tcPr>
          <w:p w14:paraId="26067E6D" w14:textId="77777777" w:rsidR="00CF2A32" w:rsidRPr="000D3C85" w:rsidRDefault="00CF2A32">
            <w:pPr>
              <w:rPr>
                <w:rFonts w:cs="Arial"/>
                <w:caps/>
                <w:szCs w:val="20"/>
              </w:rPr>
            </w:pPr>
            <w:r w:rsidRPr="000D3C85">
              <w:rPr>
                <w:rFonts w:cs="Arial"/>
                <w:caps/>
                <w:szCs w:val="20"/>
              </w:rPr>
              <w:t>6 vials per day</w:t>
            </w:r>
          </w:p>
        </w:tc>
      </w:tr>
      <w:tr w:rsidR="000D3C85" w:rsidRPr="000D3C85" w14:paraId="2A798E97" w14:textId="77777777">
        <w:tc>
          <w:tcPr>
            <w:tcW w:w="3595" w:type="dxa"/>
            <w:tcBorders>
              <w:top w:val="single" w:sz="4" w:space="0" w:color="auto"/>
              <w:left w:val="single" w:sz="4" w:space="0" w:color="auto"/>
              <w:bottom w:val="single" w:sz="4" w:space="0" w:color="auto"/>
              <w:right w:val="single" w:sz="4" w:space="0" w:color="auto"/>
            </w:tcBorders>
            <w:vAlign w:val="center"/>
          </w:tcPr>
          <w:p w14:paraId="70410D55" w14:textId="77777777" w:rsidR="00CF2A32" w:rsidRPr="000D3C85" w:rsidRDefault="00CF2A32">
            <w:pPr>
              <w:jc w:val="both"/>
              <w:rPr>
                <w:rFonts w:cs="Arial"/>
                <w:caps/>
                <w:szCs w:val="20"/>
              </w:rPr>
            </w:pPr>
            <w:r w:rsidRPr="000D3C85">
              <w:rPr>
                <w:rFonts w:cs="Arial"/>
                <w:caps/>
                <w:szCs w:val="20"/>
              </w:rPr>
              <w:t>BOTOX 200 UNITS VIAL</w:t>
            </w:r>
          </w:p>
        </w:tc>
        <w:tc>
          <w:tcPr>
            <w:tcW w:w="3330" w:type="dxa"/>
            <w:tcBorders>
              <w:top w:val="single" w:sz="4" w:space="0" w:color="auto"/>
              <w:left w:val="single" w:sz="4" w:space="0" w:color="auto"/>
              <w:bottom w:val="single" w:sz="4" w:space="0" w:color="auto"/>
              <w:right w:val="single" w:sz="4" w:space="0" w:color="auto"/>
            </w:tcBorders>
            <w:vAlign w:val="center"/>
          </w:tcPr>
          <w:p w14:paraId="0AA97303" w14:textId="77777777" w:rsidR="00CF2A32" w:rsidRPr="000D3C85" w:rsidRDefault="00CF2A32">
            <w:pPr>
              <w:rPr>
                <w:rFonts w:cs="Arial"/>
                <w:caps/>
                <w:szCs w:val="20"/>
              </w:rPr>
            </w:pPr>
            <w:r w:rsidRPr="000D3C85">
              <w:rPr>
                <w:rFonts w:cs="Arial"/>
                <w:caps/>
                <w:szCs w:val="20"/>
              </w:rPr>
              <w:t xml:space="preserve">ONABOTULINUMTOXINA     </w:t>
            </w:r>
          </w:p>
        </w:tc>
        <w:tc>
          <w:tcPr>
            <w:tcW w:w="2520" w:type="dxa"/>
            <w:tcBorders>
              <w:top w:val="single" w:sz="4" w:space="0" w:color="auto"/>
              <w:left w:val="single" w:sz="4" w:space="0" w:color="auto"/>
              <w:bottom w:val="single" w:sz="4" w:space="0" w:color="auto"/>
              <w:right w:val="single" w:sz="4" w:space="0" w:color="auto"/>
            </w:tcBorders>
            <w:vAlign w:val="center"/>
          </w:tcPr>
          <w:p w14:paraId="21ADFAC1" w14:textId="77777777" w:rsidR="00CF2A32" w:rsidRPr="000D3C85" w:rsidRDefault="00CF2A32">
            <w:pPr>
              <w:rPr>
                <w:rFonts w:cs="Arial"/>
                <w:caps/>
                <w:szCs w:val="20"/>
              </w:rPr>
            </w:pPr>
            <w:r w:rsidRPr="000D3C85">
              <w:rPr>
                <w:rFonts w:cs="Arial"/>
                <w:caps/>
                <w:szCs w:val="20"/>
              </w:rPr>
              <w:t>3 vials per day</w:t>
            </w:r>
          </w:p>
        </w:tc>
      </w:tr>
      <w:tr w:rsidR="000D3C85" w:rsidRPr="000D3C85" w14:paraId="55B35FC7" w14:textId="77777777">
        <w:tc>
          <w:tcPr>
            <w:tcW w:w="3595" w:type="dxa"/>
            <w:tcBorders>
              <w:top w:val="single" w:sz="4" w:space="0" w:color="auto"/>
              <w:left w:val="single" w:sz="4" w:space="0" w:color="auto"/>
              <w:bottom w:val="single" w:sz="4" w:space="0" w:color="auto"/>
              <w:right w:val="single" w:sz="4" w:space="0" w:color="auto"/>
            </w:tcBorders>
            <w:vAlign w:val="center"/>
          </w:tcPr>
          <w:p w14:paraId="145FED7B" w14:textId="77777777" w:rsidR="00CF2A32" w:rsidRPr="000D3C85" w:rsidRDefault="00CF2A32">
            <w:pPr>
              <w:jc w:val="both"/>
              <w:rPr>
                <w:rFonts w:cs="Arial"/>
                <w:caps/>
                <w:szCs w:val="20"/>
              </w:rPr>
            </w:pPr>
            <w:r w:rsidRPr="000D3C85">
              <w:rPr>
                <w:rFonts w:cs="Arial"/>
                <w:caps/>
                <w:szCs w:val="20"/>
              </w:rPr>
              <w:t xml:space="preserve">DAXXIFY 100 UNIT VIAL         </w:t>
            </w:r>
          </w:p>
        </w:tc>
        <w:tc>
          <w:tcPr>
            <w:tcW w:w="3330" w:type="dxa"/>
            <w:tcBorders>
              <w:top w:val="single" w:sz="4" w:space="0" w:color="auto"/>
              <w:left w:val="single" w:sz="4" w:space="0" w:color="auto"/>
              <w:bottom w:val="single" w:sz="4" w:space="0" w:color="auto"/>
              <w:right w:val="single" w:sz="4" w:space="0" w:color="auto"/>
            </w:tcBorders>
            <w:vAlign w:val="center"/>
          </w:tcPr>
          <w:p w14:paraId="3F264B1F" w14:textId="77777777" w:rsidR="00CF2A32" w:rsidRPr="000D3C85" w:rsidRDefault="00CF2A32">
            <w:pPr>
              <w:rPr>
                <w:rFonts w:cs="Arial"/>
                <w:caps/>
                <w:szCs w:val="20"/>
              </w:rPr>
            </w:pPr>
            <w:r w:rsidRPr="000D3C85">
              <w:rPr>
                <w:rFonts w:cs="Arial"/>
                <w:caps/>
                <w:szCs w:val="20"/>
              </w:rPr>
              <w:t>DAXIBOTULINUMTOXINA-LANM</w:t>
            </w:r>
          </w:p>
        </w:tc>
        <w:tc>
          <w:tcPr>
            <w:tcW w:w="2520" w:type="dxa"/>
            <w:tcBorders>
              <w:top w:val="single" w:sz="4" w:space="0" w:color="auto"/>
              <w:left w:val="single" w:sz="4" w:space="0" w:color="auto"/>
              <w:bottom w:val="single" w:sz="4" w:space="0" w:color="auto"/>
              <w:right w:val="single" w:sz="4" w:space="0" w:color="auto"/>
            </w:tcBorders>
            <w:vAlign w:val="center"/>
          </w:tcPr>
          <w:p w14:paraId="3B1CAA05" w14:textId="77777777" w:rsidR="00CF2A32" w:rsidRPr="000D3C85" w:rsidRDefault="00CF2A32">
            <w:pPr>
              <w:rPr>
                <w:rFonts w:cs="Arial"/>
                <w:caps/>
                <w:szCs w:val="20"/>
              </w:rPr>
            </w:pPr>
            <w:r w:rsidRPr="000D3C85">
              <w:rPr>
                <w:rFonts w:cs="Arial"/>
                <w:caps/>
                <w:szCs w:val="20"/>
              </w:rPr>
              <w:t>2 vials per day</w:t>
            </w:r>
          </w:p>
        </w:tc>
      </w:tr>
      <w:tr w:rsidR="000D3C85" w:rsidRPr="000D3C85" w14:paraId="37310026" w14:textId="77777777">
        <w:tc>
          <w:tcPr>
            <w:tcW w:w="3595" w:type="dxa"/>
            <w:tcBorders>
              <w:top w:val="single" w:sz="4" w:space="0" w:color="auto"/>
              <w:left w:val="single" w:sz="4" w:space="0" w:color="auto"/>
              <w:bottom w:val="single" w:sz="4" w:space="0" w:color="auto"/>
              <w:right w:val="single" w:sz="4" w:space="0" w:color="auto"/>
            </w:tcBorders>
            <w:vAlign w:val="center"/>
          </w:tcPr>
          <w:p w14:paraId="5D6E2697" w14:textId="77777777" w:rsidR="00CF2A32" w:rsidRPr="000D3C85" w:rsidRDefault="00CF2A32">
            <w:pPr>
              <w:jc w:val="both"/>
              <w:rPr>
                <w:rFonts w:cs="Arial"/>
                <w:caps/>
                <w:szCs w:val="20"/>
              </w:rPr>
            </w:pPr>
            <w:r w:rsidRPr="000D3C85">
              <w:rPr>
                <w:rFonts w:cs="Arial"/>
                <w:caps/>
                <w:szCs w:val="20"/>
              </w:rPr>
              <w:lastRenderedPageBreak/>
              <w:t>DYSPORT 300 UNIT VIAL</w:t>
            </w:r>
          </w:p>
        </w:tc>
        <w:tc>
          <w:tcPr>
            <w:tcW w:w="3330" w:type="dxa"/>
            <w:tcBorders>
              <w:top w:val="single" w:sz="4" w:space="0" w:color="auto"/>
              <w:left w:val="single" w:sz="4" w:space="0" w:color="auto"/>
              <w:bottom w:val="single" w:sz="4" w:space="0" w:color="auto"/>
              <w:right w:val="single" w:sz="4" w:space="0" w:color="auto"/>
            </w:tcBorders>
            <w:vAlign w:val="center"/>
          </w:tcPr>
          <w:p w14:paraId="65CB4BC4" w14:textId="77777777" w:rsidR="00CF2A32" w:rsidRPr="000D3C85" w:rsidRDefault="00CF2A32">
            <w:pPr>
              <w:rPr>
                <w:rFonts w:cs="Arial"/>
                <w:caps/>
                <w:szCs w:val="20"/>
              </w:rPr>
            </w:pPr>
            <w:r w:rsidRPr="000D3C85">
              <w:rPr>
                <w:rFonts w:cs="Arial"/>
                <w:caps/>
                <w:szCs w:val="20"/>
              </w:rPr>
              <w:t xml:space="preserve">ABOBOTULINUMTOXINA  </w:t>
            </w:r>
          </w:p>
        </w:tc>
        <w:tc>
          <w:tcPr>
            <w:tcW w:w="2520" w:type="dxa"/>
            <w:tcBorders>
              <w:top w:val="single" w:sz="4" w:space="0" w:color="auto"/>
              <w:left w:val="single" w:sz="4" w:space="0" w:color="auto"/>
              <w:bottom w:val="single" w:sz="4" w:space="0" w:color="auto"/>
              <w:right w:val="single" w:sz="4" w:space="0" w:color="auto"/>
            </w:tcBorders>
            <w:vAlign w:val="center"/>
          </w:tcPr>
          <w:p w14:paraId="43268109" w14:textId="77777777" w:rsidR="00CF2A32" w:rsidRPr="000D3C85" w:rsidRDefault="00CF2A32">
            <w:pPr>
              <w:rPr>
                <w:rFonts w:cs="Arial"/>
                <w:caps/>
                <w:szCs w:val="20"/>
              </w:rPr>
            </w:pPr>
            <w:r w:rsidRPr="000D3C85">
              <w:rPr>
                <w:rFonts w:cs="Arial"/>
                <w:caps/>
                <w:szCs w:val="20"/>
              </w:rPr>
              <w:t>5 vials per day</w:t>
            </w:r>
          </w:p>
        </w:tc>
      </w:tr>
      <w:tr w:rsidR="000D3C85" w:rsidRPr="000D3C85" w14:paraId="1A8A87F7" w14:textId="77777777">
        <w:tc>
          <w:tcPr>
            <w:tcW w:w="3595" w:type="dxa"/>
            <w:tcBorders>
              <w:top w:val="single" w:sz="4" w:space="0" w:color="auto"/>
              <w:left w:val="single" w:sz="4" w:space="0" w:color="auto"/>
              <w:bottom w:val="single" w:sz="4" w:space="0" w:color="auto"/>
              <w:right w:val="single" w:sz="4" w:space="0" w:color="auto"/>
            </w:tcBorders>
            <w:vAlign w:val="center"/>
          </w:tcPr>
          <w:p w14:paraId="6DDF8F63" w14:textId="77777777" w:rsidR="00CF2A32" w:rsidRPr="000D3C85" w:rsidRDefault="00CF2A32">
            <w:pPr>
              <w:jc w:val="both"/>
              <w:rPr>
                <w:rFonts w:cs="Arial"/>
                <w:caps/>
                <w:szCs w:val="20"/>
              </w:rPr>
            </w:pPr>
            <w:r w:rsidRPr="000D3C85">
              <w:rPr>
                <w:rFonts w:cs="Arial"/>
                <w:caps/>
                <w:szCs w:val="20"/>
              </w:rPr>
              <w:t>DYSPORT 500 UNITS VIAL</w:t>
            </w:r>
          </w:p>
        </w:tc>
        <w:tc>
          <w:tcPr>
            <w:tcW w:w="3330" w:type="dxa"/>
            <w:tcBorders>
              <w:top w:val="single" w:sz="4" w:space="0" w:color="auto"/>
              <w:left w:val="single" w:sz="4" w:space="0" w:color="auto"/>
              <w:bottom w:val="single" w:sz="4" w:space="0" w:color="auto"/>
              <w:right w:val="single" w:sz="4" w:space="0" w:color="auto"/>
            </w:tcBorders>
            <w:vAlign w:val="center"/>
          </w:tcPr>
          <w:p w14:paraId="348CC426" w14:textId="77777777" w:rsidR="00CF2A32" w:rsidRPr="000D3C85" w:rsidRDefault="00CF2A32">
            <w:pPr>
              <w:rPr>
                <w:rFonts w:cs="Arial"/>
                <w:caps/>
                <w:szCs w:val="20"/>
              </w:rPr>
            </w:pPr>
            <w:r w:rsidRPr="000D3C85">
              <w:rPr>
                <w:rFonts w:cs="Arial"/>
                <w:caps/>
                <w:szCs w:val="20"/>
              </w:rPr>
              <w:t xml:space="preserve">ABOBOTULINUMTOXINA   </w:t>
            </w:r>
          </w:p>
        </w:tc>
        <w:tc>
          <w:tcPr>
            <w:tcW w:w="2520" w:type="dxa"/>
            <w:tcBorders>
              <w:top w:val="single" w:sz="4" w:space="0" w:color="auto"/>
              <w:left w:val="single" w:sz="4" w:space="0" w:color="auto"/>
              <w:bottom w:val="single" w:sz="4" w:space="0" w:color="auto"/>
              <w:right w:val="single" w:sz="4" w:space="0" w:color="auto"/>
            </w:tcBorders>
            <w:vAlign w:val="center"/>
          </w:tcPr>
          <w:p w14:paraId="174DB0F6" w14:textId="77777777" w:rsidR="00CF2A32" w:rsidRPr="000D3C85" w:rsidRDefault="00CF2A32">
            <w:pPr>
              <w:rPr>
                <w:rFonts w:cs="Arial"/>
                <w:caps/>
                <w:szCs w:val="20"/>
              </w:rPr>
            </w:pPr>
            <w:r w:rsidRPr="000D3C85">
              <w:rPr>
                <w:rFonts w:cs="Arial"/>
                <w:caps/>
                <w:szCs w:val="20"/>
              </w:rPr>
              <w:t>3 vials per day</w:t>
            </w:r>
          </w:p>
        </w:tc>
      </w:tr>
      <w:tr w:rsidR="000D3C85" w:rsidRPr="000D3C85" w14:paraId="41EE5319" w14:textId="77777777">
        <w:tc>
          <w:tcPr>
            <w:tcW w:w="3595" w:type="dxa"/>
            <w:tcBorders>
              <w:top w:val="single" w:sz="4" w:space="0" w:color="auto"/>
              <w:left w:val="single" w:sz="4" w:space="0" w:color="auto"/>
              <w:bottom w:val="single" w:sz="4" w:space="0" w:color="auto"/>
              <w:right w:val="single" w:sz="4" w:space="0" w:color="auto"/>
            </w:tcBorders>
            <w:vAlign w:val="center"/>
          </w:tcPr>
          <w:p w14:paraId="4F8EC3DB" w14:textId="77777777" w:rsidR="00CF2A32" w:rsidRPr="000D3C85" w:rsidRDefault="00CF2A32">
            <w:pPr>
              <w:jc w:val="both"/>
              <w:rPr>
                <w:rFonts w:cs="Arial"/>
                <w:caps/>
                <w:szCs w:val="20"/>
              </w:rPr>
            </w:pPr>
            <w:r w:rsidRPr="000D3C85">
              <w:rPr>
                <w:rFonts w:cs="Arial"/>
                <w:caps/>
                <w:szCs w:val="20"/>
              </w:rPr>
              <w:t>MYOBLOC 10,000 UNITS/2 ML VIAL</w:t>
            </w:r>
          </w:p>
        </w:tc>
        <w:tc>
          <w:tcPr>
            <w:tcW w:w="3330" w:type="dxa"/>
            <w:tcBorders>
              <w:top w:val="single" w:sz="4" w:space="0" w:color="auto"/>
              <w:left w:val="single" w:sz="4" w:space="0" w:color="auto"/>
              <w:bottom w:val="single" w:sz="4" w:space="0" w:color="auto"/>
              <w:right w:val="single" w:sz="4" w:space="0" w:color="auto"/>
            </w:tcBorders>
            <w:vAlign w:val="center"/>
          </w:tcPr>
          <w:p w14:paraId="32FC7A15" w14:textId="77777777" w:rsidR="00CF2A32" w:rsidRPr="000D3C85" w:rsidRDefault="00CF2A32">
            <w:pPr>
              <w:rPr>
                <w:rFonts w:cs="Arial"/>
                <w:caps/>
                <w:szCs w:val="20"/>
              </w:rPr>
            </w:pPr>
            <w:r w:rsidRPr="000D3C85">
              <w:rPr>
                <w:rFonts w:cs="Arial"/>
                <w:caps/>
                <w:szCs w:val="20"/>
              </w:rPr>
              <w:t>RIMABOTULINUMTOXINB</w:t>
            </w:r>
          </w:p>
        </w:tc>
        <w:tc>
          <w:tcPr>
            <w:tcW w:w="2520" w:type="dxa"/>
            <w:tcBorders>
              <w:top w:val="single" w:sz="4" w:space="0" w:color="auto"/>
              <w:left w:val="single" w:sz="4" w:space="0" w:color="auto"/>
              <w:bottom w:val="single" w:sz="4" w:space="0" w:color="auto"/>
              <w:right w:val="single" w:sz="4" w:space="0" w:color="auto"/>
            </w:tcBorders>
            <w:vAlign w:val="center"/>
          </w:tcPr>
          <w:p w14:paraId="1AE44316" w14:textId="77777777" w:rsidR="00CF2A32" w:rsidRPr="000D3C85" w:rsidRDefault="00CF2A32">
            <w:pPr>
              <w:rPr>
                <w:rFonts w:cs="Arial"/>
                <w:caps/>
                <w:szCs w:val="20"/>
              </w:rPr>
            </w:pPr>
            <w:r w:rsidRPr="000D3C85">
              <w:rPr>
                <w:rFonts w:cs="Arial"/>
                <w:caps/>
                <w:szCs w:val="20"/>
              </w:rPr>
              <w:t>1 vial per day</w:t>
            </w:r>
          </w:p>
        </w:tc>
      </w:tr>
      <w:tr w:rsidR="000D3C85" w:rsidRPr="000D3C85" w14:paraId="796D530F" w14:textId="77777777">
        <w:tc>
          <w:tcPr>
            <w:tcW w:w="3595" w:type="dxa"/>
            <w:tcBorders>
              <w:top w:val="single" w:sz="4" w:space="0" w:color="auto"/>
              <w:left w:val="single" w:sz="4" w:space="0" w:color="auto"/>
              <w:bottom w:val="single" w:sz="4" w:space="0" w:color="auto"/>
              <w:right w:val="single" w:sz="4" w:space="0" w:color="auto"/>
            </w:tcBorders>
            <w:vAlign w:val="center"/>
          </w:tcPr>
          <w:p w14:paraId="6EF6B115" w14:textId="77777777" w:rsidR="00CF2A32" w:rsidRPr="000D3C85" w:rsidRDefault="00CF2A32">
            <w:pPr>
              <w:jc w:val="both"/>
              <w:rPr>
                <w:rFonts w:cs="Arial"/>
                <w:caps/>
                <w:szCs w:val="20"/>
              </w:rPr>
            </w:pPr>
            <w:r w:rsidRPr="000D3C85">
              <w:rPr>
                <w:rFonts w:cs="Arial"/>
                <w:caps/>
                <w:szCs w:val="20"/>
              </w:rPr>
              <w:t>MYOBLOC 2,500 UNIT/0.5ML VIAL</w:t>
            </w:r>
          </w:p>
        </w:tc>
        <w:tc>
          <w:tcPr>
            <w:tcW w:w="3330" w:type="dxa"/>
            <w:tcBorders>
              <w:top w:val="single" w:sz="4" w:space="0" w:color="auto"/>
              <w:left w:val="single" w:sz="4" w:space="0" w:color="auto"/>
              <w:bottom w:val="single" w:sz="4" w:space="0" w:color="auto"/>
              <w:right w:val="single" w:sz="4" w:space="0" w:color="auto"/>
            </w:tcBorders>
            <w:vAlign w:val="center"/>
          </w:tcPr>
          <w:p w14:paraId="08F46C04" w14:textId="77777777" w:rsidR="00CF2A32" w:rsidRPr="000D3C85" w:rsidRDefault="00CF2A32">
            <w:pPr>
              <w:rPr>
                <w:rFonts w:cs="Arial"/>
                <w:caps/>
                <w:szCs w:val="20"/>
              </w:rPr>
            </w:pPr>
            <w:r w:rsidRPr="000D3C85">
              <w:rPr>
                <w:rFonts w:cs="Arial"/>
                <w:caps/>
                <w:szCs w:val="20"/>
              </w:rPr>
              <w:t>RIMABOTULINUMTOXINB</w:t>
            </w:r>
          </w:p>
        </w:tc>
        <w:tc>
          <w:tcPr>
            <w:tcW w:w="2520" w:type="dxa"/>
            <w:tcBorders>
              <w:top w:val="single" w:sz="4" w:space="0" w:color="auto"/>
              <w:left w:val="single" w:sz="4" w:space="0" w:color="auto"/>
              <w:bottom w:val="single" w:sz="4" w:space="0" w:color="auto"/>
              <w:right w:val="single" w:sz="4" w:space="0" w:color="auto"/>
            </w:tcBorders>
            <w:vAlign w:val="center"/>
          </w:tcPr>
          <w:p w14:paraId="23E092D2" w14:textId="77777777" w:rsidR="00CF2A32" w:rsidRPr="000D3C85" w:rsidRDefault="00CF2A32">
            <w:pPr>
              <w:rPr>
                <w:rFonts w:cs="Arial"/>
                <w:caps/>
                <w:szCs w:val="20"/>
              </w:rPr>
            </w:pPr>
            <w:r w:rsidRPr="000D3C85">
              <w:rPr>
                <w:rFonts w:cs="Arial"/>
                <w:caps/>
                <w:szCs w:val="20"/>
              </w:rPr>
              <w:t>2 vials per day</w:t>
            </w:r>
          </w:p>
        </w:tc>
      </w:tr>
      <w:tr w:rsidR="000D3C85" w:rsidRPr="000D3C85" w14:paraId="3B914AC1" w14:textId="77777777">
        <w:tc>
          <w:tcPr>
            <w:tcW w:w="3595" w:type="dxa"/>
            <w:tcBorders>
              <w:top w:val="single" w:sz="4" w:space="0" w:color="auto"/>
              <w:left w:val="single" w:sz="4" w:space="0" w:color="auto"/>
              <w:bottom w:val="single" w:sz="4" w:space="0" w:color="auto"/>
              <w:right w:val="single" w:sz="4" w:space="0" w:color="auto"/>
            </w:tcBorders>
            <w:vAlign w:val="center"/>
          </w:tcPr>
          <w:p w14:paraId="72185F4E" w14:textId="77777777" w:rsidR="00CF2A32" w:rsidRPr="000D3C85" w:rsidRDefault="00CF2A32">
            <w:pPr>
              <w:jc w:val="both"/>
              <w:rPr>
                <w:rFonts w:cs="Arial"/>
                <w:caps/>
                <w:szCs w:val="20"/>
              </w:rPr>
            </w:pPr>
            <w:r w:rsidRPr="000D3C85">
              <w:rPr>
                <w:rFonts w:cs="Arial"/>
                <w:caps/>
                <w:szCs w:val="20"/>
              </w:rPr>
              <w:t>MYOBLOC 5,000 UNITS/1 ML VIAL</w:t>
            </w:r>
          </w:p>
        </w:tc>
        <w:tc>
          <w:tcPr>
            <w:tcW w:w="3330" w:type="dxa"/>
            <w:tcBorders>
              <w:top w:val="single" w:sz="4" w:space="0" w:color="auto"/>
              <w:left w:val="single" w:sz="4" w:space="0" w:color="auto"/>
              <w:bottom w:val="single" w:sz="4" w:space="0" w:color="auto"/>
              <w:right w:val="single" w:sz="4" w:space="0" w:color="auto"/>
            </w:tcBorders>
            <w:vAlign w:val="center"/>
          </w:tcPr>
          <w:p w14:paraId="2C0D3317" w14:textId="77777777" w:rsidR="00CF2A32" w:rsidRPr="000D3C85" w:rsidRDefault="00CF2A32">
            <w:pPr>
              <w:rPr>
                <w:rFonts w:cs="Arial"/>
                <w:caps/>
                <w:szCs w:val="20"/>
              </w:rPr>
            </w:pPr>
            <w:r w:rsidRPr="000D3C85">
              <w:rPr>
                <w:rFonts w:cs="Arial"/>
                <w:caps/>
                <w:szCs w:val="20"/>
              </w:rPr>
              <w:t>RIMABOTULINUMTOXINB</w:t>
            </w:r>
          </w:p>
        </w:tc>
        <w:tc>
          <w:tcPr>
            <w:tcW w:w="2520" w:type="dxa"/>
            <w:tcBorders>
              <w:top w:val="single" w:sz="4" w:space="0" w:color="auto"/>
              <w:left w:val="single" w:sz="4" w:space="0" w:color="auto"/>
              <w:bottom w:val="single" w:sz="4" w:space="0" w:color="auto"/>
              <w:right w:val="single" w:sz="4" w:space="0" w:color="auto"/>
            </w:tcBorders>
            <w:vAlign w:val="center"/>
          </w:tcPr>
          <w:p w14:paraId="116DC7A9" w14:textId="77777777" w:rsidR="00CF2A32" w:rsidRPr="000D3C85" w:rsidRDefault="00CF2A32">
            <w:pPr>
              <w:rPr>
                <w:rFonts w:cs="Arial"/>
                <w:caps/>
                <w:szCs w:val="20"/>
              </w:rPr>
            </w:pPr>
            <w:r w:rsidRPr="000D3C85">
              <w:rPr>
                <w:rFonts w:cs="Arial"/>
                <w:caps/>
                <w:szCs w:val="20"/>
              </w:rPr>
              <w:t>1 vial per day</w:t>
            </w:r>
          </w:p>
        </w:tc>
      </w:tr>
      <w:tr w:rsidR="000D3C85" w:rsidRPr="000D3C85" w14:paraId="5798F2B3" w14:textId="77777777">
        <w:tc>
          <w:tcPr>
            <w:tcW w:w="3595" w:type="dxa"/>
            <w:tcBorders>
              <w:top w:val="single" w:sz="4" w:space="0" w:color="auto"/>
              <w:left w:val="single" w:sz="4" w:space="0" w:color="auto"/>
              <w:bottom w:val="single" w:sz="4" w:space="0" w:color="auto"/>
              <w:right w:val="single" w:sz="4" w:space="0" w:color="auto"/>
            </w:tcBorders>
            <w:vAlign w:val="center"/>
          </w:tcPr>
          <w:p w14:paraId="4FED95F8" w14:textId="77777777" w:rsidR="00CF2A32" w:rsidRPr="000D3C85" w:rsidRDefault="00CF2A32">
            <w:pPr>
              <w:jc w:val="both"/>
              <w:rPr>
                <w:rFonts w:cs="Arial"/>
                <w:caps/>
                <w:szCs w:val="20"/>
              </w:rPr>
            </w:pPr>
            <w:r w:rsidRPr="000D3C85">
              <w:rPr>
                <w:rFonts w:cs="Arial"/>
                <w:caps/>
                <w:szCs w:val="20"/>
              </w:rPr>
              <w:t>XEOMIN 100 UNITS VIAL</w:t>
            </w:r>
          </w:p>
        </w:tc>
        <w:tc>
          <w:tcPr>
            <w:tcW w:w="3330" w:type="dxa"/>
            <w:tcBorders>
              <w:top w:val="single" w:sz="4" w:space="0" w:color="auto"/>
              <w:left w:val="single" w:sz="4" w:space="0" w:color="auto"/>
              <w:bottom w:val="single" w:sz="4" w:space="0" w:color="auto"/>
              <w:right w:val="single" w:sz="4" w:space="0" w:color="auto"/>
            </w:tcBorders>
            <w:vAlign w:val="center"/>
          </w:tcPr>
          <w:p w14:paraId="689F2C59" w14:textId="77777777" w:rsidR="00CF2A32" w:rsidRPr="000D3C85" w:rsidRDefault="00CF2A32">
            <w:pPr>
              <w:rPr>
                <w:rFonts w:cs="Arial"/>
                <w:caps/>
                <w:szCs w:val="20"/>
              </w:rPr>
            </w:pPr>
            <w:r w:rsidRPr="000D3C85">
              <w:rPr>
                <w:rFonts w:cs="Arial"/>
                <w:caps/>
                <w:szCs w:val="20"/>
              </w:rPr>
              <w:t>INCOBOTULINUMTOXINA</w:t>
            </w:r>
          </w:p>
        </w:tc>
        <w:tc>
          <w:tcPr>
            <w:tcW w:w="2520" w:type="dxa"/>
            <w:tcBorders>
              <w:top w:val="single" w:sz="4" w:space="0" w:color="auto"/>
              <w:left w:val="single" w:sz="4" w:space="0" w:color="auto"/>
              <w:bottom w:val="single" w:sz="4" w:space="0" w:color="auto"/>
              <w:right w:val="single" w:sz="4" w:space="0" w:color="auto"/>
            </w:tcBorders>
            <w:vAlign w:val="center"/>
          </w:tcPr>
          <w:p w14:paraId="3D7549B1" w14:textId="77777777" w:rsidR="00CF2A32" w:rsidRPr="000D3C85" w:rsidRDefault="00CF2A32">
            <w:pPr>
              <w:rPr>
                <w:rFonts w:cs="Arial"/>
                <w:caps/>
                <w:szCs w:val="20"/>
              </w:rPr>
            </w:pPr>
            <w:r w:rsidRPr="000D3C85">
              <w:rPr>
                <w:rFonts w:cs="Arial"/>
                <w:caps/>
                <w:szCs w:val="20"/>
              </w:rPr>
              <w:t>4 vials per day</w:t>
            </w:r>
          </w:p>
        </w:tc>
      </w:tr>
      <w:tr w:rsidR="000D3C85" w:rsidRPr="000D3C85" w14:paraId="6E9122E0" w14:textId="77777777">
        <w:tc>
          <w:tcPr>
            <w:tcW w:w="3595" w:type="dxa"/>
            <w:tcBorders>
              <w:top w:val="single" w:sz="4" w:space="0" w:color="auto"/>
              <w:left w:val="single" w:sz="4" w:space="0" w:color="auto"/>
              <w:bottom w:val="single" w:sz="4" w:space="0" w:color="auto"/>
              <w:right w:val="single" w:sz="4" w:space="0" w:color="auto"/>
            </w:tcBorders>
            <w:vAlign w:val="center"/>
          </w:tcPr>
          <w:p w14:paraId="21A3B058" w14:textId="77777777" w:rsidR="00CF2A32" w:rsidRPr="000D3C85" w:rsidRDefault="00CF2A32">
            <w:pPr>
              <w:jc w:val="both"/>
              <w:rPr>
                <w:rFonts w:cs="Arial"/>
                <w:caps/>
                <w:szCs w:val="20"/>
              </w:rPr>
            </w:pPr>
            <w:r w:rsidRPr="000D3C85">
              <w:rPr>
                <w:rFonts w:cs="Arial"/>
                <w:caps/>
                <w:szCs w:val="20"/>
              </w:rPr>
              <w:t>XEOMIN 200 UNITS VIAL</w:t>
            </w:r>
          </w:p>
        </w:tc>
        <w:tc>
          <w:tcPr>
            <w:tcW w:w="3330" w:type="dxa"/>
            <w:tcBorders>
              <w:top w:val="single" w:sz="4" w:space="0" w:color="auto"/>
              <w:left w:val="single" w:sz="4" w:space="0" w:color="auto"/>
              <w:bottom w:val="single" w:sz="4" w:space="0" w:color="auto"/>
              <w:right w:val="single" w:sz="4" w:space="0" w:color="auto"/>
            </w:tcBorders>
            <w:vAlign w:val="center"/>
          </w:tcPr>
          <w:p w14:paraId="1FB0E85A" w14:textId="77777777" w:rsidR="00CF2A32" w:rsidRPr="000D3C85" w:rsidRDefault="00CF2A32">
            <w:pPr>
              <w:rPr>
                <w:rFonts w:cs="Arial"/>
                <w:caps/>
                <w:szCs w:val="20"/>
              </w:rPr>
            </w:pPr>
            <w:r w:rsidRPr="000D3C85">
              <w:rPr>
                <w:rFonts w:cs="Arial"/>
                <w:caps/>
                <w:szCs w:val="20"/>
              </w:rPr>
              <w:t>INCOBOTULINUMTOXINA</w:t>
            </w:r>
          </w:p>
        </w:tc>
        <w:tc>
          <w:tcPr>
            <w:tcW w:w="2520" w:type="dxa"/>
            <w:tcBorders>
              <w:top w:val="single" w:sz="4" w:space="0" w:color="auto"/>
              <w:left w:val="single" w:sz="4" w:space="0" w:color="auto"/>
              <w:bottom w:val="single" w:sz="4" w:space="0" w:color="auto"/>
              <w:right w:val="single" w:sz="4" w:space="0" w:color="auto"/>
            </w:tcBorders>
            <w:vAlign w:val="center"/>
          </w:tcPr>
          <w:p w14:paraId="60CE8A01" w14:textId="77777777" w:rsidR="00CF2A32" w:rsidRPr="000D3C85" w:rsidRDefault="00CF2A32">
            <w:pPr>
              <w:rPr>
                <w:rFonts w:cs="Arial"/>
                <w:caps/>
                <w:szCs w:val="20"/>
              </w:rPr>
            </w:pPr>
            <w:r w:rsidRPr="000D3C85">
              <w:rPr>
                <w:rFonts w:cs="Arial"/>
                <w:caps/>
                <w:szCs w:val="20"/>
              </w:rPr>
              <w:t>2 vials per day</w:t>
            </w:r>
          </w:p>
        </w:tc>
      </w:tr>
      <w:tr w:rsidR="000D3C85" w:rsidRPr="000D3C85" w14:paraId="3402235D" w14:textId="77777777">
        <w:tc>
          <w:tcPr>
            <w:tcW w:w="3595" w:type="dxa"/>
            <w:tcBorders>
              <w:top w:val="single" w:sz="4" w:space="0" w:color="auto"/>
              <w:left w:val="single" w:sz="4" w:space="0" w:color="auto"/>
              <w:bottom w:val="single" w:sz="4" w:space="0" w:color="auto"/>
              <w:right w:val="single" w:sz="4" w:space="0" w:color="auto"/>
            </w:tcBorders>
            <w:vAlign w:val="center"/>
          </w:tcPr>
          <w:p w14:paraId="50F3D566" w14:textId="77777777" w:rsidR="00CF2A32" w:rsidRPr="000D3C85" w:rsidRDefault="00CF2A32">
            <w:pPr>
              <w:jc w:val="both"/>
              <w:rPr>
                <w:rFonts w:cs="Arial"/>
                <w:caps/>
                <w:szCs w:val="20"/>
              </w:rPr>
            </w:pPr>
            <w:r w:rsidRPr="000D3C85">
              <w:rPr>
                <w:rFonts w:cs="Arial"/>
                <w:caps/>
                <w:szCs w:val="20"/>
              </w:rPr>
              <w:t>XEOMIN 50 UNITS VIAL</w:t>
            </w:r>
          </w:p>
        </w:tc>
        <w:tc>
          <w:tcPr>
            <w:tcW w:w="3330" w:type="dxa"/>
            <w:tcBorders>
              <w:top w:val="single" w:sz="4" w:space="0" w:color="auto"/>
              <w:left w:val="single" w:sz="4" w:space="0" w:color="auto"/>
              <w:bottom w:val="single" w:sz="4" w:space="0" w:color="auto"/>
              <w:right w:val="single" w:sz="4" w:space="0" w:color="auto"/>
            </w:tcBorders>
            <w:vAlign w:val="center"/>
          </w:tcPr>
          <w:p w14:paraId="354E84CB" w14:textId="77777777" w:rsidR="00CF2A32" w:rsidRPr="000D3C85" w:rsidRDefault="00CF2A32">
            <w:pPr>
              <w:rPr>
                <w:rFonts w:cs="Arial"/>
                <w:caps/>
                <w:szCs w:val="20"/>
              </w:rPr>
            </w:pPr>
            <w:r w:rsidRPr="000D3C85">
              <w:rPr>
                <w:rFonts w:cs="Arial"/>
                <w:caps/>
                <w:szCs w:val="20"/>
              </w:rPr>
              <w:t>INCOBOTULINUMTOXINA</w:t>
            </w:r>
          </w:p>
        </w:tc>
        <w:tc>
          <w:tcPr>
            <w:tcW w:w="2520" w:type="dxa"/>
            <w:tcBorders>
              <w:top w:val="single" w:sz="4" w:space="0" w:color="auto"/>
              <w:left w:val="single" w:sz="4" w:space="0" w:color="auto"/>
              <w:bottom w:val="single" w:sz="4" w:space="0" w:color="auto"/>
              <w:right w:val="single" w:sz="4" w:space="0" w:color="auto"/>
            </w:tcBorders>
            <w:vAlign w:val="center"/>
          </w:tcPr>
          <w:p w14:paraId="20493850" w14:textId="77777777" w:rsidR="00CF2A32" w:rsidRPr="000D3C85" w:rsidRDefault="00CF2A32">
            <w:pPr>
              <w:rPr>
                <w:rFonts w:cs="Arial"/>
                <w:caps/>
                <w:szCs w:val="20"/>
              </w:rPr>
            </w:pPr>
            <w:r w:rsidRPr="000D3C85">
              <w:rPr>
                <w:rFonts w:cs="Arial"/>
                <w:caps/>
                <w:szCs w:val="20"/>
              </w:rPr>
              <w:t>8 vials per day</w:t>
            </w:r>
          </w:p>
        </w:tc>
      </w:tr>
    </w:tbl>
    <w:bookmarkEnd w:id="2"/>
    <w:p w14:paraId="51137981" w14:textId="77777777" w:rsidR="00CF2A32" w:rsidRPr="000D3C85" w:rsidRDefault="00CF2A32" w:rsidP="00CF2A32">
      <w:pPr>
        <w:rPr>
          <w:rFonts w:cs="Arial"/>
          <w:noProof/>
          <w:szCs w:val="20"/>
        </w:rPr>
      </w:pPr>
      <w:r w:rsidRPr="000D3C85">
        <w:rPr>
          <w:rFonts w:cs="Arial"/>
          <w:noProof/>
          <w:szCs w:val="20"/>
        </w:rPr>
        <w:t>*Claims more frequent than every 72 days are subject to clinical review.</w:t>
      </w:r>
    </w:p>
    <w:p w14:paraId="4D21EAF1" w14:textId="77777777" w:rsidR="001E4CBA" w:rsidRDefault="001E4CBA" w:rsidP="001C73B1">
      <w:pPr>
        <w:pStyle w:val="ListParagraph"/>
        <w:numPr>
          <w:ilvl w:val="0"/>
          <w:numId w:val="0"/>
        </w:numPr>
        <w:ind w:left="360"/>
        <w:rPr>
          <w:rFonts w:cs="Arial"/>
          <w:szCs w:val="22"/>
        </w:rPr>
      </w:pPr>
    </w:p>
    <w:p w14:paraId="0BD95161" w14:textId="77777777" w:rsidR="005F6104" w:rsidRPr="00C02553" w:rsidRDefault="005F6104" w:rsidP="005F6104">
      <w:pPr>
        <w:pStyle w:val="Heading1"/>
        <w:rPr>
          <w:lang w:val="en-US"/>
        </w:rPr>
      </w:pPr>
      <w:bookmarkStart w:id="3" w:name="_Hlk34120952"/>
      <w:r w:rsidRPr="00C02553">
        <w:rPr>
          <w:lang w:val="en-US"/>
        </w:rPr>
        <w:t>Disposition of Edit</w:t>
      </w:r>
    </w:p>
    <w:p w14:paraId="207F527C" w14:textId="77777777" w:rsidR="0082238D" w:rsidRPr="00C02553" w:rsidRDefault="0082238D" w:rsidP="0082238D">
      <w:r w:rsidRPr="00696E3A">
        <w:rPr>
          <w:b/>
          <w:bCs/>
        </w:rPr>
        <w:t>Denial:</w:t>
      </w:r>
      <w:r w:rsidRPr="00C02553">
        <w:t xml:space="preserve"> </w:t>
      </w:r>
      <w:r w:rsidRPr="00CC6BDE">
        <w:t>Exception code “0682” (Clinical Edit)</w:t>
      </w:r>
    </w:p>
    <w:p w14:paraId="4F8C2661" w14:textId="77777777" w:rsidR="0082238D" w:rsidRPr="00C02553" w:rsidRDefault="0082238D" w:rsidP="0082238D">
      <w:r w:rsidRPr="00696E3A">
        <w:rPr>
          <w:b/>
          <w:bCs/>
        </w:rPr>
        <w:t>Rule Type:</w:t>
      </w:r>
      <w:r w:rsidRPr="00C02553">
        <w:t xml:space="preserve"> </w:t>
      </w:r>
      <w:r>
        <w:t>CE</w:t>
      </w:r>
    </w:p>
    <w:p w14:paraId="4EA92E14" w14:textId="77777777" w:rsidR="0082238D" w:rsidRDefault="0082238D" w:rsidP="0082238D">
      <w:r w:rsidRPr="00696E3A">
        <w:rPr>
          <w:b/>
          <w:bCs/>
        </w:rPr>
        <w:t>Default Approval Period:</w:t>
      </w:r>
      <w:r>
        <w:t xml:space="preserve"> </w:t>
      </w:r>
    </w:p>
    <w:p w14:paraId="4B59A31C" w14:textId="77777777" w:rsidR="0082238D" w:rsidRPr="00116615" w:rsidRDefault="0082238D" w:rsidP="0082238D">
      <w:pPr>
        <w:pStyle w:val="ListParagraph"/>
        <w:rPr>
          <w:b/>
          <w:bCs/>
          <w:color w:val="1F497D" w:themeColor="text2"/>
        </w:rPr>
      </w:pPr>
      <w:r w:rsidRPr="00116615">
        <w:rPr>
          <w:b/>
          <w:bCs/>
          <w:color w:val="1F497D" w:themeColor="text2"/>
        </w:rPr>
        <w:t>For documented diagnosis of chronic migraine: 4 months</w:t>
      </w:r>
    </w:p>
    <w:p w14:paraId="48D34DF3" w14:textId="77777777" w:rsidR="0082238D" w:rsidRPr="00F850A2" w:rsidRDefault="0082238D" w:rsidP="0082238D">
      <w:pPr>
        <w:pStyle w:val="ListParagraph"/>
      </w:pPr>
      <w:r w:rsidRPr="00F850A2">
        <w:t>For all other indications: 1 year</w:t>
      </w:r>
    </w:p>
    <w:p w14:paraId="6649BF8C" w14:textId="77777777" w:rsidR="00343D6B" w:rsidRPr="002C2C41" w:rsidRDefault="00343D6B" w:rsidP="00343D6B">
      <w:pPr>
        <w:rPr>
          <w:rFonts w:cs="Arial"/>
          <w:szCs w:val="20"/>
        </w:rPr>
      </w:pPr>
    </w:p>
    <w:bookmarkEnd w:id="3"/>
    <w:p w14:paraId="6413C0CF" w14:textId="530C1EC9" w:rsidR="00AE77DB" w:rsidRPr="00C02553" w:rsidRDefault="00AE77DB" w:rsidP="00343D6B">
      <w:pPr>
        <w:pStyle w:val="Heading1"/>
        <w:rPr>
          <w:lang w:val="en-US"/>
        </w:rPr>
      </w:pPr>
      <w:r w:rsidRPr="00C02553">
        <w:rPr>
          <w:lang w:val="en-US"/>
        </w:rPr>
        <w:t>References</w:t>
      </w:r>
    </w:p>
    <w:p w14:paraId="1005FCF9" w14:textId="77777777" w:rsidR="00AB1825" w:rsidRPr="006F3FB4" w:rsidRDefault="00AB1825" w:rsidP="00AB1825">
      <w:pPr>
        <w:pStyle w:val="paragraph"/>
        <w:numPr>
          <w:ilvl w:val="0"/>
          <w:numId w:val="18"/>
        </w:numPr>
        <w:spacing w:before="0" w:beforeAutospacing="0" w:after="0" w:afterAutospacing="0"/>
        <w:textAlignment w:val="baseline"/>
        <w:rPr>
          <w:rStyle w:val="normaltextrun"/>
          <w:rFonts w:cs="Arial"/>
          <w:szCs w:val="20"/>
        </w:rPr>
      </w:pPr>
      <w:r w:rsidRPr="006F3FB4">
        <w:rPr>
          <w:rStyle w:val="normaltextrun"/>
          <w:rFonts w:cs="Arial"/>
          <w:szCs w:val="20"/>
          <w:shd w:val="clear" w:color="auto" w:fill="FFFFFF"/>
        </w:rPr>
        <w:t>BOTOX</w:t>
      </w:r>
      <w:r w:rsidRPr="006F3FB4">
        <w:rPr>
          <w:rStyle w:val="normaltextrun"/>
          <w:rFonts w:cs="Arial"/>
          <w:szCs w:val="20"/>
          <w:shd w:val="clear" w:color="auto" w:fill="FFFFFF"/>
          <w:vertAlign w:val="superscript"/>
        </w:rPr>
        <w:t>®</w:t>
      </w:r>
      <w:r w:rsidRPr="006F3FB4">
        <w:rPr>
          <w:rStyle w:val="normaltextrun"/>
          <w:rFonts w:cs="Arial"/>
          <w:szCs w:val="20"/>
          <w:shd w:val="clear" w:color="auto" w:fill="FFFFFF"/>
        </w:rPr>
        <w:t xml:space="preserve"> (onabotulinumtoxinA) Injection [package insert]. </w:t>
      </w:r>
      <w:r>
        <w:rPr>
          <w:rStyle w:val="normaltextrun"/>
          <w:rFonts w:cs="Arial"/>
          <w:szCs w:val="20"/>
          <w:shd w:val="clear" w:color="auto" w:fill="FFFFFF"/>
        </w:rPr>
        <w:t>North Chicago</w:t>
      </w:r>
      <w:r w:rsidRPr="006F3FB4">
        <w:rPr>
          <w:rStyle w:val="normaltextrun"/>
          <w:rFonts w:cs="Arial"/>
          <w:szCs w:val="20"/>
          <w:shd w:val="clear" w:color="auto" w:fill="FFFFFF"/>
        </w:rPr>
        <w:t xml:space="preserve">, </w:t>
      </w:r>
      <w:r>
        <w:rPr>
          <w:rStyle w:val="normaltextrun"/>
          <w:rFonts w:cs="Arial"/>
          <w:szCs w:val="20"/>
          <w:shd w:val="clear" w:color="auto" w:fill="FFFFFF"/>
        </w:rPr>
        <w:t>IL</w:t>
      </w:r>
      <w:r w:rsidRPr="006F3FB4">
        <w:rPr>
          <w:rStyle w:val="normaltextrun"/>
          <w:rFonts w:cs="Arial"/>
          <w:szCs w:val="20"/>
          <w:shd w:val="clear" w:color="auto" w:fill="FFFFFF"/>
        </w:rPr>
        <w:t>: </w:t>
      </w:r>
      <w:r>
        <w:rPr>
          <w:rStyle w:val="normaltextrun"/>
          <w:rFonts w:cs="Arial"/>
          <w:szCs w:val="20"/>
          <w:shd w:val="clear" w:color="auto" w:fill="FFFFFF"/>
        </w:rPr>
        <w:t>AbbVie Inc.</w:t>
      </w:r>
      <w:r w:rsidRPr="006F3FB4">
        <w:rPr>
          <w:rStyle w:val="normaltextrun"/>
          <w:rFonts w:cs="Arial"/>
          <w:szCs w:val="20"/>
          <w:shd w:val="clear" w:color="auto" w:fill="FFFFFF"/>
        </w:rPr>
        <w:t>; </w:t>
      </w:r>
      <w:r>
        <w:rPr>
          <w:rStyle w:val="normaltextrun"/>
          <w:rFonts w:cs="Arial"/>
          <w:szCs w:val="20"/>
          <w:shd w:val="clear" w:color="auto" w:fill="FFFFFF"/>
        </w:rPr>
        <w:t>November</w:t>
      </w:r>
      <w:r w:rsidRPr="006F3FB4">
        <w:rPr>
          <w:rStyle w:val="normaltextrun"/>
          <w:rFonts w:cs="Arial"/>
          <w:szCs w:val="20"/>
          <w:shd w:val="clear" w:color="auto" w:fill="FFFFFF"/>
        </w:rPr>
        <w:t xml:space="preserve"> 202</w:t>
      </w:r>
      <w:r>
        <w:rPr>
          <w:rStyle w:val="normaltextrun"/>
          <w:rFonts w:cs="Arial"/>
          <w:szCs w:val="20"/>
          <w:shd w:val="clear" w:color="auto" w:fill="FFFFFF"/>
        </w:rPr>
        <w:t>3</w:t>
      </w:r>
      <w:r w:rsidRPr="006F3FB4">
        <w:rPr>
          <w:rStyle w:val="normaltextrun"/>
          <w:rFonts w:cs="Arial"/>
          <w:szCs w:val="20"/>
          <w:shd w:val="clear" w:color="auto" w:fill="FFFFFF"/>
        </w:rPr>
        <w:t>.</w:t>
      </w:r>
    </w:p>
    <w:p w14:paraId="50C69015" w14:textId="77777777" w:rsidR="00AB1825" w:rsidRPr="006F3FB4" w:rsidRDefault="00AB1825" w:rsidP="00AB1825">
      <w:pPr>
        <w:pStyle w:val="paragraph"/>
        <w:numPr>
          <w:ilvl w:val="0"/>
          <w:numId w:val="18"/>
        </w:numPr>
        <w:spacing w:before="0" w:beforeAutospacing="0" w:after="0" w:afterAutospacing="0"/>
        <w:textAlignment w:val="baseline"/>
        <w:rPr>
          <w:rFonts w:cs="Arial"/>
          <w:szCs w:val="20"/>
        </w:rPr>
      </w:pPr>
      <w:r w:rsidRPr="006F3FB4">
        <w:rPr>
          <w:rStyle w:val="normaltextrun"/>
          <w:rFonts w:cs="Arial"/>
          <w:szCs w:val="20"/>
          <w:shd w:val="clear" w:color="auto" w:fill="FFFFFF"/>
        </w:rPr>
        <w:t>DYSPORT</w:t>
      </w:r>
      <w:r w:rsidRPr="006F3FB4">
        <w:rPr>
          <w:rStyle w:val="normaltextrun"/>
          <w:rFonts w:cs="Arial"/>
          <w:szCs w:val="20"/>
          <w:shd w:val="clear" w:color="auto" w:fill="FFFFFF"/>
          <w:vertAlign w:val="superscript"/>
        </w:rPr>
        <w:t>®</w:t>
      </w:r>
      <w:r w:rsidRPr="006F3FB4">
        <w:rPr>
          <w:rStyle w:val="normaltextrun"/>
          <w:rFonts w:cs="Arial"/>
          <w:szCs w:val="20"/>
          <w:shd w:val="clear" w:color="auto" w:fill="FFFFFF"/>
        </w:rPr>
        <w:t xml:space="preserve"> (abobotulinumtoxinA) Injection [package insert]. </w:t>
      </w:r>
      <w:r>
        <w:rPr>
          <w:rStyle w:val="normaltextrun"/>
          <w:rFonts w:cs="Arial"/>
          <w:szCs w:val="20"/>
          <w:shd w:val="clear" w:color="auto" w:fill="FFFFFF"/>
        </w:rPr>
        <w:t>Cambridge, MA</w:t>
      </w:r>
      <w:r w:rsidRPr="006F3FB4">
        <w:rPr>
          <w:rStyle w:val="normaltextrun"/>
          <w:rFonts w:cs="Arial"/>
          <w:szCs w:val="20"/>
          <w:shd w:val="clear" w:color="auto" w:fill="FFFFFF"/>
        </w:rPr>
        <w:t>: Ipsen Biopharmaceuticals, Inc.; </w:t>
      </w:r>
      <w:r>
        <w:rPr>
          <w:rStyle w:val="normaltextrun"/>
          <w:rFonts w:cs="Arial"/>
          <w:szCs w:val="20"/>
          <w:shd w:val="clear" w:color="auto" w:fill="FFFFFF"/>
        </w:rPr>
        <w:t>September</w:t>
      </w:r>
      <w:r w:rsidRPr="006F3FB4">
        <w:rPr>
          <w:rStyle w:val="normaltextrun"/>
          <w:rFonts w:cs="Arial"/>
          <w:szCs w:val="20"/>
          <w:shd w:val="clear" w:color="auto" w:fill="FFFFFF"/>
        </w:rPr>
        <w:t xml:space="preserve"> 202</w:t>
      </w:r>
      <w:r>
        <w:rPr>
          <w:rStyle w:val="normaltextrun"/>
          <w:rFonts w:cs="Arial"/>
          <w:szCs w:val="20"/>
          <w:shd w:val="clear" w:color="auto" w:fill="FFFFFF"/>
        </w:rPr>
        <w:t>3</w:t>
      </w:r>
      <w:r w:rsidRPr="006F3FB4">
        <w:rPr>
          <w:rStyle w:val="normaltextrun"/>
          <w:rFonts w:cs="Arial"/>
          <w:szCs w:val="20"/>
          <w:shd w:val="clear" w:color="auto" w:fill="FFFFFF"/>
        </w:rPr>
        <w:t>.</w:t>
      </w:r>
    </w:p>
    <w:p w14:paraId="6C92553C" w14:textId="77777777" w:rsidR="00AB1825" w:rsidRPr="006F3FB4" w:rsidRDefault="00AB1825" w:rsidP="00AB1825">
      <w:pPr>
        <w:pStyle w:val="paragraph"/>
        <w:numPr>
          <w:ilvl w:val="0"/>
          <w:numId w:val="18"/>
        </w:numPr>
        <w:spacing w:before="0" w:beforeAutospacing="0" w:after="0" w:afterAutospacing="0"/>
        <w:textAlignment w:val="baseline"/>
        <w:rPr>
          <w:rFonts w:cs="Arial"/>
          <w:szCs w:val="20"/>
        </w:rPr>
      </w:pPr>
      <w:r w:rsidRPr="006F3FB4">
        <w:rPr>
          <w:rStyle w:val="normaltextrun"/>
          <w:rFonts w:cs="Arial"/>
          <w:caps/>
          <w:szCs w:val="20"/>
          <w:shd w:val="clear" w:color="auto" w:fill="FFFFFF"/>
        </w:rPr>
        <w:t>Myobloc</w:t>
      </w:r>
      <w:r w:rsidRPr="006F3FB4">
        <w:rPr>
          <w:rStyle w:val="normaltextrun"/>
          <w:rFonts w:cs="Arial"/>
          <w:szCs w:val="20"/>
          <w:shd w:val="clear" w:color="auto" w:fill="FFFFFF"/>
          <w:vertAlign w:val="superscript"/>
        </w:rPr>
        <w:t>®</w:t>
      </w:r>
      <w:r w:rsidRPr="006F3FB4">
        <w:rPr>
          <w:rStyle w:val="normaltextrun"/>
          <w:rFonts w:cs="Arial"/>
          <w:szCs w:val="20"/>
          <w:shd w:val="clear" w:color="auto" w:fill="FFFFFF"/>
        </w:rPr>
        <w:t xml:space="preserve"> (rimabotulinumtoxinB) Injection [package insert]. </w:t>
      </w:r>
      <w:r>
        <w:rPr>
          <w:rStyle w:val="normaltextrun"/>
          <w:rFonts w:cs="Arial"/>
          <w:szCs w:val="20"/>
          <w:shd w:val="clear" w:color="auto" w:fill="FFFFFF"/>
        </w:rPr>
        <w:t>Rockville, MN</w:t>
      </w:r>
      <w:r w:rsidRPr="006F3FB4">
        <w:rPr>
          <w:rStyle w:val="normaltextrun"/>
          <w:rFonts w:cs="Arial"/>
          <w:szCs w:val="20"/>
          <w:shd w:val="clear" w:color="auto" w:fill="FFFFFF"/>
        </w:rPr>
        <w:t xml:space="preserve">: Solstice Neurosciences, </w:t>
      </w:r>
      <w:r>
        <w:rPr>
          <w:rStyle w:val="normaltextrun"/>
          <w:rFonts w:cs="Arial"/>
          <w:szCs w:val="20"/>
          <w:shd w:val="clear" w:color="auto" w:fill="FFFFFF"/>
        </w:rPr>
        <w:t>LLC</w:t>
      </w:r>
      <w:r w:rsidRPr="006F3FB4">
        <w:rPr>
          <w:rStyle w:val="normaltextrun"/>
          <w:rFonts w:cs="Arial"/>
          <w:szCs w:val="20"/>
          <w:shd w:val="clear" w:color="auto" w:fill="FFFFFF"/>
        </w:rPr>
        <w:t>; March 2021.</w:t>
      </w:r>
    </w:p>
    <w:p w14:paraId="44DCD64F" w14:textId="77777777" w:rsidR="00AB1825" w:rsidRPr="00704866" w:rsidRDefault="00AB1825" w:rsidP="00AB1825">
      <w:pPr>
        <w:pStyle w:val="paragraph"/>
        <w:numPr>
          <w:ilvl w:val="0"/>
          <w:numId w:val="18"/>
        </w:numPr>
        <w:spacing w:before="0" w:beforeAutospacing="0" w:after="0" w:afterAutospacing="0"/>
        <w:textAlignment w:val="baseline"/>
        <w:rPr>
          <w:rStyle w:val="normaltextrun"/>
          <w:rFonts w:cs="Arial"/>
          <w:szCs w:val="20"/>
        </w:rPr>
      </w:pPr>
      <w:r w:rsidRPr="006F3FB4">
        <w:rPr>
          <w:rStyle w:val="normaltextrun"/>
          <w:rFonts w:cs="Arial"/>
          <w:szCs w:val="20"/>
          <w:shd w:val="clear" w:color="auto" w:fill="FFFFFF"/>
        </w:rPr>
        <w:t>XEOMIN</w:t>
      </w:r>
      <w:r w:rsidRPr="006F3FB4">
        <w:rPr>
          <w:rStyle w:val="normaltextrun"/>
          <w:rFonts w:cs="Arial"/>
          <w:szCs w:val="20"/>
          <w:shd w:val="clear" w:color="auto" w:fill="FFFFFF"/>
          <w:vertAlign w:val="superscript"/>
        </w:rPr>
        <w:t>®</w:t>
      </w:r>
      <w:r w:rsidRPr="006F3FB4">
        <w:rPr>
          <w:rStyle w:val="normaltextrun"/>
          <w:rFonts w:cs="Arial"/>
          <w:szCs w:val="20"/>
          <w:shd w:val="clear" w:color="auto" w:fill="FFFFFF"/>
        </w:rPr>
        <w:t xml:space="preserve"> (incobotulinumtoxinA) Injection [package insert]. Franksville, WI: Merz </w:t>
      </w:r>
      <w:r>
        <w:rPr>
          <w:rStyle w:val="normaltextrun"/>
          <w:rFonts w:cs="Arial"/>
          <w:szCs w:val="20"/>
          <w:shd w:val="clear" w:color="auto" w:fill="FFFFFF"/>
        </w:rPr>
        <w:t>North America</w:t>
      </w:r>
      <w:r w:rsidRPr="006F3FB4">
        <w:rPr>
          <w:rStyle w:val="normaltextrun"/>
          <w:rFonts w:cs="Arial"/>
          <w:szCs w:val="20"/>
          <w:shd w:val="clear" w:color="auto" w:fill="FFFFFF"/>
        </w:rPr>
        <w:t xml:space="preserve">, </w:t>
      </w:r>
      <w:r>
        <w:rPr>
          <w:rStyle w:val="normaltextrun"/>
          <w:rFonts w:cs="Arial"/>
          <w:szCs w:val="20"/>
          <w:shd w:val="clear" w:color="auto" w:fill="FFFFFF"/>
        </w:rPr>
        <w:t>Inc.</w:t>
      </w:r>
      <w:r w:rsidRPr="006F3FB4">
        <w:rPr>
          <w:rStyle w:val="normaltextrun"/>
          <w:rFonts w:cs="Arial"/>
          <w:szCs w:val="20"/>
          <w:shd w:val="clear" w:color="auto" w:fill="FFFFFF"/>
        </w:rPr>
        <w:t xml:space="preserve">; </w:t>
      </w:r>
      <w:r>
        <w:rPr>
          <w:rStyle w:val="normaltextrun"/>
          <w:rFonts w:cs="Arial"/>
          <w:szCs w:val="20"/>
          <w:shd w:val="clear" w:color="auto" w:fill="FFFFFF"/>
        </w:rPr>
        <w:t>July</w:t>
      </w:r>
      <w:r w:rsidRPr="006F3FB4">
        <w:rPr>
          <w:rStyle w:val="normaltextrun"/>
          <w:rFonts w:cs="Arial"/>
          <w:szCs w:val="20"/>
          <w:shd w:val="clear" w:color="auto" w:fill="FFFFFF"/>
        </w:rPr>
        <w:t xml:space="preserve"> 202</w:t>
      </w:r>
      <w:r>
        <w:rPr>
          <w:rStyle w:val="normaltextrun"/>
          <w:rFonts w:cs="Arial"/>
          <w:szCs w:val="20"/>
          <w:shd w:val="clear" w:color="auto" w:fill="FFFFFF"/>
        </w:rPr>
        <w:t>4</w:t>
      </w:r>
      <w:r w:rsidRPr="006F3FB4">
        <w:rPr>
          <w:rStyle w:val="normaltextrun"/>
          <w:rFonts w:cs="Arial"/>
          <w:szCs w:val="20"/>
          <w:shd w:val="clear" w:color="auto" w:fill="FFFFFF"/>
        </w:rPr>
        <w:t>.</w:t>
      </w:r>
    </w:p>
    <w:p w14:paraId="671663BF" w14:textId="77777777" w:rsidR="00AB1825" w:rsidRPr="006F3FB4" w:rsidRDefault="00AB1825" w:rsidP="00AB1825">
      <w:pPr>
        <w:pStyle w:val="paragraph"/>
        <w:numPr>
          <w:ilvl w:val="0"/>
          <w:numId w:val="18"/>
        </w:numPr>
        <w:spacing w:before="0" w:beforeAutospacing="0" w:after="0" w:afterAutospacing="0"/>
        <w:textAlignment w:val="baseline"/>
        <w:rPr>
          <w:rStyle w:val="normaltextrun"/>
          <w:rFonts w:cs="Arial"/>
          <w:szCs w:val="20"/>
        </w:rPr>
      </w:pPr>
      <w:r>
        <w:rPr>
          <w:rStyle w:val="normaltextrun"/>
          <w:rFonts w:cs="Arial"/>
          <w:szCs w:val="20"/>
          <w:shd w:val="clear" w:color="auto" w:fill="FFFFFF"/>
        </w:rPr>
        <w:t>DAXXIFY</w:t>
      </w:r>
      <w:r w:rsidRPr="006F3FB4">
        <w:rPr>
          <w:rStyle w:val="normaltextrun"/>
          <w:rFonts w:cs="Arial"/>
          <w:szCs w:val="20"/>
          <w:shd w:val="clear" w:color="auto" w:fill="FFFFFF"/>
          <w:vertAlign w:val="superscript"/>
        </w:rPr>
        <w:t>®</w:t>
      </w:r>
      <w:r>
        <w:rPr>
          <w:rStyle w:val="normaltextrun"/>
          <w:rFonts w:cs="Arial"/>
          <w:szCs w:val="20"/>
          <w:shd w:val="clear" w:color="auto" w:fill="FFFFFF"/>
          <w:vertAlign w:val="superscript"/>
        </w:rPr>
        <w:t xml:space="preserve"> </w:t>
      </w:r>
      <w:r>
        <w:rPr>
          <w:rStyle w:val="normaltextrun"/>
          <w:rFonts w:cs="Arial"/>
          <w:szCs w:val="20"/>
          <w:shd w:val="clear" w:color="auto" w:fill="FFFFFF"/>
        </w:rPr>
        <w:t>(daxibotulinumtoxinA-lanm) Injection [package insert]. Newark, CA: Revance Therapeutics, Inc.; November 2023.</w:t>
      </w:r>
    </w:p>
    <w:p w14:paraId="60FD886D" w14:textId="77777777" w:rsidR="00AB1825" w:rsidRPr="006F3FB4" w:rsidRDefault="00AB1825" w:rsidP="00AB1825">
      <w:pPr>
        <w:pStyle w:val="paragraph"/>
        <w:numPr>
          <w:ilvl w:val="0"/>
          <w:numId w:val="18"/>
        </w:numPr>
        <w:spacing w:before="0" w:beforeAutospacing="0" w:after="0" w:afterAutospacing="0"/>
        <w:textAlignment w:val="baseline"/>
        <w:rPr>
          <w:rFonts w:cs="Arial"/>
          <w:szCs w:val="20"/>
        </w:rPr>
      </w:pPr>
      <w:r w:rsidRPr="006F3FB4">
        <w:rPr>
          <w:rFonts w:cs="Arial"/>
          <w:szCs w:val="20"/>
        </w:rPr>
        <w:t>IPD Analytics. IPD Rx Insights - Botulinum Toxin Management. April 2017.</w:t>
      </w:r>
    </w:p>
    <w:p w14:paraId="7967A8F7" w14:textId="77777777" w:rsidR="00AB1825" w:rsidRPr="006F3FB4" w:rsidRDefault="00AB1825" w:rsidP="00AB1825">
      <w:pPr>
        <w:pStyle w:val="paragraph"/>
        <w:numPr>
          <w:ilvl w:val="0"/>
          <w:numId w:val="18"/>
        </w:numPr>
        <w:spacing w:before="0" w:beforeAutospacing="0" w:after="0" w:afterAutospacing="0"/>
        <w:textAlignment w:val="baseline"/>
        <w:rPr>
          <w:rFonts w:cs="Arial"/>
          <w:szCs w:val="20"/>
        </w:rPr>
      </w:pPr>
      <w:r w:rsidRPr="006F3FB4">
        <w:rPr>
          <w:rFonts w:cs="Arial"/>
          <w:szCs w:val="20"/>
        </w:rPr>
        <w:t xml:space="preserve">IPD Analytics.  Dermatology: Botulinum Toxin.  Accessed </w:t>
      </w:r>
      <w:r>
        <w:rPr>
          <w:rFonts w:cs="Arial"/>
          <w:szCs w:val="20"/>
        </w:rPr>
        <w:t>November 8, 2025</w:t>
      </w:r>
      <w:r w:rsidRPr="006F3FB4">
        <w:rPr>
          <w:rFonts w:cs="Arial"/>
          <w:szCs w:val="20"/>
        </w:rPr>
        <w:t>.</w:t>
      </w:r>
    </w:p>
    <w:p w14:paraId="3FA1E7DB" w14:textId="53E19460" w:rsidR="00777CA4" w:rsidRDefault="00777CA4" w:rsidP="00AB1825">
      <w:pPr>
        <w:pStyle w:val="ListParagraph"/>
        <w:numPr>
          <w:ilvl w:val="0"/>
          <w:numId w:val="0"/>
        </w:numPr>
        <w:ind w:left="360"/>
      </w:pPr>
    </w:p>
    <w:sectPr w:rsidR="00777CA4" w:rsidSect="00AB0B9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09B68" w14:textId="77777777" w:rsidR="00941A5F" w:rsidRPr="00C02553" w:rsidRDefault="00941A5F" w:rsidP="00AE77DB">
      <w:r w:rsidRPr="00C02553">
        <w:separator/>
      </w:r>
    </w:p>
  </w:endnote>
  <w:endnote w:type="continuationSeparator" w:id="0">
    <w:p w14:paraId="21D196B0" w14:textId="77777777" w:rsidR="00941A5F" w:rsidRPr="00C02553" w:rsidRDefault="00941A5F" w:rsidP="00AE77DB">
      <w:r w:rsidRPr="00C02553">
        <w:continuationSeparator/>
      </w:r>
    </w:p>
  </w:endnote>
  <w:endnote w:type="continuationNotice" w:id="1">
    <w:p w14:paraId="7A58EB10" w14:textId="77777777" w:rsidR="00941A5F" w:rsidRPr="00C02553" w:rsidRDefault="00941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r w:rsidRPr="00C02553">
      <w:rPr>
        <w:rFonts w:cs="Arial"/>
        <w:sz w:val="16"/>
        <w:szCs w:val="16"/>
      </w:rPr>
      <w:t xml:space="preserve">SmartPA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r w:rsidRPr="00C02553">
      <w:rPr>
        <w:rFonts w:cs="Arial"/>
        <w:sz w:val="16"/>
        <w:szCs w:val="16"/>
      </w:rPr>
      <w:t>SmartPA</w:t>
    </w:r>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FD92F" w14:textId="77777777" w:rsidR="00941A5F" w:rsidRPr="00C02553" w:rsidRDefault="00941A5F" w:rsidP="00AE77DB">
      <w:r w:rsidRPr="00C02553">
        <w:separator/>
      </w:r>
    </w:p>
  </w:footnote>
  <w:footnote w:type="continuationSeparator" w:id="0">
    <w:p w14:paraId="4400962F" w14:textId="77777777" w:rsidR="00941A5F" w:rsidRPr="00C02553" w:rsidRDefault="00941A5F" w:rsidP="00AE77DB">
      <w:r w:rsidRPr="00C02553">
        <w:continuationSeparator/>
      </w:r>
    </w:p>
  </w:footnote>
  <w:footnote w:type="continuationNotice" w:id="1">
    <w:p w14:paraId="2369D1B0" w14:textId="77777777" w:rsidR="00941A5F" w:rsidRPr="00C02553" w:rsidRDefault="00941A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480AC806" w:rsidR="00006A61" w:rsidRPr="00C02553" w:rsidRDefault="00006A61">
    <w:pPr>
      <w:pStyle w:val="Head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60A86C96" w:rsidR="00596936" w:rsidRDefault="005969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33CC84AE" w:rsidR="00006A61" w:rsidRPr="00C02553" w:rsidRDefault="00AB0B9F">
    <w:pPr>
      <w:pStyle w:val="Header"/>
      <w:rPr>
        <w:rFonts w:ascii="Times New Roman" w:hAnsi="Times New Roman"/>
      </w:rPr>
    </w:pPr>
    <w:r w:rsidRPr="00C02553">
      <w:rPr>
        <w:noProof/>
      </w:rPr>
      <w:drawing>
        <wp:anchor distT="0" distB="0" distL="114300" distR="114300" simplePos="0" relativeHeight="251670528"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xmlns:arto="http://schemas.microsoft.com/office/word/2006/arto"/>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1893293"/>
    <w:multiLevelType w:val="hybridMultilevel"/>
    <w:tmpl w:val="CBBA2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055EEC"/>
    <w:multiLevelType w:val="hybridMultilevel"/>
    <w:tmpl w:val="2D0443D8"/>
    <w:lvl w:ilvl="0" w:tplc="E91A3DF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3F74CDA4">
      <w:start w:val="1"/>
      <w:numFmt w:val="bullet"/>
      <w:lvlText w:val=""/>
      <w:lvlJc w:val="left"/>
      <w:pPr>
        <w:ind w:left="108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064CF6"/>
    <w:multiLevelType w:val="hybridMultilevel"/>
    <w:tmpl w:val="59963F4A"/>
    <w:lvl w:ilvl="0" w:tplc="04090001">
      <w:start w:val="1"/>
      <w:numFmt w:val="bullet"/>
      <w:lvlText w:val=""/>
      <w:lvlJc w:val="left"/>
      <w:pPr>
        <w:ind w:left="360" w:hanging="360"/>
      </w:pPr>
      <w:rPr>
        <w:rFonts w:ascii="Symbol" w:hAnsi="Symbol" w:hint="default"/>
      </w:rPr>
    </w:lvl>
    <w:lvl w:ilvl="1" w:tplc="8752BD54">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7"/>
  </w:num>
  <w:num w:numId="3" w16cid:durableId="1729067566">
    <w:abstractNumId w:val="4"/>
  </w:num>
  <w:num w:numId="4" w16cid:durableId="320159068">
    <w:abstractNumId w:val="9"/>
  </w:num>
  <w:num w:numId="5" w16cid:durableId="1769498754">
    <w:abstractNumId w:val="3"/>
  </w:num>
  <w:num w:numId="6" w16cid:durableId="1094596320">
    <w:abstractNumId w:val="14"/>
  </w:num>
  <w:num w:numId="7" w16cid:durableId="2110008555">
    <w:abstractNumId w:val="2"/>
  </w:num>
  <w:num w:numId="8" w16cid:durableId="489712751">
    <w:abstractNumId w:val="7"/>
  </w:num>
  <w:num w:numId="9" w16cid:durableId="1085147965">
    <w:abstractNumId w:val="11"/>
  </w:num>
  <w:num w:numId="10" w16cid:durableId="917518096">
    <w:abstractNumId w:val="10"/>
  </w:num>
  <w:num w:numId="11" w16cid:durableId="1894998475">
    <w:abstractNumId w:val="1"/>
  </w:num>
  <w:num w:numId="12" w16cid:durableId="1418215296">
    <w:abstractNumId w:val="15"/>
  </w:num>
  <w:num w:numId="13" w16cid:durableId="604729665">
    <w:abstractNumId w:val="5"/>
  </w:num>
  <w:num w:numId="14" w16cid:durableId="1805081292">
    <w:abstractNumId w:val="12"/>
  </w:num>
  <w:num w:numId="15" w16cid:durableId="1911186802">
    <w:abstractNumId w:val="6"/>
  </w:num>
  <w:num w:numId="16" w16cid:durableId="1200625093">
    <w:abstractNumId w:val="13"/>
  </w:num>
  <w:num w:numId="17" w16cid:durableId="795412276">
    <w:abstractNumId w:val="16"/>
  </w:num>
  <w:num w:numId="18" w16cid:durableId="31060407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rP46/WgpqB6+sYcL2YNxHWBRSFOg2XJsdF2c2uGtDbe5LJYSeDVYMroyY4RRwNv3FqqYIC2/QUjdXPm1iB5RZg==" w:salt="hRP9jr75hogl3jJp7d4/OQ=="/>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117DC"/>
    <w:rsid w:val="00017CBA"/>
    <w:rsid w:val="000276D9"/>
    <w:rsid w:val="000344C5"/>
    <w:rsid w:val="00040AD3"/>
    <w:rsid w:val="00053807"/>
    <w:rsid w:val="000572E5"/>
    <w:rsid w:val="00061541"/>
    <w:rsid w:val="00064162"/>
    <w:rsid w:val="00065C22"/>
    <w:rsid w:val="00074464"/>
    <w:rsid w:val="00076030"/>
    <w:rsid w:val="000764D6"/>
    <w:rsid w:val="00082590"/>
    <w:rsid w:val="000913C3"/>
    <w:rsid w:val="000953B9"/>
    <w:rsid w:val="000A2D17"/>
    <w:rsid w:val="000A413B"/>
    <w:rsid w:val="000A6279"/>
    <w:rsid w:val="000B496B"/>
    <w:rsid w:val="000C3940"/>
    <w:rsid w:val="000C5992"/>
    <w:rsid w:val="000D3C85"/>
    <w:rsid w:val="000E1479"/>
    <w:rsid w:val="000E231E"/>
    <w:rsid w:val="000E247D"/>
    <w:rsid w:val="000E6B14"/>
    <w:rsid w:val="000E70D8"/>
    <w:rsid w:val="001062F6"/>
    <w:rsid w:val="00112FC7"/>
    <w:rsid w:val="00116615"/>
    <w:rsid w:val="00125F5F"/>
    <w:rsid w:val="00126951"/>
    <w:rsid w:val="00126B60"/>
    <w:rsid w:val="00127EF6"/>
    <w:rsid w:val="001310AD"/>
    <w:rsid w:val="001314A5"/>
    <w:rsid w:val="00132C7F"/>
    <w:rsid w:val="00132D24"/>
    <w:rsid w:val="00143A11"/>
    <w:rsid w:val="00144DBE"/>
    <w:rsid w:val="00152C8B"/>
    <w:rsid w:val="001530C9"/>
    <w:rsid w:val="0015636A"/>
    <w:rsid w:val="0017006E"/>
    <w:rsid w:val="00172053"/>
    <w:rsid w:val="00177A80"/>
    <w:rsid w:val="001808B8"/>
    <w:rsid w:val="001A50CB"/>
    <w:rsid w:val="001A74B7"/>
    <w:rsid w:val="001B2D47"/>
    <w:rsid w:val="001B5F66"/>
    <w:rsid w:val="001C0250"/>
    <w:rsid w:val="001C6DA4"/>
    <w:rsid w:val="001C73B1"/>
    <w:rsid w:val="001D1E7D"/>
    <w:rsid w:val="001D6567"/>
    <w:rsid w:val="001E2CCB"/>
    <w:rsid w:val="001E4CBA"/>
    <w:rsid w:val="001E523C"/>
    <w:rsid w:val="001E61DF"/>
    <w:rsid w:val="001F2B9F"/>
    <w:rsid w:val="001F3A35"/>
    <w:rsid w:val="001F5954"/>
    <w:rsid w:val="00202DD3"/>
    <w:rsid w:val="0020649A"/>
    <w:rsid w:val="00206E7D"/>
    <w:rsid w:val="00217E14"/>
    <w:rsid w:val="00217EFD"/>
    <w:rsid w:val="00222134"/>
    <w:rsid w:val="0022233F"/>
    <w:rsid w:val="00226275"/>
    <w:rsid w:val="00246564"/>
    <w:rsid w:val="00246A3B"/>
    <w:rsid w:val="00250FBF"/>
    <w:rsid w:val="00255404"/>
    <w:rsid w:val="0025594F"/>
    <w:rsid w:val="00270C5E"/>
    <w:rsid w:val="00290A03"/>
    <w:rsid w:val="0029159A"/>
    <w:rsid w:val="00291600"/>
    <w:rsid w:val="002A02F4"/>
    <w:rsid w:val="002B6AE8"/>
    <w:rsid w:val="002C2C41"/>
    <w:rsid w:val="002C62E7"/>
    <w:rsid w:val="002E05E2"/>
    <w:rsid w:val="002E2DD6"/>
    <w:rsid w:val="002E3F28"/>
    <w:rsid w:val="002F0E52"/>
    <w:rsid w:val="002F2274"/>
    <w:rsid w:val="002F2405"/>
    <w:rsid w:val="002F690F"/>
    <w:rsid w:val="0030301F"/>
    <w:rsid w:val="00303B21"/>
    <w:rsid w:val="003105A5"/>
    <w:rsid w:val="00313701"/>
    <w:rsid w:val="00314430"/>
    <w:rsid w:val="00316188"/>
    <w:rsid w:val="003171AF"/>
    <w:rsid w:val="00317469"/>
    <w:rsid w:val="0032215C"/>
    <w:rsid w:val="0032616B"/>
    <w:rsid w:val="00326687"/>
    <w:rsid w:val="003275F9"/>
    <w:rsid w:val="00330DD4"/>
    <w:rsid w:val="003345D2"/>
    <w:rsid w:val="003355AC"/>
    <w:rsid w:val="00343D6B"/>
    <w:rsid w:val="00346090"/>
    <w:rsid w:val="00347FB5"/>
    <w:rsid w:val="00350EA1"/>
    <w:rsid w:val="00355515"/>
    <w:rsid w:val="003608B5"/>
    <w:rsid w:val="003613AF"/>
    <w:rsid w:val="003805DC"/>
    <w:rsid w:val="003878C1"/>
    <w:rsid w:val="00396C0B"/>
    <w:rsid w:val="003A630F"/>
    <w:rsid w:val="003B161E"/>
    <w:rsid w:val="003B3958"/>
    <w:rsid w:val="003B4820"/>
    <w:rsid w:val="003B5F4B"/>
    <w:rsid w:val="003B682F"/>
    <w:rsid w:val="003C53FC"/>
    <w:rsid w:val="003C7013"/>
    <w:rsid w:val="003D4704"/>
    <w:rsid w:val="003D641B"/>
    <w:rsid w:val="003F227C"/>
    <w:rsid w:val="004023CC"/>
    <w:rsid w:val="00407564"/>
    <w:rsid w:val="00411152"/>
    <w:rsid w:val="004156AA"/>
    <w:rsid w:val="0042172C"/>
    <w:rsid w:val="004253A1"/>
    <w:rsid w:val="004313B6"/>
    <w:rsid w:val="00433339"/>
    <w:rsid w:val="00434698"/>
    <w:rsid w:val="00446BBC"/>
    <w:rsid w:val="004472C0"/>
    <w:rsid w:val="00450705"/>
    <w:rsid w:val="00451928"/>
    <w:rsid w:val="004540E3"/>
    <w:rsid w:val="00460B5D"/>
    <w:rsid w:val="00465CA5"/>
    <w:rsid w:val="0046618B"/>
    <w:rsid w:val="0048608C"/>
    <w:rsid w:val="00496E57"/>
    <w:rsid w:val="004B3E10"/>
    <w:rsid w:val="004B6E00"/>
    <w:rsid w:val="004C0F5D"/>
    <w:rsid w:val="004C2B30"/>
    <w:rsid w:val="004C375A"/>
    <w:rsid w:val="004C3F40"/>
    <w:rsid w:val="004C4954"/>
    <w:rsid w:val="004C5767"/>
    <w:rsid w:val="004D0080"/>
    <w:rsid w:val="004D5322"/>
    <w:rsid w:val="004D78B0"/>
    <w:rsid w:val="004E611F"/>
    <w:rsid w:val="004F2A79"/>
    <w:rsid w:val="004F4D37"/>
    <w:rsid w:val="004F7FEA"/>
    <w:rsid w:val="00501A14"/>
    <w:rsid w:val="00501DE3"/>
    <w:rsid w:val="005058CB"/>
    <w:rsid w:val="0051044D"/>
    <w:rsid w:val="005139E4"/>
    <w:rsid w:val="00515075"/>
    <w:rsid w:val="00516D12"/>
    <w:rsid w:val="00520FE9"/>
    <w:rsid w:val="005233E7"/>
    <w:rsid w:val="00526C8D"/>
    <w:rsid w:val="005328B2"/>
    <w:rsid w:val="00535BD5"/>
    <w:rsid w:val="00540977"/>
    <w:rsid w:val="00551668"/>
    <w:rsid w:val="005572D5"/>
    <w:rsid w:val="00566BE4"/>
    <w:rsid w:val="00570D21"/>
    <w:rsid w:val="00576113"/>
    <w:rsid w:val="00585B8E"/>
    <w:rsid w:val="00590652"/>
    <w:rsid w:val="0059235F"/>
    <w:rsid w:val="00596936"/>
    <w:rsid w:val="005A2F1E"/>
    <w:rsid w:val="005A4232"/>
    <w:rsid w:val="005B186F"/>
    <w:rsid w:val="005C3616"/>
    <w:rsid w:val="005D36B2"/>
    <w:rsid w:val="005D52E7"/>
    <w:rsid w:val="005D78B5"/>
    <w:rsid w:val="005E3572"/>
    <w:rsid w:val="005E45E4"/>
    <w:rsid w:val="005F0A81"/>
    <w:rsid w:val="005F0FCF"/>
    <w:rsid w:val="005F34BE"/>
    <w:rsid w:val="005F6104"/>
    <w:rsid w:val="006000C9"/>
    <w:rsid w:val="0060042F"/>
    <w:rsid w:val="006008BC"/>
    <w:rsid w:val="00600C09"/>
    <w:rsid w:val="00602CFD"/>
    <w:rsid w:val="00606B55"/>
    <w:rsid w:val="00607C54"/>
    <w:rsid w:val="00612A7B"/>
    <w:rsid w:val="00616E5E"/>
    <w:rsid w:val="006173A4"/>
    <w:rsid w:val="006205AD"/>
    <w:rsid w:val="00625C3A"/>
    <w:rsid w:val="00635DDB"/>
    <w:rsid w:val="0064149A"/>
    <w:rsid w:val="00646DFE"/>
    <w:rsid w:val="00650530"/>
    <w:rsid w:val="00650C96"/>
    <w:rsid w:val="00653788"/>
    <w:rsid w:val="0065477F"/>
    <w:rsid w:val="006560B3"/>
    <w:rsid w:val="00656896"/>
    <w:rsid w:val="00661656"/>
    <w:rsid w:val="0066374F"/>
    <w:rsid w:val="00677C65"/>
    <w:rsid w:val="00687EBC"/>
    <w:rsid w:val="00693152"/>
    <w:rsid w:val="00694FAE"/>
    <w:rsid w:val="00696E3A"/>
    <w:rsid w:val="006A0834"/>
    <w:rsid w:val="006A4BBD"/>
    <w:rsid w:val="006A52F1"/>
    <w:rsid w:val="006B561D"/>
    <w:rsid w:val="006B6D5D"/>
    <w:rsid w:val="006C789C"/>
    <w:rsid w:val="006D2330"/>
    <w:rsid w:val="006E0F8B"/>
    <w:rsid w:val="006E12F7"/>
    <w:rsid w:val="006E29D7"/>
    <w:rsid w:val="007068A4"/>
    <w:rsid w:val="00706D67"/>
    <w:rsid w:val="00713052"/>
    <w:rsid w:val="00721367"/>
    <w:rsid w:val="007231FA"/>
    <w:rsid w:val="00732C67"/>
    <w:rsid w:val="00734418"/>
    <w:rsid w:val="007362CC"/>
    <w:rsid w:val="00757826"/>
    <w:rsid w:val="00762B13"/>
    <w:rsid w:val="007632B7"/>
    <w:rsid w:val="0076382F"/>
    <w:rsid w:val="00765768"/>
    <w:rsid w:val="00765D10"/>
    <w:rsid w:val="00765DD5"/>
    <w:rsid w:val="00766AC8"/>
    <w:rsid w:val="00767486"/>
    <w:rsid w:val="0077070E"/>
    <w:rsid w:val="0077296A"/>
    <w:rsid w:val="00777CA4"/>
    <w:rsid w:val="00792DF0"/>
    <w:rsid w:val="0079438F"/>
    <w:rsid w:val="00796D25"/>
    <w:rsid w:val="007A3034"/>
    <w:rsid w:val="007A43F8"/>
    <w:rsid w:val="007A527E"/>
    <w:rsid w:val="007A53E7"/>
    <w:rsid w:val="007A78F7"/>
    <w:rsid w:val="007B3333"/>
    <w:rsid w:val="007B379F"/>
    <w:rsid w:val="007B37D6"/>
    <w:rsid w:val="007B5D30"/>
    <w:rsid w:val="007C64E9"/>
    <w:rsid w:val="007D2920"/>
    <w:rsid w:val="007D42DD"/>
    <w:rsid w:val="007E6A37"/>
    <w:rsid w:val="007F1774"/>
    <w:rsid w:val="007F593C"/>
    <w:rsid w:val="00800964"/>
    <w:rsid w:val="00811A70"/>
    <w:rsid w:val="008120CC"/>
    <w:rsid w:val="0081406E"/>
    <w:rsid w:val="00814813"/>
    <w:rsid w:val="0082238D"/>
    <w:rsid w:val="00824254"/>
    <w:rsid w:val="00832211"/>
    <w:rsid w:val="008325F4"/>
    <w:rsid w:val="00832AC8"/>
    <w:rsid w:val="00846FA4"/>
    <w:rsid w:val="008524BA"/>
    <w:rsid w:val="00852B74"/>
    <w:rsid w:val="00856928"/>
    <w:rsid w:val="00865538"/>
    <w:rsid w:val="00870875"/>
    <w:rsid w:val="0088225C"/>
    <w:rsid w:val="00884026"/>
    <w:rsid w:val="00884C78"/>
    <w:rsid w:val="008859E1"/>
    <w:rsid w:val="00896264"/>
    <w:rsid w:val="008A2549"/>
    <w:rsid w:val="008A3838"/>
    <w:rsid w:val="008A5D88"/>
    <w:rsid w:val="008B2851"/>
    <w:rsid w:val="008C000E"/>
    <w:rsid w:val="008D0F2F"/>
    <w:rsid w:val="008D237F"/>
    <w:rsid w:val="008D3FD8"/>
    <w:rsid w:val="008D6B05"/>
    <w:rsid w:val="008D78FC"/>
    <w:rsid w:val="008E7D2D"/>
    <w:rsid w:val="008F44C0"/>
    <w:rsid w:val="008F5265"/>
    <w:rsid w:val="008F5999"/>
    <w:rsid w:val="00903AD6"/>
    <w:rsid w:val="00904D7A"/>
    <w:rsid w:val="00906245"/>
    <w:rsid w:val="00910A51"/>
    <w:rsid w:val="00914BFB"/>
    <w:rsid w:val="00915332"/>
    <w:rsid w:val="009204BB"/>
    <w:rsid w:val="00935918"/>
    <w:rsid w:val="00935EC3"/>
    <w:rsid w:val="00936A65"/>
    <w:rsid w:val="00941A5F"/>
    <w:rsid w:val="00951097"/>
    <w:rsid w:val="00953C1E"/>
    <w:rsid w:val="0096210F"/>
    <w:rsid w:val="00962633"/>
    <w:rsid w:val="00963187"/>
    <w:rsid w:val="00963ACF"/>
    <w:rsid w:val="00963D1C"/>
    <w:rsid w:val="00964284"/>
    <w:rsid w:val="0097028A"/>
    <w:rsid w:val="00973BD6"/>
    <w:rsid w:val="00984549"/>
    <w:rsid w:val="00985D28"/>
    <w:rsid w:val="009878C4"/>
    <w:rsid w:val="00991BF0"/>
    <w:rsid w:val="00992EA3"/>
    <w:rsid w:val="009A0FB1"/>
    <w:rsid w:val="009A1FAC"/>
    <w:rsid w:val="009B001A"/>
    <w:rsid w:val="009B1A62"/>
    <w:rsid w:val="009B4255"/>
    <w:rsid w:val="009C3CC7"/>
    <w:rsid w:val="009D2057"/>
    <w:rsid w:val="009D2EB3"/>
    <w:rsid w:val="009D3D6C"/>
    <w:rsid w:val="009D5551"/>
    <w:rsid w:val="009D62DB"/>
    <w:rsid w:val="009E3B42"/>
    <w:rsid w:val="009F518A"/>
    <w:rsid w:val="00A02AF6"/>
    <w:rsid w:val="00A05B60"/>
    <w:rsid w:val="00A13266"/>
    <w:rsid w:val="00A14AC8"/>
    <w:rsid w:val="00A14FA6"/>
    <w:rsid w:val="00A15D64"/>
    <w:rsid w:val="00A20575"/>
    <w:rsid w:val="00A24BBD"/>
    <w:rsid w:val="00A32452"/>
    <w:rsid w:val="00A325CC"/>
    <w:rsid w:val="00A32BBF"/>
    <w:rsid w:val="00A37444"/>
    <w:rsid w:val="00A4281A"/>
    <w:rsid w:val="00A459CF"/>
    <w:rsid w:val="00A5014D"/>
    <w:rsid w:val="00A53E96"/>
    <w:rsid w:val="00A56F18"/>
    <w:rsid w:val="00A628F8"/>
    <w:rsid w:val="00A62BAA"/>
    <w:rsid w:val="00A66172"/>
    <w:rsid w:val="00A744C3"/>
    <w:rsid w:val="00AA70AB"/>
    <w:rsid w:val="00AB0B9F"/>
    <w:rsid w:val="00AB1713"/>
    <w:rsid w:val="00AB1825"/>
    <w:rsid w:val="00AB63BE"/>
    <w:rsid w:val="00AC1EBC"/>
    <w:rsid w:val="00AC2599"/>
    <w:rsid w:val="00AC2DE9"/>
    <w:rsid w:val="00AC3CD9"/>
    <w:rsid w:val="00AD2C5F"/>
    <w:rsid w:val="00AE1481"/>
    <w:rsid w:val="00AE27F9"/>
    <w:rsid w:val="00AE6360"/>
    <w:rsid w:val="00AE77DB"/>
    <w:rsid w:val="00AF7453"/>
    <w:rsid w:val="00B00FFF"/>
    <w:rsid w:val="00B06084"/>
    <w:rsid w:val="00B16735"/>
    <w:rsid w:val="00B17EDE"/>
    <w:rsid w:val="00B22585"/>
    <w:rsid w:val="00B307BA"/>
    <w:rsid w:val="00B33693"/>
    <w:rsid w:val="00B34C53"/>
    <w:rsid w:val="00B46B91"/>
    <w:rsid w:val="00B507A5"/>
    <w:rsid w:val="00B52475"/>
    <w:rsid w:val="00B535DA"/>
    <w:rsid w:val="00B56DCC"/>
    <w:rsid w:val="00B56F54"/>
    <w:rsid w:val="00B638C2"/>
    <w:rsid w:val="00B758AB"/>
    <w:rsid w:val="00B76277"/>
    <w:rsid w:val="00B772AB"/>
    <w:rsid w:val="00B80395"/>
    <w:rsid w:val="00B80B56"/>
    <w:rsid w:val="00B86372"/>
    <w:rsid w:val="00B87073"/>
    <w:rsid w:val="00BA1C17"/>
    <w:rsid w:val="00BA1D65"/>
    <w:rsid w:val="00BB3B4D"/>
    <w:rsid w:val="00BC351E"/>
    <w:rsid w:val="00BC3F77"/>
    <w:rsid w:val="00BC5635"/>
    <w:rsid w:val="00BC5675"/>
    <w:rsid w:val="00BD081C"/>
    <w:rsid w:val="00BD277B"/>
    <w:rsid w:val="00BD47CA"/>
    <w:rsid w:val="00BD62C7"/>
    <w:rsid w:val="00BE020D"/>
    <w:rsid w:val="00BE354A"/>
    <w:rsid w:val="00BF5EEF"/>
    <w:rsid w:val="00C02553"/>
    <w:rsid w:val="00C04EB6"/>
    <w:rsid w:val="00C056F9"/>
    <w:rsid w:val="00C07A7B"/>
    <w:rsid w:val="00C1018C"/>
    <w:rsid w:val="00C1150E"/>
    <w:rsid w:val="00C14D52"/>
    <w:rsid w:val="00C14E62"/>
    <w:rsid w:val="00C2586C"/>
    <w:rsid w:val="00C26001"/>
    <w:rsid w:val="00C34E72"/>
    <w:rsid w:val="00C56B1F"/>
    <w:rsid w:val="00C61B52"/>
    <w:rsid w:val="00C62745"/>
    <w:rsid w:val="00C654CA"/>
    <w:rsid w:val="00C763BD"/>
    <w:rsid w:val="00C779A8"/>
    <w:rsid w:val="00C82E19"/>
    <w:rsid w:val="00C96873"/>
    <w:rsid w:val="00CA1735"/>
    <w:rsid w:val="00CA2066"/>
    <w:rsid w:val="00CA207E"/>
    <w:rsid w:val="00CA3C4B"/>
    <w:rsid w:val="00CA7252"/>
    <w:rsid w:val="00CB2C5A"/>
    <w:rsid w:val="00CC24B4"/>
    <w:rsid w:val="00CC3345"/>
    <w:rsid w:val="00CE0C1C"/>
    <w:rsid w:val="00CE34AF"/>
    <w:rsid w:val="00CE4A1B"/>
    <w:rsid w:val="00CF00A4"/>
    <w:rsid w:val="00CF25FB"/>
    <w:rsid w:val="00CF2A32"/>
    <w:rsid w:val="00CF614C"/>
    <w:rsid w:val="00D02F34"/>
    <w:rsid w:val="00D13D87"/>
    <w:rsid w:val="00D16590"/>
    <w:rsid w:val="00D20720"/>
    <w:rsid w:val="00D232D9"/>
    <w:rsid w:val="00D250D9"/>
    <w:rsid w:val="00D27533"/>
    <w:rsid w:val="00D42DA3"/>
    <w:rsid w:val="00D4546D"/>
    <w:rsid w:val="00D47996"/>
    <w:rsid w:val="00D61118"/>
    <w:rsid w:val="00D614F1"/>
    <w:rsid w:val="00D70D50"/>
    <w:rsid w:val="00D71917"/>
    <w:rsid w:val="00D95E68"/>
    <w:rsid w:val="00DA3A0F"/>
    <w:rsid w:val="00DA4E62"/>
    <w:rsid w:val="00DA6990"/>
    <w:rsid w:val="00DB27BA"/>
    <w:rsid w:val="00DB3009"/>
    <w:rsid w:val="00DB337A"/>
    <w:rsid w:val="00DC034A"/>
    <w:rsid w:val="00DC51CB"/>
    <w:rsid w:val="00DD3EA5"/>
    <w:rsid w:val="00DD4819"/>
    <w:rsid w:val="00DD4B8A"/>
    <w:rsid w:val="00DD5403"/>
    <w:rsid w:val="00DE1388"/>
    <w:rsid w:val="00DE7501"/>
    <w:rsid w:val="00DF3146"/>
    <w:rsid w:val="00DF57C3"/>
    <w:rsid w:val="00E008D9"/>
    <w:rsid w:val="00E02FE0"/>
    <w:rsid w:val="00E07ABE"/>
    <w:rsid w:val="00E102CF"/>
    <w:rsid w:val="00E11A3F"/>
    <w:rsid w:val="00E1386E"/>
    <w:rsid w:val="00E2369B"/>
    <w:rsid w:val="00E23EC0"/>
    <w:rsid w:val="00E354AA"/>
    <w:rsid w:val="00E43C78"/>
    <w:rsid w:val="00E43D54"/>
    <w:rsid w:val="00E442FB"/>
    <w:rsid w:val="00E529DB"/>
    <w:rsid w:val="00E53A5E"/>
    <w:rsid w:val="00E6466A"/>
    <w:rsid w:val="00E72221"/>
    <w:rsid w:val="00E81B96"/>
    <w:rsid w:val="00E83428"/>
    <w:rsid w:val="00E84C58"/>
    <w:rsid w:val="00E873A5"/>
    <w:rsid w:val="00E90D11"/>
    <w:rsid w:val="00E915E5"/>
    <w:rsid w:val="00E92F46"/>
    <w:rsid w:val="00EB0367"/>
    <w:rsid w:val="00EB4FB9"/>
    <w:rsid w:val="00EB5BC8"/>
    <w:rsid w:val="00EC2738"/>
    <w:rsid w:val="00ED760F"/>
    <w:rsid w:val="00ED7B42"/>
    <w:rsid w:val="00EE3EA5"/>
    <w:rsid w:val="00EE613F"/>
    <w:rsid w:val="00EE6BD1"/>
    <w:rsid w:val="00EF0262"/>
    <w:rsid w:val="00EF0828"/>
    <w:rsid w:val="00EF6F8B"/>
    <w:rsid w:val="00F03898"/>
    <w:rsid w:val="00F03FC7"/>
    <w:rsid w:val="00F1527A"/>
    <w:rsid w:val="00F2696B"/>
    <w:rsid w:val="00F27821"/>
    <w:rsid w:val="00F4092A"/>
    <w:rsid w:val="00F41F69"/>
    <w:rsid w:val="00F43E41"/>
    <w:rsid w:val="00F4790C"/>
    <w:rsid w:val="00F50C4B"/>
    <w:rsid w:val="00F54C08"/>
    <w:rsid w:val="00F553A2"/>
    <w:rsid w:val="00F6068C"/>
    <w:rsid w:val="00F62F33"/>
    <w:rsid w:val="00F634C1"/>
    <w:rsid w:val="00F63A52"/>
    <w:rsid w:val="00F730BA"/>
    <w:rsid w:val="00F850A2"/>
    <w:rsid w:val="00F87CCE"/>
    <w:rsid w:val="00F903BE"/>
    <w:rsid w:val="00F95D04"/>
    <w:rsid w:val="00FA16EC"/>
    <w:rsid w:val="00FA2811"/>
    <w:rsid w:val="00FA4837"/>
    <w:rsid w:val="00FB1D33"/>
    <w:rsid w:val="00FB5E96"/>
    <w:rsid w:val="00FC05A0"/>
    <w:rsid w:val="00FC6758"/>
    <w:rsid w:val="00FD34EA"/>
    <w:rsid w:val="00FE1DAF"/>
    <w:rsid w:val="00FE3F3E"/>
    <w:rsid w:val="00FE4D52"/>
    <w:rsid w:val="00FE5AEE"/>
    <w:rsid w:val="00FF106B"/>
    <w:rsid w:val="00FF51FF"/>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105399D5-3044-4BDE-BBD0-E7486A9AF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character" w:styleId="CommentReference">
    <w:name w:val="annotation reference"/>
    <w:basedOn w:val="DefaultParagraphFont"/>
    <w:uiPriority w:val="99"/>
    <w:semiHidden/>
    <w:unhideWhenUsed/>
    <w:rsid w:val="008120CC"/>
    <w:rPr>
      <w:sz w:val="16"/>
      <w:szCs w:val="16"/>
    </w:rPr>
  </w:style>
  <w:style w:type="paragraph" w:styleId="CommentSubject">
    <w:name w:val="annotation subject"/>
    <w:basedOn w:val="CommentText"/>
    <w:next w:val="CommentText"/>
    <w:link w:val="CommentSubjectChar"/>
    <w:uiPriority w:val="99"/>
    <w:semiHidden/>
    <w:unhideWhenUsed/>
    <w:rsid w:val="008120CC"/>
    <w:rPr>
      <w:b/>
      <w:bCs/>
    </w:rPr>
  </w:style>
  <w:style w:type="character" w:customStyle="1" w:styleId="CommentTextChar">
    <w:name w:val="Comment Text Char"/>
    <w:basedOn w:val="DefaultParagraphFont"/>
    <w:link w:val="CommentText"/>
    <w:semiHidden/>
    <w:rsid w:val="008120CC"/>
    <w:rPr>
      <w:rFonts w:ascii="Arial" w:hAnsi="Arial"/>
    </w:rPr>
  </w:style>
  <w:style w:type="character" w:customStyle="1" w:styleId="CommentSubjectChar">
    <w:name w:val="Comment Subject Char"/>
    <w:basedOn w:val="CommentTextChar"/>
    <w:link w:val="CommentSubject"/>
    <w:uiPriority w:val="99"/>
    <w:semiHidden/>
    <w:rsid w:val="008120C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dss.mo.gov/mhd/pharmacy-clinical-edits-pd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2.xml><?xml version="1.0" encoding="utf-8"?>
<ds:datastoreItem xmlns:ds="http://schemas.openxmlformats.org/officeDocument/2006/customXml" ds:itemID="{7166E89B-1B91-42FA-B7EB-515F91B7C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4.xml><?xml version="1.0" encoding="utf-8"?>
<ds:datastoreItem xmlns:ds="http://schemas.openxmlformats.org/officeDocument/2006/customXml" ds:itemID="{0F9992BC-7C11-4A83-A97F-D2E41AE80BFC}">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aba01ddc-ae9a-4c9e-819c-7140b4239cde"/>
    <ds:schemaRef ds:uri="http://schemas.openxmlformats.org/package/2006/metadata/core-properties"/>
    <ds:schemaRef ds:uri="f5eefb00-5952-4f7e-8cf8-96f81cfadd01"/>
    <ds:schemaRef ds:uri="http://purl.org/dc/terms/"/>
    <ds:schemaRef ds:uri="http://schemas.microsoft.com/sharepoint/v3"/>
    <ds:schemaRef ds:uri="http://www.w3.org/XML/1998/namespace"/>
    <ds:schemaRef ds:uri="http://purl.org/dc/dcmitype/"/>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975</Words>
  <Characters>5684</Characters>
  <Application>Microsoft Office Word</Application>
  <DocSecurity>10</DocSecurity>
  <Lines>47</Lines>
  <Paragraphs>13</Paragraphs>
  <ScaleCrop>false</ScaleCrop>
  <HeadingPairs>
    <vt:vector size="2" baseType="variant">
      <vt:variant>
        <vt:lpstr>Title</vt:lpstr>
      </vt:variant>
      <vt:variant>
        <vt:i4>1</vt:i4>
      </vt:variant>
    </vt:vector>
  </HeadingPairs>
  <TitlesOfParts>
    <vt:vector size="1" baseType="lpstr">
      <vt:lpstr>PDL Edit Template</vt:lpstr>
    </vt:vector>
  </TitlesOfParts>
  <Company>DSS</Company>
  <LinksUpToDate>false</LinksUpToDate>
  <CharactersWithSpaces>6646</CharactersWithSpaces>
  <SharedDoc>false</SharedDoc>
  <HLinks>
    <vt:vector size="6" baseType="variant">
      <vt:variant>
        <vt:i4>1966090</vt:i4>
      </vt:variant>
      <vt:variant>
        <vt:i4>0</vt:i4>
      </vt:variant>
      <vt:variant>
        <vt:i4>0</vt:i4>
      </vt:variant>
      <vt:variant>
        <vt:i4>5</vt:i4>
      </vt:variant>
      <vt:variant>
        <vt:lpwstr>https://mydss.mo.gov/mhd/pharmacy-clinical-edits-pdl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PDL Edit Template</dc:title>
  <dc:subject/>
  <dc:creator>DMS</dc:creator>
  <cp:keywords/>
  <cp:lastModifiedBy>Heriford, Katherine</cp:lastModifiedBy>
  <cp:revision>3</cp:revision>
  <cp:lastPrinted>2018-10-31T20:17:00Z</cp:lastPrinted>
  <dcterms:created xsi:type="dcterms:W3CDTF">2026-05-13T17:27:00Z</dcterms:created>
  <dcterms:modified xsi:type="dcterms:W3CDTF">2026-05-13T17:27:00Z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