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4F89" w14:textId="039B8DEC" w:rsidR="00C15D2B" w:rsidRDefault="00C15D2B" w:rsidP="00C15D2B">
      <w:pPr>
        <w:pStyle w:val="Heading1"/>
        <w:spacing w:before="0" w:after="0"/>
        <w:jc w:val="left"/>
        <w:rPr>
          <w:rFonts w:ascii="Tahoma" w:hAnsi="Tahoma" w:cs="Tahoma"/>
          <w:sz w:val="32"/>
          <w:szCs w:val="28"/>
        </w:rPr>
      </w:pPr>
      <w:r>
        <w:rPr>
          <w:noProof/>
          <w:sz w:val="32"/>
        </w:rPr>
        <w:drawing>
          <wp:anchor distT="0" distB="0" distL="114300" distR="114300" simplePos="0" relativeHeight="251660800" behindDoc="0" locked="0" layoutInCell="1" allowOverlap="1" wp14:anchorId="09676E16" wp14:editId="3B5A5825">
            <wp:simplePos x="0" y="0"/>
            <wp:positionH relativeFrom="margin">
              <wp:align>right</wp:align>
            </wp:positionH>
            <wp:positionV relativeFrom="paragraph">
              <wp:posOffset>-354965</wp:posOffset>
            </wp:positionV>
            <wp:extent cx="2430145" cy="788848"/>
            <wp:effectExtent l="0" t="0" r="8255" b="0"/>
            <wp:wrapNone/>
            <wp:docPr id="1" name="Picture 1" descr="MO HealthN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 HealthNet">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145" cy="788848"/>
                    </a:xfrm>
                    <a:prstGeom prst="rect">
                      <a:avLst/>
                    </a:prstGeom>
                  </pic:spPr>
                </pic:pic>
              </a:graphicData>
            </a:graphic>
            <wp14:sizeRelH relativeFrom="page">
              <wp14:pctWidth>0</wp14:pctWidth>
            </wp14:sizeRelH>
            <wp14:sizeRelV relativeFrom="page">
              <wp14:pctHeight>0</wp14:pctHeight>
            </wp14:sizeRelV>
          </wp:anchor>
        </w:drawing>
      </w:r>
      <w:r w:rsidRPr="00FF23CD">
        <w:rPr>
          <w:rFonts w:ascii="Tahoma" w:hAnsi="Tahoma" w:cs="Tahoma"/>
          <w:sz w:val="32"/>
          <w:szCs w:val="28"/>
        </w:rPr>
        <w:t>Provider Bulletin</w:t>
      </w:r>
    </w:p>
    <w:p w14:paraId="2FB3FE6E" w14:textId="4EEB6CD4" w:rsidR="00C15D2B" w:rsidRPr="00C15D2B" w:rsidRDefault="00C15D2B" w:rsidP="00C15D2B">
      <w:pPr>
        <w:spacing w:before="0" w:after="0" w:line="240" w:lineRule="auto"/>
        <w:rPr>
          <w:rFonts w:ascii="Tahoma" w:hAnsi="Tahoma" w:cs="Tahoma"/>
          <w:b/>
          <w:bCs/>
          <w:sz w:val="23"/>
          <w:szCs w:val="23"/>
        </w:rPr>
      </w:pPr>
      <w:r w:rsidRPr="00C15D2B">
        <w:rPr>
          <w:rFonts w:ascii="Tahoma" w:hAnsi="Tahoma" w:cs="Tahoma"/>
          <w:b/>
          <w:bCs/>
          <w:sz w:val="23"/>
          <w:szCs w:val="23"/>
        </w:rPr>
        <w:t xml:space="preserve">Volume </w:t>
      </w:r>
      <w:r w:rsidR="00F415D6">
        <w:rPr>
          <w:rFonts w:ascii="Tahoma" w:hAnsi="Tahoma" w:cs="Tahoma"/>
          <w:b/>
          <w:bCs/>
          <w:sz w:val="23"/>
          <w:szCs w:val="23"/>
        </w:rPr>
        <w:t>48</w:t>
      </w:r>
      <w:r w:rsidRPr="00C15D2B">
        <w:rPr>
          <w:rFonts w:ascii="Tahoma" w:hAnsi="Tahoma" w:cs="Tahoma"/>
          <w:b/>
          <w:bCs/>
          <w:sz w:val="23"/>
          <w:szCs w:val="23"/>
        </w:rPr>
        <w:t xml:space="preserve"> Number </w:t>
      </w:r>
      <w:r w:rsidR="00F415D6">
        <w:rPr>
          <w:rFonts w:ascii="Tahoma" w:hAnsi="Tahoma" w:cs="Tahoma"/>
          <w:b/>
          <w:bCs/>
          <w:sz w:val="23"/>
          <w:szCs w:val="23"/>
        </w:rPr>
        <w:t>62</w:t>
      </w:r>
    </w:p>
    <w:p w14:paraId="16C0CD84" w14:textId="77777777" w:rsidR="00C15D2B" w:rsidRDefault="00C15D2B" w:rsidP="00C15D2B">
      <w:pPr>
        <w:pBdr>
          <w:bottom w:val="single" w:sz="12" w:space="1" w:color="auto"/>
        </w:pBdr>
        <w:spacing w:before="0" w:after="120" w:line="240" w:lineRule="auto"/>
        <w:rPr>
          <w:rFonts w:ascii="Tahoma" w:hAnsi="Tahoma" w:cs="Tahoma"/>
          <w:b/>
          <w:bCs/>
          <w:sz w:val="23"/>
          <w:szCs w:val="23"/>
        </w:rPr>
      </w:pPr>
    </w:p>
    <w:p w14:paraId="26C4A345" w14:textId="0E18D43D" w:rsidR="00C15D2B" w:rsidRDefault="0073674A" w:rsidP="00C15D2B">
      <w:pPr>
        <w:spacing w:before="0" w:line="240" w:lineRule="auto"/>
        <w:jc w:val="center"/>
        <w:rPr>
          <w:rFonts w:ascii="Tahoma" w:hAnsi="Tahoma" w:cs="Tahoma"/>
          <w:b/>
          <w:bCs/>
          <w:sz w:val="32"/>
          <w:szCs w:val="32"/>
        </w:rPr>
      </w:pPr>
      <w:r>
        <w:rPr>
          <w:rFonts w:ascii="Tahoma" w:hAnsi="Tahoma" w:cs="Tahoma"/>
          <w:b/>
          <w:bCs/>
          <w:sz w:val="32"/>
          <w:szCs w:val="32"/>
        </w:rPr>
        <w:t>Screening for Adverse Childhood Experiences (ACEs) for Individuals Under Age 21</w:t>
      </w:r>
    </w:p>
    <w:p w14:paraId="245D3058" w14:textId="1432A499" w:rsidR="00C84852" w:rsidRPr="00C15D2B" w:rsidRDefault="00C84852" w:rsidP="00C15D2B">
      <w:pPr>
        <w:pStyle w:val="Heading3"/>
        <w:spacing w:before="0" w:after="240" w:line="240" w:lineRule="auto"/>
        <w:rPr>
          <w:rFonts w:ascii="Tahoma" w:hAnsi="Tahoma" w:cs="Tahoma"/>
          <w:b w:val="0"/>
          <w:sz w:val="24"/>
          <w:szCs w:val="24"/>
        </w:rPr>
      </w:pPr>
      <w:proofErr w:type="gramStart"/>
      <w:r w:rsidRPr="00C15D2B">
        <w:rPr>
          <w:rFonts w:ascii="Tahoma" w:hAnsi="Tahoma" w:cs="Tahoma"/>
          <w:bCs/>
          <w:sz w:val="24"/>
          <w:szCs w:val="24"/>
        </w:rPr>
        <w:t>Applies</w:t>
      </w:r>
      <w:proofErr w:type="gramEnd"/>
      <w:r w:rsidRPr="00C15D2B">
        <w:rPr>
          <w:rFonts w:ascii="Tahoma" w:hAnsi="Tahoma" w:cs="Tahoma"/>
          <w:bCs/>
          <w:sz w:val="24"/>
          <w:szCs w:val="24"/>
        </w:rPr>
        <w:t xml:space="preserve"> to:</w:t>
      </w:r>
      <w:r w:rsidR="0073674A">
        <w:rPr>
          <w:rFonts w:ascii="Tahoma" w:hAnsi="Tahoma" w:cs="Tahoma"/>
          <w:bCs/>
          <w:sz w:val="24"/>
          <w:szCs w:val="24"/>
        </w:rPr>
        <w:t xml:space="preserve"> </w:t>
      </w:r>
      <w:r w:rsidR="0073674A" w:rsidRPr="00F415D6">
        <w:rPr>
          <w:rFonts w:ascii="Tahoma" w:hAnsi="Tahoma" w:cs="Tahoma"/>
          <w:b w:val="0"/>
          <w:sz w:val="24"/>
          <w:szCs w:val="24"/>
        </w:rPr>
        <w:t>Physician, Physician Assistant, Advanced Practice Registered Nurse</w:t>
      </w:r>
    </w:p>
    <w:p w14:paraId="5CBDDB91" w14:textId="6DE59E79" w:rsidR="00C15D2B" w:rsidRPr="00F415D6" w:rsidRDefault="00C15D2B" w:rsidP="00C15D2B">
      <w:pPr>
        <w:spacing w:before="0" w:line="240" w:lineRule="auto"/>
        <w:rPr>
          <w:rFonts w:ascii="Tahoma" w:hAnsi="Tahoma" w:cs="Tahoma"/>
        </w:rPr>
      </w:pPr>
      <w:r w:rsidRPr="00C15D2B">
        <w:rPr>
          <w:rFonts w:ascii="Tahoma" w:hAnsi="Tahoma" w:cs="Tahoma"/>
          <w:b/>
          <w:bCs/>
        </w:rPr>
        <w:t>Posted date:</w:t>
      </w:r>
      <w:r w:rsidR="00F415D6">
        <w:rPr>
          <w:rFonts w:ascii="Tahoma" w:hAnsi="Tahoma" w:cs="Tahoma"/>
          <w:b/>
          <w:bCs/>
        </w:rPr>
        <w:t xml:space="preserve"> </w:t>
      </w:r>
      <w:r w:rsidR="00F415D6">
        <w:rPr>
          <w:rFonts w:ascii="Tahoma" w:hAnsi="Tahoma" w:cs="Tahoma"/>
        </w:rPr>
        <w:t>May 18, 2026</w:t>
      </w:r>
    </w:p>
    <w:p w14:paraId="36D30714" w14:textId="42156C34" w:rsidR="00EF6940" w:rsidRPr="00C15D2B" w:rsidRDefault="00C84852" w:rsidP="00C15D2B">
      <w:pPr>
        <w:pStyle w:val="Heading3"/>
        <w:spacing w:after="240"/>
        <w:rPr>
          <w:rFonts w:ascii="Tahoma" w:hAnsi="Tahoma" w:cs="Tahoma"/>
          <w:bCs/>
          <w:sz w:val="24"/>
          <w:szCs w:val="24"/>
        </w:rPr>
      </w:pPr>
      <w:r w:rsidRPr="00C15D2B">
        <w:rPr>
          <w:rFonts w:ascii="Tahoma" w:hAnsi="Tahoma" w:cs="Tahoma"/>
          <w:bCs/>
          <w:sz w:val="24"/>
          <w:szCs w:val="24"/>
        </w:rPr>
        <w:t xml:space="preserve">Effective date: </w:t>
      </w:r>
      <w:r w:rsidR="0073674A" w:rsidRPr="00F415D6">
        <w:rPr>
          <w:rFonts w:ascii="Tahoma" w:hAnsi="Tahoma" w:cs="Tahoma"/>
          <w:b w:val="0"/>
          <w:sz w:val="24"/>
          <w:szCs w:val="24"/>
        </w:rPr>
        <w:t>July 1, 2026</w:t>
      </w:r>
    </w:p>
    <w:p w14:paraId="21930610" w14:textId="19C61B51" w:rsidR="00C15D2B" w:rsidRPr="00C15D2B" w:rsidRDefault="0073674A" w:rsidP="00C15D2B">
      <w:pPr>
        <w:pStyle w:val="ListParagraph"/>
        <w:numPr>
          <w:ilvl w:val="0"/>
          <w:numId w:val="25"/>
        </w:numPr>
        <w:rPr>
          <w:rFonts w:ascii="Tahoma" w:hAnsi="Tahoma" w:cs="Tahoma"/>
          <w:sz w:val="23"/>
          <w:szCs w:val="23"/>
        </w:rPr>
      </w:pPr>
      <w:r>
        <w:rPr>
          <w:rFonts w:ascii="Tahoma" w:hAnsi="Tahoma" w:cs="Tahoma"/>
          <w:sz w:val="23"/>
          <w:szCs w:val="23"/>
        </w:rPr>
        <w:t>Background</w:t>
      </w:r>
    </w:p>
    <w:p w14:paraId="7F26687A" w14:textId="779D88B4" w:rsidR="00C15D2B" w:rsidRDefault="0073674A" w:rsidP="00310D58">
      <w:pPr>
        <w:pStyle w:val="ListParagraph"/>
        <w:numPr>
          <w:ilvl w:val="0"/>
          <w:numId w:val="25"/>
        </w:numPr>
        <w:rPr>
          <w:rFonts w:ascii="Tahoma" w:hAnsi="Tahoma" w:cs="Tahoma"/>
          <w:sz w:val="23"/>
          <w:szCs w:val="23"/>
        </w:rPr>
      </w:pPr>
      <w:r>
        <w:rPr>
          <w:rFonts w:ascii="Tahoma" w:hAnsi="Tahoma" w:cs="Tahoma"/>
          <w:sz w:val="23"/>
          <w:szCs w:val="23"/>
        </w:rPr>
        <w:t>ACEs Screening and Follow-Up</w:t>
      </w:r>
    </w:p>
    <w:p w14:paraId="1849E6D9" w14:textId="5C9031F2" w:rsidR="0076255D" w:rsidRDefault="0076255D" w:rsidP="00310D58">
      <w:pPr>
        <w:pStyle w:val="ListParagraph"/>
        <w:numPr>
          <w:ilvl w:val="0"/>
          <w:numId w:val="25"/>
        </w:numPr>
        <w:rPr>
          <w:rFonts w:ascii="Tahoma" w:hAnsi="Tahoma" w:cs="Tahoma"/>
          <w:sz w:val="23"/>
          <w:szCs w:val="23"/>
        </w:rPr>
      </w:pPr>
      <w:r>
        <w:rPr>
          <w:rFonts w:ascii="Tahoma" w:hAnsi="Tahoma" w:cs="Tahoma"/>
          <w:sz w:val="23"/>
          <w:szCs w:val="23"/>
        </w:rPr>
        <w:t>ACEs Screening Tools</w:t>
      </w:r>
    </w:p>
    <w:p w14:paraId="076E0343" w14:textId="29FE9845" w:rsidR="0076255D" w:rsidRDefault="0076255D" w:rsidP="00310D58">
      <w:pPr>
        <w:pStyle w:val="ListParagraph"/>
        <w:numPr>
          <w:ilvl w:val="0"/>
          <w:numId w:val="25"/>
        </w:numPr>
        <w:rPr>
          <w:rFonts w:ascii="Tahoma" w:hAnsi="Tahoma" w:cs="Tahoma"/>
          <w:sz w:val="23"/>
          <w:szCs w:val="23"/>
        </w:rPr>
      </w:pPr>
      <w:r>
        <w:rPr>
          <w:rFonts w:ascii="Tahoma" w:hAnsi="Tahoma" w:cs="Tahoma"/>
          <w:sz w:val="23"/>
          <w:szCs w:val="23"/>
        </w:rPr>
        <w:t>Documentation</w:t>
      </w:r>
    </w:p>
    <w:p w14:paraId="23E62664" w14:textId="1F4986CA" w:rsidR="00F93368" w:rsidRPr="00C15D2B" w:rsidRDefault="00F93368" w:rsidP="00310D58">
      <w:pPr>
        <w:pStyle w:val="ListParagraph"/>
        <w:numPr>
          <w:ilvl w:val="0"/>
          <w:numId w:val="25"/>
        </w:numPr>
        <w:rPr>
          <w:rFonts w:ascii="Tahoma" w:hAnsi="Tahoma" w:cs="Tahoma"/>
          <w:sz w:val="23"/>
          <w:szCs w:val="23"/>
        </w:rPr>
      </w:pPr>
      <w:r>
        <w:rPr>
          <w:rFonts w:ascii="Tahoma" w:hAnsi="Tahoma" w:cs="Tahoma"/>
          <w:sz w:val="23"/>
          <w:szCs w:val="23"/>
        </w:rPr>
        <w:t>Certification</w:t>
      </w:r>
    </w:p>
    <w:p w14:paraId="587EE229" w14:textId="1CDA7D0F" w:rsidR="006A6EA0" w:rsidRDefault="0073674A" w:rsidP="004B7603">
      <w:pPr>
        <w:spacing w:before="0" w:after="0" w:line="240" w:lineRule="auto"/>
        <w:rPr>
          <w:rFonts w:ascii="Tahoma" w:hAnsi="Tahoma" w:cs="Tahoma"/>
          <w:b/>
          <w:bCs/>
          <w:noProof/>
          <w:sz w:val="23"/>
          <w:szCs w:val="23"/>
          <w:u w:val="single"/>
        </w:rPr>
      </w:pPr>
      <w:bookmarkStart w:id="0" w:name="_Hlk227221300"/>
      <w:r>
        <w:rPr>
          <w:rFonts w:ascii="Tahoma" w:hAnsi="Tahoma" w:cs="Tahoma"/>
          <w:b/>
          <w:bCs/>
          <w:noProof/>
          <w:sz w:val="23"/>
          <w:szCs w:val="23"/>
          <w:u w:val="single"/>
        </w:rPr>
        <w:t>Background</w:t>
      </w:r>
    </w:p>
    <w:bookmarkEnd w:id="0"/>
    <w:p w14:paraId="39B51448" w14:textId="67C362A2" w:rsidR="004B7603" w:rsidRDefault="00594F77" w:rsidP="004B7603">
      <w:pPr>
        <w:spacing w:before="0" w:after="0" w:line="240" w:lineRule="auto"/>
        <w:jc w:val="both"/>
        <w:rPr>
          <w:rFonts w:ascii="Tahoma" w:hAnsi="Tahoma" w:cs="Tahoma"/>
          <w:noProof/>
          <w:sz w:val="23"/>
          <w:szCs w:val="23"/>
        </w:rPr>
      </w:pPr>
      <w:r>
        <w:rPr>
          <w:rFonts w:ascii="Tahoma" w:hAnsi="Tahoma" w:cs="Tahoma"/>
          <w:noProof/>
          <w:sz w:val="23"/>
          <w:szCs w:val="23"/>
        </w:rPr>
        <w:t>The term Adverse Childhood Experiences (ACEs) was introduced in the 1998 Centers for Disease Control and Prevention (CDC) and Kaiser Permanente landmark study</w:t>
      </w:r>
      <w:r w:rsidR="00147944">
        <w:rPr>
          <w:rFonts w:ascii="Tahoma" w:hAnsi="Tahoma" w:cs="Tahoma"/>
          <w:noProof/>
          <w:sz w:val="23"/>
          <w:szCs w:val="23"/>
        </w:rPr>
        <w:t xml:space="preserve"> by the same name</w:t>
      </w:r>
      <w:r>
        <w:rPr>
          <w:rFonts w:ascii="Tahoma" w:hAnsi="Tahoma" w:cs="Tahoma"/>
          <w:noProof/>
          <w:sz w:val="23"/>
          <w:szCs w:val="23"/>
        </w:rPr>
        <w:t xml:space="preserve">. ACEs are potentially traumatic experiences </w:t>
      </w:r>
      <w:r w:rsidR="00F415D6">
        <w:rPr>
          <w:rFonts w:ascii="Tahoma" w:hAnsi="Tahoma" w:cs="Tahoma"/>
          <w:noProof/>
          <w:sz w:val="23"/>
          <w:szCs w:val="23"/>
        </w:rPr>
        <w:t>occurring</w:t>
      </w:r>
      <w:r>
        <w:rPr>
          <w:rFonts w:ascii="Tahoma" w:hAnsi="Tahoma" w:cs="Tahoma"/>
          <w:noProof/>
          <w:sz w:val="23"/>
          <w:szCs w:val="23"/>
        </w:rPr>
        <w:t xml:space="preserve"> before the age of 18</w:t>
      </w:r>
      <w:r w:rsidR="00147944">
        <w:rPr>
          <w:rFonts w:ascii="Tahoma" w:hAnsi="Tahoma" w:cs="Tahoma"/>
          <w:noProof/>
          <w:sz w:val="23"/>
          <w:szCs w:val="23"/>
        </w:rPr>
        <w:t xml:space="preserve"> that contribute to toxic stress and increase one’s risk of health conditions such as asthma, diabetes, depression, heart disease</w:t>
      </w:r>
      <w:r w:rsidR="004B7603">
        <w:rPr>
          <w:rFonts w:ascii="Tahoma" w:hAnsi="Tahoma" w:cs="Tahoma"/>
          <w:noProof/>
          <w:sz w:val="23"/>
          <w:szCs w:val="23"/>
        </w:rPr>
        <w:t>,</w:t>
      </w:r>
      <w:r w:rsidR="00147944">
        <w:rPr>
          <w:rFonts w:ascii="Tahoma" w:hAnsi="Tahoma" w:cs="Tahoma"/>
          <w:noProof/>
          <w:sz w:val="23"/>
          <w:szCs w:val="23"/>
        </w:rPr>
        <w:t xml:space="preserve"> and cancer. </w:t>
      </w:r>
    </w:p>
    <w:p w14:paraId="011B8C36" w14:textId="77777777" w:rsidR="004B7603" w:rsidRDefault="004B7603" w:rsidP="004B7603">
      <w:pPr>
        <w:spacing w:before="0" w:after="0" w:line="240" w:lineRule="auto"/>
        <w:jc w:val="both"/>
        <w:rPr>
          <w:rFonts w:ascii="Tahoma" w:hAnsi="Tahoma" w:cs="Tahoma"/>
          <w:noProof/>
          <w:sz w:val="23"/>
          <w:szCs w:val="23"/>
        </w:rPr>
      </w:pPr>
    </w:p>
    <w:p w14:paraId="1EC78611" w14:textId="14C91446" w:rsidR="0073674A" w:rsidRDefault="0051532A" w:rsidP="00FB23B0">
      <w:pPr>
        <w:spacing w:before="0" w:after="0" w:line="240" w:lineRule="auto"/>
        <w:jc w:val="both"/>
        <w:rPr>
          <w:rFonts w:ascii="Tahoma" w:hAnsi="Tahoma" w:cs="Tahoma"/>
          <w:b/>
          <w:bCs/>
          <w:noProof/>
          <w:sz w:val="23"/>
          <w:szCs w:val="23"/>
          <w:u w:val="single"/>
        </w:rPr>
      </w:pPr>
      <w:r>
        <w:rPr>
          <w:rFonts w:ascii="Tahoma" w:hAnsi="Tahoma" w:cs="Tahoma"/>
          <w:noProof/>
          <w:sz w:val="23"/>
          <w:szCs w:val="23"/>
        </w:rPr>
        <w:t>T</w:t>
      </w:r>
      <w:r w:rsidR="00C271A0">
        <w:rPr>
          <w:rFonts w:ascii="Tahoma" w:hAnsi="Tahoma" w:cs="Tahoma"/>
          <w:noProof/>
          <w:sz w:val="23"/>
          <w:szCs w:val="23"/>
        </w:rPr>
        <w:t>he t</w:t>
      </w:r>
      <w:r>
        <w:rPr>
          <w:rFonts w:ascii="Tahoma" w:hAnsi="Tahoma" w:cs="Tahoma"/>
          <w:noProof/>
          <w:sz w:val="23"/>
          <w:szCs w:val="23"/>
        </w:rPr>
        <w:t xml:space="preserve">oxic stress </w:t>
      </w:r>
      <w:r w:rsidR="00C271A0">
        <w:rPr>
          <w:rFonts w:ascii="Tahoma" w:hAnsi="Tahoma" w:cs="Tahoma"/>
          <w:noProof/>
          <w:sz w:val="23"/>
          <w:szCs w:val="23"/>
        </w:rPr>
        <w:t xml:space="preserve">response </w:t>
      </w:r>
      <w:r w:rsidR="00901A78">
        <w:rPr>
          <w:rFonts w:ascii="Tahoma" w:hAnsi="Tahoma" w:cs="Tahoma"/>
          <w:noProof/>
          <w:sz w:val="23"/>
          <w:szCs w:val="23"/>
        </w:rPr>
        <w:t>is defined as “prolonged activation of the stress response systems that can disrupt the development of brain architecture and other organ systems, and increase the risk for stress-related disease and cognitive impairment, well into the adult years”</w:t>
      </w:r>
      <w:r w:rsidR="00901A78">
        <w:rPr>
          <w:rFonts w:ascii="Tahoma" w:hAnsi="Tahoma" w:cs="Tahoma"/>
          <w:noProof/>
          <w:sz w:val="23"/>
          <w:szCs w:val="23"/>
          <w:vertAlign w:val="superscript"/>
        </w:rPr>
        <w:t>1</w:t>
      </w:r>
      <w:r w:rsidR="00C271A0">
        <w:rPr>
          <w:rFonts w:ascii="Tahoma" w:hAnsi="Tahoma" w:cs="Tahoma"/>
          <w:noProof/>
          <w:sz w:val="23"/>
          <w:szCs w:val="23"/>
        </w:rPr>
        <w:t xml:space="preserve">. </w:t>
      </w:r>
      <w:r w:rsidR="00147944">
        <w:rPr>
          <w:rFonts w:ascii="Tahoma" w:hAnsi="Tahoma" w:cs="Tahoma"/>
          <w:noProof/>
          <w:sz w:val="23"/>
          <w:szCs w:val="23"/>
        </w:rPr>
        <w:t>Toxic stress is treatable, and screening for ACEs allows for early detection and early intervention</w:t>
      </w:r>
      <w:r w:rsidR="00791509">
        <w:rPr>
          <w:rFonts w:ascii="Tahoma" w:hAnsi="Tahoma" w:cs="Tahoma"/>
          <w:noProof/>
          <w:sz w:val="23"/>
          <w:szCs w:val="23"/>
        </w:rPr>
        <w:t xml:space="preserve">, which is associated with improved outcomes related to toxic stress, especially when paired with evidence-based, trauma-informed care. </w:t>
      </w:r>
      <w:r w:rsidR="00B41665">
        <w:rPr>
          <w:rFonts w:ascii="Tahoma" w:hAnsi="Tahoma" w:cs="Tahoma"/>
          <w:noProof/>
          <w:sz w:val="23"/>
          <w:szCs w:val="23"/>
        </w:rPr>
        <w:t xml:space="preserve">To learn more about ACEs and the benefits of screening for ACEs in health care settings, visit the </w:t>
      </w:r>
      <w:hyperlink r:id="rId12" w:history="1">
        <w:r w:rsidR="00B41665" w:rsidRPr="00B41665">
          <w:rPr>
            <w:rStyle w:val="Hyperlink"/>
            <w:rFonts w:ascii="Tahoma" w:hAnsi="Tahoma" w:cs="Tahoma"/>
            <w:noProof/>
            <w:sz w:val="23"/>
            <w:szCs w:val="23"/>
          </w:rPr>
          <w:t>ACEs Aware Trauma-Informed Network of CARE Roadmap</w:t>
        </w:r>
      </w:hyperlink>
      <w:r w:rsidR="00B41665">
        <w:rPr>
          <w:rFonts w:ascii="Tahoma" w:hAnsi="Tahoma" w:cs="Tahoma"/>
          <w:noProof/>
          <w:sz w:val="23"/>
          <w:szCs w:val="23"/>
        </w:rPr>
        <w:t>.</w:t>
      </w:r>
    </w:p>
    <w:p w14:paraId="30D1C8F7" w14:textId="77777777" w:rsidR="004B7603" w:rsidRDefault="004B7603" w:rsidP="004B7603">
      <w:pPr>
        <w:spacing w:before="0" w:after="0" w:line="240" w:lineRule="auto"/>
        <w:rPr>
          <w:rFonts w:ascii="Tahoma" w:hAnsi="Tahoma" w:cs="Tahoma"/>
          <w:b/>
          <w:bCs/>
          <w:noProof/>
          <w:sz w:val="23"/>
          <w:szCs w:val="23"/>
          <w:u w:val="single"/>
        </w:rPr>
      </w:pPr>
    </w:p>
    <w:p w14:paraId="700763EC" w14:textId="0FDD1DED" w:rsidR="00F93368" w:rsidRDefault="00F93368" w:rsidP="004B7603">
      <w:pPr>
        <w:spacing w:before="0" w:after="0" w:line="240" w:lineRule="auto"/>
        <w:rPr>
          <w:rFonts w:ascii="Tahoma" w:hAnsi="Tahoma" w:cs="Tahoma"/>
          <w:b/>
          <w:bCs/>
          <w:noProof/>
          <w:sz w:val="23"/>
          <w:szCs w:val="23"/>
          <w:u w:val="single"/>
        </w:rPr>
      </w:pPr>
      <w:r>
        <w:rPr>
          <w:rFonts w:ascii="Tahoma" w:hAnsi="Tahoma" w:cs="Tahoma"/>
          <w:b/>
          <w:bCs/>
          <w:noProof/>
          <w:sz w:val="23"/>
          <w:szCs w:val="23"/>
          <w:u w:val="single"/>
        </w:rPr>
        <w:t>ACEs Screening and Follow-Up</w:t>
      </w:r>
    </w:p>
    <w:p w14:paraId="5500522F" w14:textId="49E37033" w:rsidR="0024091E" w:rsidRDefault="00DA225F" w:rsidP="004B7603">
      <w:pPr>
        <w:spacing w:before="0" w:after="0" w:line="240" w:lineRule="auto"/>
        <w:jc w:val="both"/>
        <w:rPr>
          <w:rFonts w:ascii="Tahoma" w:hAnsi="Tahoma" w:cs="Tahoma"/>
          <w:noProof/>
          <w:sz w:val="23"/>
          <w:szCs w:val="23"/>
        </w:rPr>
      </w:pPr>
      <w:r w:rsidRPr="004954E5">
        <w:rPr>
          <w:rFonts w:ascii="Tahoma" w:hAnsi="Tahoma" w:cs="Tahoma"/>
          <w:noProof/>
          <w:sz w:val="23"/>
          <w:szCs w:val="23"/>
        </w:rPr>
        <w:t xml:space="preserve">Effective July 1, 2026, </w:t>
      </w:r>
      <w:r w:rsidR="006D7FAC">
        <w:rPr>
          <w:rFonts w:ascii="Tahoma" w:hAnsi="Tahoma" w:cs="Tahoma"/>
          <w:noProof/>
          <w:sz w:val="23"/>
          <w:szCs w:val="23"/>
        </w:rPr>
        <w:t xml:space="preserve">in both Fee </w:t>
      </w:r>
      <w:r w:rsidR="0024091E">
        <w:rPr>
          <w:rFonts w:ascii="Tahoma" w:hAnsi="Tahoma" w:cs="Tahoma"/>
          <w:noProof/>
          <w:sz w:val="23"/>
          <w:szCs w:val="23"/>
        </w:rPr>
        <w:t>F</w:t>
      </w:r>
      <w:r w:rsidR="006D7FAC">
        <w:rPr>
          <w:rFonts w:ascii="Tahoma" w:hAnsi="Tahoma" w:cs="Tahoma"/>
          <w:noProof/>
          <w:sz w:val="23"/>
          <w:szCs w:val="23"/>
        </w:rPr>
        <w:t>or Service</w:t>
      </w:r>
      <w:r w:rsidR="0024091E">
        <w:rPr>
          <w:rFonts w:ascii="Tahoma" w:hAnsi="Tahoma" w:cs="Tahoma"/>
          <w:noProof/>
          <w:sz w:val="23"/>
          <w:szCs w:val="23"/>
        </w:rPr>
        <w:t xml:space="preserve"> (FFS)</w:t>
      </w:r>
      <w:r w:rsidR="006D7FAC">
        <w:rPr>
          <w:rFonts w:ascii="Tahoma" w:hAnsi="Tahoma" w:cs="Tahoma"/>
          <w:noProof/>
          <w:sz w:val="23"/>
          <w:szCs w:val="23"/>
        </w:rPr>
        <w:t xml:space="preserve"> and Managed Care, t</w:t>
      </w:r>
      <w:r w:rsidR="006D7FAC" w:rsidRPr="004954E5">
        <w:rPr>
          <w:rFonts w:ascii="Tahoma" w:hAnsi="Tahoma" w:cs="Tahoma"/>
          <w:noProof/>
          <w:sz w:val="23"/>
          <w:szCs w:val="23"/>
        </w:rPr>
        <w:t xml:space="preserve">he </w:t>
      </w:r>
      <w:r w:rsidRPr="004954E5">
        <w:rPr>
          <w:rFonts w:ascii="Tahoma" w:hAnsi="Tahoma" w:cs="Tahoma"/>
          <w:noProof/>
          <w:sz w:val="23"/>
          <w:szCs w:val="23"/>
        </w:rPr>
        <w:t xml:space="preserve">MO HealthNet Division (MHD) will implement coverage of </w:t>
      </w:r>
      <w:r w:rsidR="009E116D" w:rsidRPr="004954E5">
        <w:rPr>
          <w:rFonts w:ascii="Tahoma" w:hAnsi="Tahoma" w:cs="Tahoma"/>
          <w:noProof/>
          <w:sz w:val="23"/>
          <w:szCs w:val="23"/>
        </w:rPr>
        <w:t xml:space="preserve">ACEs screenings for participants under age 21 using </w:t>
      </w:r>
      <w:r w:rsidRPr="004954E5">
        <w:rPr>
          <w:rFonts w:ascii="Tahoma" w:hAnsi="Tahoma" w:cs="Tahoma"/>
          <w:noProof/>
          <w:sz w:val="23"/>
          <w:szCs w:val="23"/>
        </w:rPr>
        <w:t>procedure codes G9919 and G9920</w:t>
      </w:r>
      <w:r w:rsidR="009E116D" w:rsidRPr="004954E5">
        <w:rPr>
          <w:rFonts w:ascii="Tahoma" w:hAnsi="Tahoma" w:cs="Tahoma"/>
          <w:noProof/>
          <w:sz w:val="23"/>
          <w:szCs w:val="23"/>
        </w:rPr>
        <w:t xml:space="preserve"> </w:t>
      </w:r>
      <w:r w:rsidR="004954E5">
        <w:rPr>
          <w:rFonts w:ascii="Tahoma" w:hAnsi="Tahoma" w:cs="Tahoma"/>
          <w:noProof/>
          <w:sz w:val="23"/>
          <w:szCs w:val="23"/>
        </w:rPr>
        <w:t>along with modifier</w:t>
      </w:r>
      <w:r w:rsidR="009E116D" w:rsidRPr="004954E5">
        <w:rPr>
          <w:rFonts w:ascii="Tahoma" w:hAnsi="Tahoma" w:cs="Tahoma"/>
          <w:noProof/>
          <w:sz w:val="23"/>
          <w:szCs w:val="23"/>
        </w:rPr>
        <w:t xml:space="preserve"> H</w:t>
      </w:r>
      <w:r w:rsidR="004954E5">
        <w:rPr>
          <w:rFonts w:ascii="Tahoma" w:hAnsi="Tahoma" w:cs="Tahoma"/>
          <w:noProof/>
          <w:sz w:val="23"/>
          <w:szCs w:val="23"/>
        </w:rPr>
        <w:t>A</w:t>
      </w:r>
      <w:r w:rsidRPr="004954E5">
        <w:rPr>
          <w:rFonts w:ascii="Tahoma" w:hAnsi="Tahoma" w:cs="Tahoma"/>
          <w:noProof/>
          <w:sz w:val="23"/>
          <w:szCs w:val="23"/>
        </w:rPr>
        <w:t>.</w:t>
      </w:r>
      <w:r w:rsidR="009E116D" w:rsidRPr="004954E5">
        <w:rPr>
          <w:rFonts w:ascii="Tahoma" w:hAnsi="Tahoma" w:cs="Tahoma"/>
          <w:noProof/>
          <w:sz w:val="23"/>
          <w:szCs w:val="23"/>
        </w:rPr>
        <w:t xml:space="preserve"> </w:t>
      </w:r>
      <w:r w:rsidR="0024091E">
        <w:rPr>
          <w:rFonts w:ascii="Tahoma" w:hAnsi="Tahoma" w:cs="Tahoma"/>
          <w:noProof/>
          <w:sz w:val="23"/>
          <w:szCs w:val="23"/>
        </w:rPr>
        <w:t xml:space="preserve">Refer to the chart below to determine which code to bill. </w:t>
      </w:r>
    </w:p>
    <w:p w14:paraId="0BC366F1" w14:textId="77777777" w:rsidR="0024091E" w:rsidRDefault="0024091E" w:rsidP="004B7603">
      <w:pPr>
        <w:spacing w:before="0" w:after="0" w:line="240" w:lineRule="auto"/>
        <w:jc w:val="both"/>
        <w:rPr>
          <w:rFonts w:ascii="Tahoma" w:hAnsi="Tahoma" w:cs="Tahoma"/>
          <w:noProof/>
          <w:sz w:val="23"/>
          <w:szCs w:val="23"/>
        </w:rPr>
      </w:pPr>
    </w:p>
    <w:p w14:paraId="7A1C0DD4" w14:textId="23E2C68A" w:rsidR="006B41DC" w:rsidRDefault="004C5AF3" w:rsidP="004B7603">
      <w:pPr>
        <w:spacing w:before="0" w:after="0" w:line="240" w:lineRule="auto"/>
        <w:jc w:val="both"/>
        <w:rPr>
          <w:rFonts w:ascii="Tahoma" w:hAnsi="Tahoma" w:cs="Tahoma"/>
          <w:noProof/>
          <w:sz w:val="23"/>
          <w:szCs w:val="23"/>
        </w:rPr>
      </w:pPr>
      <w:r>
        <w:rPr>
          <w:rFonts w:ascii="Tahoma" w:hAnsi="Tahoma" w:cs="Tahoma"/>
          <w:noProof/>
          <w:sz w:val="23"/>
          <w:szCs w:val="23"/>
        </w:rPr>
        <w:t>C</w:t>
      </w:r>
      <w:r w:rsidR="00661E6D">
        <w:rPr>
          <w:rFonts w:ascii="Tahoma" w:hAnsi="Tahoma" w:cs="Tahoma"/>
          <w:noProof/>
          <w:sz w:val="23"/>
          <w:szCs w:val="23"/>
        </w:rPr>
        <w:t>linical workflows, including follow-up actions</w:t>
      </w:r>
      <w:r>
        <w:rPr>
          <w:rFonts w:ascii="Tahoma" w:hAnsi="Tahoma" w:cs="Tahoma"/>
          <w:noProof/>
          <w:sz w:val="23"/>
          <w:szCs w:val="23"/>
        </w:rPr>
        <w:t xml:space="preserve"> based on level of risk</w:t>
      </w:r>
      <w:r w:rsidR="00661E6D">
        <w:rPr>
          <w:rFonts w:ascii="Tahoma" w:hAnsi="Tahoma" w:cs="Tahoma"/>
          <w:noProof/>
          <w:sz w:val="23"/>
          <w:szCs w:val="23"/>
        </w:rPr>
        <w:t xml:space="preserve">, can be found </w:t>
      </w:r>
      <w:r w:rsidR="00E37D47">
        <w:rPr>
          <w:rFonts w:ascii="Tahoma" w:hAnsi="Tahoma" w:cs="Tahoma"/>
          <w:noProof/>
          <w:sz w:val="23"/>
          <w:szCs w:val="23"/>
        </w:rPr>
        <w:t>in</w:t>
      </w:r>
      <w:r>
        <w:rPr>
          <w:rFonts w:ascii="Tahoma" w:hAnsi="Tahoma" w:cs="Tahoma"/>
          <w:noProof/>
          <w:sz w:val="23"/>
          <w:szCs w:val="23"/>
        </w:rPr>
        <w:t xml:space="preserve"> the</w:t>
      </w:r>
      <w:r w:rsidR="00E37D47">
        <w:rPr>
          <w:rFonts w:ascii="Tahoma" w:hAnsi="Tahoma" w:cs="Tahoma"/>
          <w:noProof/>
          <w:sz w:val="23"/>
          <w:szCs w:val="23"/>
        </w:rPr>
        <w:t xml:space="preserve"> </w:t>
      </w:r>
      <w:hyperlink r:id="rId13" w:history="1">
        <w:r w:rsidR="00AE12DE" w:rsidRPr="00AE12DE">
          <w:rPr>
            <w:rStyle w:val="Hyperlink"/>
            <w:rFonts w:ascii="Tahoma" w:hAnsi="Tahoma" w:cs="Tahoma"/>
            <w:noProof/>
            <w:sz w:val="23"/>
            <w:szCs w:val="23"/>
          </w:rPr>
          <w:t>ACEs and Toxic Stress Risk Assessment Algorithm</w:t>
        </w:r>
      </w:hyperlink>
      <w:r>
        <w:rPr>
          <w:rFonts w:ascii="Tahoma" w:hAnsi="Tahoma" w:cs="Tahoma"/>
          <w:noProof/>
          <w:sz w:val="23"/>
          <w:szCs w:val="23"/>
        </w:rPr>
        <w:t>.</w:t>
      </w:r>
    </w:p>
    <w:tbl>
      <w:tblPr>
        <w:tblStyle w:val="TableGrid"/>
        <w:tblW w:w="10543" w:type="dxa"/>
        <w:jc w:val="center"/>
        <w:tblLook w:val="04A0" w:firstRow="1" w:lastRow="0" w:firstColumn="1" w:lastColumn="0" w:noHBand="0" w:noVBand="1"/>
      </w:tblPr>
      <w:tblGrid>
        <w:gridCol w:w="1255"/>
        <w:gridCol w:w="1350"/>
        <w:gridCol w:w="5760"/>
        <w:gridCol w:w="2178"/>
      </w:tblGrid>
      <w:tr w:rsidR="009E116D" w:rsidRPr="009E116D" w14:paraId="4923306E" w14:textId="77777777" w:rsidTr="00FB23B0">
        <w:trPr>
          <w:trHeight w:val="764"/>
          <w:jc w:val="center"/>
        </w:trPr>
        <w:tc>
          <w:tcPr>
            <w:tcW w:w="1255" w:type="dxa"/>
            <w:shd w:val="clear" w:color="auto" w:fill="000000" w:themeFill="text1"/>
            <w:vAlign w:val="center"/>
          </w:tcPr>
          <w:p w14:paraId="5B84D6D5" w14:textId="3FE9F6E6" w:rsidR="009E116D" w:rsidRPr="009E116D" w:rsidRDefault="009E116D" w:rsidP="00FB23B0">
            <w:pPr>
              <w:spacing w:before="160" w:after="0" w:line="320" w:lineRule="atLeast"/>
              <w:jc w:val="center"/>
              <w:rPr>
                <w:rFonts w:ascii="Tahoma" w:hAnsi="Tahoma" w:cs="Tahoma"/>
                <w:b/>
                <w:bCs/>
                <w:noProof/>
                <w:sz w:val="26"/>
                <w:szCs w:val="26"/>
              </w:rPr>
            </w:pPr>
            <w:r w:rsidRPr="009E116D">
              <w:rPr>
                <w:rFonts w:ascii="Tahoma" w:hAnsi="Tahoma" w:cs="Tahoma"/>
                <w:b/>
                <w:bCs/>
                <w:noProof/>
                <w:sz w:val="26"/>
                <w:szCs w:val="26"/>
              </w:rPr>
              <w:t>HCPCS Code</w:t>
            </w:r>
          </w:p>
        </w:tc>
        <w:tc>
          <w:tcPr>
            <w:tcW w:w="1350" w:type="dxa"/>
            <w:shd w:val="clear" w:color="auto" w:fill="000000" w:themeFill="text1"/>
            <w:vAlign w:val="center"/>
          </w:tcPr>
          <w:p w14:paraId="47863D79" w14:textId="0BA3DB2F" w:rsidR="009E116D" w:rsidRPr="009E116D" w:rsidRDefault="009E116D" w:rsidP="00FB23B0">
            <w:pPr>
              <w:spacing w:before="160" w:after="0" w:line="320" w:lineRule="atLeast"/>
              <w:jc w:val="center"/>
              <w:rPr>
                <w:rFonts w:ascii="Tahoma" w:hAnsi="Tahoma" w:cs="Tahoma"/>
                <w:b/>
                <w:bCs/>
                <w:noProof/>
                <w:sz w:val="26"/>
                <w:szCs w:val="26"/>
              </w:rPr>
            </w:pPr>
            <w:r>
              <w:rPr>
                <w:rFonts w:ascii="Tahoma" w:hAnsi="Tahoma" w:cs="Tahoma"/>
                <w:b/>
                <w:bCs/>
                <w:noProof/>
                <w:sz w:val="26"/>
                <w:szCs w:val="26"/>
              </w:rPr>
              <w:t>Modifier</w:t>
            </w:r>
          </w:p>
        </w:tc>
        <w:tc>
          <w:tcPr>
            <w:tcW w:w="5760" w:type="dxa"/>
            <w:shd w:val="clear" w:color="auto" w:fill="000000" w:themeFill="text1"/>
            <w:vAlign w:val="center"/>
          </w:tcPr>
          <w:p w14:paraId="12329760" w14:textId="5AB4073B" w:rsidR="009E116D" w:rsidRPr="009E116D" w:rsidRDefault="009E116D" w:rsidP="00FB23B0">
            <w:pPr>
              <w:spacing w:before="160" w:after="0" w:line="320" w:lineRule="atLeast"/>
              <w:jc w:val="center"/>
              <w:rPr>
                <w:rFonts w:ascii="Tahoma" w:hAnsi="Tahoma" w:cs="Tahoma"/>
                <w:b/>
                <w:bCs/>
                <w:noProof/>
                <w:sz w:val="26"/>
                <w:szCs w:val="26"/>
              </w:rPr>
            </w:pPr>
            <w:r w:rsidRPr="009E116D">
              <w:rPr>
                <w:rFonts w:ascii="Tahoma" w:hAnsi="Tahoma" w:cs="Tahoma"/>
                <w:b/>
                <w:bCs/>
                <w:noProof/>
                <w:sz w:val="26"/>
                <w:szCs w:val="26"/>
              </w:rPr>
              <w:t>Description</w:t>
            </w:r>
          </w:p>
        </w:tc>
        <w:tc>
          <w:tcPr>
            <w:tcW w:w="2178" w:type="dxa"/>
            <w:shd w:val="clear" w:color="auto" w:fill="000000" w:themeFill="text1"/>
            <w:vAlign w:val="center"/>
          </w:tcPr>
          <w:p w14:paraId="39E60A3A" w14:textId="4E7C91DF" w:rsidR="009E116D" w:rsidRPr="009E116D" w:rsidRDefault="009E116D" w:rsidP="00FB23B0">
            <w:pPr>
              <w:spacing w:before="160" w:after="0" w:line="320" w:lineRule="atLeast"/>
              <w:jc w:val="center"/>
              <w:rPr>
                <w:rFonts w:ascii="Tahoma" w:hAnsi="Tahoma" w:cs="Tahoma"/>
                <w:b/>
                <w:bCs/>
                <w:noProof/>
                <w:sz w:val="26"/>
                <w:szCs w:val="26"/>
              </w:rPr>
            </w:pPr>
            <w:r w:rsidRPr="009E116D">
              <w:rPr>
                <w:rFonts w:ascii="Tahoma" w:hAnsi="Tahoma" w:cs="Tahoma"/>
                <w:b/>
                <w:bCs/>
                <w:noProof/>
                <w:sz w:val="26"/>
                <w:szCs w:val="26"/>
              </w:rPr>
              <w:t>Max Allowable Amount</w:t>
            </w:r>
          </w:p>
        </w:tc>
      </w:tr>
      <w:tr w:rsidR="009E116D" w14:paraId="1E454244" w14:textId="77777777" w:rsidTr="00FB23B0">
        <w:trPr>
          <w:jc w:val="center"/>
        </w:trPr>
        <w:tc>
          <w:tcPr>
            <w:tcW w:w="1255" w:type="dxa"/>
            <w:shd w:val="clear" w:color="auto" w:fill="auto"/>
            <w:vAlign w:val="center"/>
          </w:tcPr>
          <w:p w14:paraId="6605D23C" w14:textId="49BBD629" w:rsidR="009E116D" w:rsidRPr="000E2E64" w:rsidRDefault="009E116D" w:rsidP="00FB23B0">
            <w:pPr>
              <w:spacing w:before="160" w:after="0" w:line="320" w:lineRule="atLeast"/>
              <w:jc w:val="center"/>
              <w:rPr>
                <w:rFonts w:ascii="Tahoma" w:hAnsi="Tahoma" w:cs="Tahoma"/>
                <w:noProof/>
                <w:sz w:val="22"/>
                <w:szCs w:val="22"/>
              </w:rPr>
            </w:pPr>
            <w:r w:rsidRPr="000E2E64">
              <w:rPr>
                <w:rFonts w:ascii="Tahoma" w:hAnsi="Tahoma" w:cs="Tahoma"/>
                <w:noProof/>
                <w:sz w:val="22"/>
                <w:szCs w:val="22"/>
              </w:rPr>
              <w:t>G9919</w:t>
            </w:r>
          </w:p>
        </w:tc>
        <w:tc>
          <w:tcPr>
            <w:tcW w:w="1350" w:type="dxa"/>
            <w:vAlign w:val="center"/>
          </w:tcPr>
          <w:p w14:paraId="535A2C16" w14:textId="60C98C8A" w:rsidR="009E116D" w:rsidRPr="000E2E64" w:rsidRDefault="009E116D" w:rsidP="00FB23B0">
            <w:pPr>
              <w:spacing w:before="160" w:after="0" w:line="320" w:lineRule="atLeast"/>
              <w:jc w:val="center"/>
              <w:rPr>
                <w:rFonts w:ascii="Tahoma" w:hAnsi="Tahoma" w:cs="Tahoma"/>
                <w:noProof/>
                <w:sz w:val="22"/>
                <w:szCs w:val="22"/>
              </w:rPr>
            </w:pPr>
            <w:r>
              <w:rPr>
                <w:rFonts w:ascii="Tahoma" w:hAnsi="Tahoma" w:cs="Tahoma"/>
                <w:noProof/>
                <w:sz w:val="22"/>
                <w:szCs w:val="22"/>
              </w:rPr>
              <w:t>HA</w:t>
            </w:r>
          </w:p>
        </w:tc>
        <w:tc>
          <w:tcPr>
            <w:tcW w:w="5760" w:type="dxa"/>
            <w:shd w:val="clear" w:color="auto" w:fill="auto"/>
            <w:vAlign w:val="center"/>
          </w:tcPr>
          <w:p w14:paraId="085F45AE" w14:textId="03F11909" w:rsidR="009E116D" w:rsidRPr="000E2E64" w:rsidRDefault="009E116D" w:rsidP="00FB23B0">
            <w:pPr>
              <w:spacing w:before="160" w:after="0" w:line="320" w:lineRule="atLeast"/>
              <w:rPr>
                <w:rFonts w:ascii="Tahoma" w:hAnsi="Tahoma" w:cs="Tahoma"/>
                <w:noProof/>
                <w:sz w:val="22"/>
                <w:szCs w:val="22"/>
              </w:rPr>
            </w:pPr>
            <w:r w:rsidRPr="000E2E64">
              <w:rPr>
                <w:rFonts w:ascii="Tahoma" w:hAnsi="Tahoma" w:cs="Tahoma"/>
                <w:noProof/>
                <w:sz w:val="22"/>
                <w:szCs w:val="22"/>
              </w:rPr>
              <w:t>Screening for ACEs indicates a high-risk of toxic stress with a score of 4 or higher</w:t>
            </w:r>
          </w:p>
        </w:tc>
        <w:tc>
          <w:tcPr>
            <w:tcW w:w="2178" w:type="dxa"/>
            <w:shd w:val="clear" w:color="auto" w:fill="auto"/>
            <w:vAlign w:val="center"/>
          </w:tcPr>
          <w:p w14:paraId="4A00DDAE" w14:textId="699A8422" w:rsidR="009E116D" w:rsidRPr="000E2E64" w:rsidRDefault="009E116D" w:rsidP="00FB23B0">
            <w:pPr>
              <w:spacing w:before="160" w:after="0" w:line="320" w:lineRule="atLeast"/>
              <w:jc w:val="center"/>
              <w:rPr>
                <w:rFonts w:ascii="Tahoma" w:hAnsi="Tahoma" w:cs="Tahoma"/>
                <w:noProof/>
                <w:sz w:val="22"/>
                <w:szCs w:val="22"/>
              </w:rPr>
            </w:pPr>
            <w:r w:rsidRPr="000E2E64">
              <w:rPr>
                <w:rFonts w:ascii="Tahoma" w:hAnsi="Tahoma" w:cs="Tahoma"/>
                <w:noProof/>
                <w:sz w:val="22"/>
                <w:szCs w:val="22"/>
              </w:rPr>
              <w:t>$29.00</w:t>
            </w:r>
          </w:p>
        </w:tc>
      </w:tr>
      <w:tr w:rsidR="009E116D" w14:paraId="681DCB88" w14:textId="77777777" w:rsidTr="00FB23B0">
        <w:trPr>
          <w:jc w:val="center"/>
        </w:trPr>
        <w:tc>
          <w:tcPr>
            <w:tcW w:w="1255" w:type="dxa"/>
            <w:shd w:val="clear" w:color="auto" w:fill="F2F2F2" w:themeFill="background1" w:themeFillShade="F2"/>
            <w:vAlign w:val="center"/>
          </w:tcPr>
          <w:p w14:paraId="620BED50" w14:textId="7AC6D9B6" w:rsidR="009E116D" w:rsidRPr="000E2E64" w:rsidRDefault="009E116D" w:rsidP="00FB23B0">
            <w:pPr>
              <w:spacing w:before="160" w:after="0" w:line="320" w:lineRule="atLeast"/>
              <w:jc w:val="center"/>
              <w:rPr>
                <w:rFonts w:ascii="Tahoma" w:hAnsi="Tahoma" w:cs="Tahoma"/>
                <w:noProof/>
                <w:sz w:val="22"/>
                <w:szCs w:val="22"/>
              </w:rPr>
            </w:pPr>
            <w:r w:rsidRPr="000E2E64">
              <w:rPr>
                <w:rFonts w:ascii="Tahoma" w:hAnsi="Tahoma" w:cs="Tahoma"/>
                <w:noProof/>
                <w:sz w:val="22"/>
                <w:szCs w:val="22"/>
              </w:rPr>
              <w:lastRenderedPageBreak/>
              <w:t>G9920</w:t>
            </w:r>
          </w:p>
        </w:tc>
        <w:tc>
          <w:tcPr>
            <w:tcW w:w="1350" w:type="dxa"/>
            <w:shd w:val="clear" w:color="auto" w:fill="F2F2F2" w:themeFill="background1" w:themeFillShade="F2"/>
            <w:vAlign w:val="center"/>
          </w:tcPr>
          <w:p w14:paraId="2CF923C0" w14:textId="320A5657" w:rsidR="009E116D" w:rsidRPr="000E2E64" w:rsidRDefault="009E116D" w:rsidP="00FB23B0">
            <w:pPr>
              <w:spacing w:before="160" w:after="0" w:line="320" w:lineRule="atLeast"/>
              <w:jc w:val="center"/>
              <w:rPr>
                <w:rFonts w:ascii="Tahoma" w:hAnsi="Tahoma" w:cs="Tahoma"/>
                <w:noProof/>
                <w:sz w:val="22"/>
                <w:szCs w:val="22"/>
              </w:rPr>
            </w:pPr>
            <w:r>
              <w:rPr>
                <w:rFonts w:ascii="Tahoma" w:hAnsi="Tahoma" w:cs="Tahoma"/>
                <w:noProof/>
                <w:sz w:val="22"/>
                <w:szCs w:val="22"/>
              </w:rPr>
              <w:t>HA</w:t>
            </w:r>
          </w:p>
        </w:tc>
        <w:tc>
          <w:tcPr>
            <w:tcW w:w="5760" w:type="dxa"/>
            <w:shd w:val="clear" w:color="auto" w:fill="F2F2F2" w:themeFill="background1" w:themeFillShade="F2"/>
            <w:vAlign w:val="center"/>
          </w:tcPr>
          <w:p w14:paraId="7E9C0241" w14:textId="455A1C36" w:rsidR="009E116D" w:rsidRPr="000E2E64" w:rsidRDefault="009E116D" w:rsidP="00FB23B0">
            <w:pPr>
              <w:spacing w:before="160" w:after="0" w:line="320" w:lineRule="atLeast"/>
              <w:rPr>
                <w:rFonts w:ascii="Tahoma" w:hAnsi="Tahoma" w:cs="Tahoma"/>
                <w:noProof/>
                <w:sz w:val="22"/>
                <w:szCs w:val="22"/>
              </w:rPr>
            </w:pPr>
            <w:r w:rsidRPr="000E2E64">
              <w:rPr>
                <w:rFonts w:ascii="Tahoma" w:hAnsi="Tahoma" w:cs="Tahoma"/>
                <w:noProof/>
                <w:sz w:val="22"/>
                <w:szCs w:val="22"/>
              </w:rPr>
              <w:t>Screening for ACEs indicates a low risk for toxic stress with a score of 3 or lower</w:t>
            </w:r>
          </w:p>
        </w:tc>
        <w:tc>
          <w:tcPr>
            <w:tcW w:w="2178" w:type="dxa"/>
            <w:shd w:val="clear" w:color="auto" w:fill="F2F2F2" w:themeFill="background1" w:themeFillShade="F2"/>
            <w:vAlign w:val="center"/>
          </w:tcPr>
          <w:p w14:paraId="420F82E8" w14:textId="6AD48652" w:rsidR="009E116D" w:rsidRPr="000E2E64" w:rsidRDefault="009E116D" w:rsidP="00FB23B0">
            <w:pPr>
              <w:spacing w:before="160" w:after="0" w:line="320" w:lineRule="atLeast"/>
              <w:jc w:val="center"/>
              <w:rPr>
                <w:rFonts w:ascii="Tahoma" w:hAnsi="Tahoma" w:cs="Tahoma"/>
                <w:noProof/>
                <w:sz w:val="22"/>
                <w:szCs w:val="22"/>
              </w:rPr>
            </w:pPr>
            <w:r w:rsidRPr="000E2E64">
              <w:rPr>
                <w:rFonts w:ascii="Tahoma" w:hAnsi="Tahoma" w:cs="Tahoma"/>
                <w:noProof/>
                <w:sz w:val="22"/>
                <w:szCs w:val="22"/>
              </w:rPr>
              <w:t>$29.00</w:t>
            </w:r>
          </w:p>
        </w:tc>
      </w:tr>
    </w:tbl>
    <w:p w14:paraId="58A579AD" w14:textId="77777777" w:rsidR="004B7603" w:rsidRDefault="004B7603" w:rsidP="004B7603">
      <w:pPr>
        <w:spacing w:before="0" w:after="0" w:line="240" w:lineRule="auto"/>
        <w:jc w:val="both"/>
        <w:rPr>
          <w:rFonts w:ascii="Tahoma" w:hAnsi="Tahoma" w:cs="Tahoma"/>
          <w:noProof/>
          <w:sz w:val="23"/>
          <w:szCs w:val="23"/>
        </w:rPr>
      </w:pPr>
    </w:p>
    <w:p w14:paraId="3C0CA857" w14:textId="77777777" w:rsidR="0024091E" w:rsidRDefault="009E116D" w:rsidP="004B7603">
      <w:pPr>
        <w:spacing w:before="0" w:after="0" w:line="240" w:lineRule="auto"/>
        <w:jc w:val="both"/>
        <w:rPr>
          <w:rFonts w:ascii="Tahoma" w:hAnsi="Tahoma" w:cs="Tahoma"/>
          <w:noProof/>
          <w:sz w:val="23"/>
          <w:szCs w:val="23"/>
        </w:rPr>
      </w:pPr>
      <w:r w:rsidRPr="004954E5">
        <w:rPr>
          <w:rFonts w:ascii="Tahoma" w:hAnsi="Tahoma" w:cs="Tahoma"/>
          <w:noProof/>
          <w:sz w:val="23"/>
          <w:szCs w:val="23"/>
        </w:rPr>
        <w:t xml:space="preserve">MHD will limit screening to one unit per calendar year per provider. It is recommended that ACEs screenings be performed </w:t>
      </w:r>
      <w:r w:rsidR="00C93292">
        <w:rPr>
          <w:rFonts w:ascii="Tahoma" w:hAnsi="Tahoma" w:cs="Tahoma"/>
          <w:noProof/>
          <w:sz w:val="23"/>
          <w:szCs w:val="23"/>
        </w:rPr>
        <w:t>periodically</w:t>
      </w:r>
      <w:r w:rsidRPr="004954E5">
        <w:rPr>
          <w:rFonts w:ascii="Tahoma" w:hAnsi="Tahoma" w:cs="Tahoma"/>
          <w:noProof/>
          <w:sz w:val="23"/>
          <w:szCs w:val="23"/>
        </w:rPr>
        <w:t xml:space="preserve"> for children under the age of 21 to monitor the possible accumlation of ACEs over time, increasing their risk for toxic stress </w:t>
      </w:r>
      <w:r w:rsidR="00594F77">
        <w:rPr>
          <w:rFonts w:ascii="Tahoma" w:hAnsi="Tahoma" w:cs="Tahoma"/>
          <w:noProof/>
          <w:sz w:val="23"/>
          <w:szCs w:val="23"/>
        </w:rPr>
        <w:t>and its associated health conditions</w:t>
      </w:r>
      <w:r w:rsidRPr="004954E5">
        <w:rPr>
          <w:rFonts w:ascii="Tahoma" w:hAnsi="Tahoma" w:cs="Tahoma"/>
          <w:noProof/>
          <w:sz w:val="23"/>
          <w:szCs w:val="23"/>
        </w:rPr>
        <w:t xml:space="preserve">. </w:t>
      </w:r>
    </w:p>
    <w:p w14:paraId="0C4448A2" w14:textId="77777777" w:rsidR="0024091E" w:rsidRDefault="0024091E" w:rsidP="004B7603">
      <w:pPr>
        <w:spacing w:before="0" w:after="0" w:line="240" w:lineRule="auto"/>
        <w:jc w:val="both"/>
        <w:rPr>
          <w:rFonts w:ascii="Tahoma" w:hAnsi="Tahoma" w:cs="Tahoma"/>
          <w:noProof/>
          <w:sz w:val="23"/>
          <w:szCs w:val="23"/>
        </w:rPr>
      </w:pPr>
    </w:p>
    <w:p w14:paraId="65393B04" w14:textId="3B1769D8" w:rsidR="00222963" w:rsidRPr="00866256" w:rsidRDefault="009E116D" w:rsidP="00FB23B0">
      <w:pPr>
        <w:spacing w:before="0" w:after="0" w:line="240" w:lineRule="auto"/>
        <w:jc w:val="both"/>
        <w:rPr>
          <w:rFonts w:ascii="Tahoma" w:hAnsi="Tahoma" w:cs="Tahoma"/>
          <w:noProof/>
          <w:sz w:val="23"/>
          <w:szCs w:val="23"/>
        </w:rPr>
      </w:pPr>
      <w:r w:rsidRPr="004954E5">
        <w:rPr>
          <w:rFonts w:ascii="Tahoma" w:hAnsi="Tahoma" w:cs="Tahoma"/>
          <w:noProof/>
          <w:sz w:val="23"/>
          <w:szCs w:val="23"/>
        </w:rPr>
        <w:t xml:space="preserve">ACEs screening may be provided via telemedicine or in person. </w:t>
      </w:r>
      <w:r w:rsidR="00C271A0">
        <w:rPr>
          <w:rFonts w:ascii="Tahoma" w:hAnsi="Tahoma" w:cs="Tahoma"/>
          <w:noProof/>
          <w:sz w:val="23"/>
          <w:szCs w:val="23"/>
        </w:rPr>
        <w:t>In addition to identifying the participant’s ACE score, the provider should also assess for c</w:t>
      </w:r>
      <w:r w:rsidR="00222963">
        <w:rPr>
          <w:rFonts w:ascii="Tahoma" w:hAnsi="Tahoma" w:cs="Tahoma"/>
          <w:noProof/>
          <w:sz w:val="23"/>
          <w:szCs w:val="23"/>
        </w:rPr>
        <w:t>linical manifestations of toxic stress (ACE-Associated Health Conditions)</w:t>
      </w:r>
      <w:r w:rsidR="00C271A0">
        <w:rPr>
          <w:rFonts w:ascii="Tahoma" w:hAnsi="Tahoma" w:cs="Tahoma"/>
          <w:noProof/>
          <w:sz w:val="23"/>
          <w:szCs w:val="23"/>
        </w:rPr>
        <w:t xml:space="preserve"> and protective factors as part of a complete ACE screening</w:t>
      </w:r>
      <w:r w:rsidR="00740379">
        <w:rPr>
          <w:rFonts w:ascii="Tahoma" w:hAnsi="Tahoma" w:cs="Tahoma"/>
          <w:noProof/>
          <w:sz w:val="23"/>
          <w:szCs w:val="23"/>
        </w:rPr>
        <w:t xml:space="preserve"> in order to best inform treatment planning</w:t>
      </w:r>
      <w:r w:rsidR="00C271A0">
        <w:rPr>
          <w:rFonts w:ascii="Tahoma" w:hAnsi="Tahoma" w:cs="Tahoma"/>
          <w:noProof/>
          <w:sz w:val="23"/>
          <w:szCs w:val="23"/>
        </w:rPr>
        <w:t>.</w:t>
      </w:r>
    </w:p>
    <w:p w14:paraId="5B1B3317" w14:textId="77777777" w:rsidR="004B7603" w:rsidRDefault="004B7603" w:rsidP="004B7603">
      <w:pPr>
        <w:spacing w:before="0" w:after="0" w:line="240" w:lineRule="auto"/>
        <w:rPr>
          <w:rFonts w:ascii="Tahoma" w:hAnsi="Tahoma" w:cs="Tahoma"/>
          <w:b/>
          <w:bCs/>
          <w:noProof/>
          <w:sz w:val="23"/>
          <w:szCs w:val="23"/>
          <w:u w:val="single"/>
        </w:rPr>
      </w:pPr>
    </w:p>
    <w:p w14:paraId="56996CFB" w14:textId="3E68F210" w:rsidR="00F93368" w:rsidRDefault="004954E5" w:rsidP="004B7603">
      <w:pPr>
        <w:spacing w:before="0" w:after="0" w:line="240" w:lineRule="auto"/>
        <w:rPr>
          <w:rFonts w:ascii="Tahoma" w:hAnsi="Tahoma" w:cs="Tahoma"/>
          <w:b/>
          <w:bCs/>
          <w:noProof/>
          <w:sz w:val="23"/>
          <w:szCs w:val="23"/>
          <w:u w:val="single"/>
        </w:rPr>
      </w:pPr>
      <w:r>
        <w:rPr>
          <w:rFonts w:ascii="Tahoma" w:hAnsi="Tahoma" w:cs="Tahoma"/>
          <w:b/>
          <w:bCs/>
          <w:noProof/>
          <w:sz w:val="23"/>
          <w:szCs w:val="23"/>
          <w:u w:val="single"/>
        </w:rPr>
        <w:t>ACEs Screening Tools</w:t>
      </w:r>
    </w:p>
    <w:p w14:paraId="1865BB4A" w14:textId="04C39DE4" w:rsidR="004954E5" w:rsidRDefault="00FC27A8" w:rsidP="004B7603">
      <w:pPr>
        <w:spacing w:before="0" w:after="0" w:line="240" w:lineRule="auto"/>
        <w:jc w:val="both"/>
        <w:rPr>
          <w:rFonts w:ascii="Tahoma" w:hAnsi="Tahoma" w:cs="Tahoma"/>
          <w:noProof/>
          <w:sz w:val="23"/>
          <w:szCs w:val="23"/>
        </w:rPr>
      </w:pPr>
      <w:r w:rsidRPr="0089675F">
        <w:rPr>
          <w:rFonts w:ascii="Tahoma" w:hAnsi="Tahoma" w:cs="Tahoma"/>
          <w:noProof/>
          <w:sz w:val="23"/>
          <w:szCs w:val="23"/>
        </w:rPr>
        <w:t xml:space="preserve">For children and adolescents, the Pediatric ACEs and Related Life Events Screener (PEARLS) should be utilized, which incorporates </w:t>
      </w:r>
      <w:r w:rsidR="00C17F19" w:rsidRPr="0089675F">
        <w:rPr>
          <w:rFonts w:ascii="Tahoma" w:hAnsi="Tahoma" w:cs="Tahoma"/>
          <w:noProof/>
          <w:sz w:val="23"/>
          <w:szCs w:val="23"/>
        </w:rPr>
        <w:t>an ACE screen as well as a</w:t>
      </w:r>
      <w:r w:rsidR="00E474B4">
        <w:rPr>
          <w:rFonts w:ascii="Tahoma" w:hAnsi="Tahoma" w:cs="Tahoma"/>
          <w:noProof/>
          <w:sz w:val="23"/>
          <w:szCs w:val="23"/>
        </w:rPr>
        <w:t>n</w:t>
      </w:r>
      <w:r w:rsidR="00C17F19" w:rsidRPr="0089675F">
        <w:rPr>
          <w:rFonts w:ascii="Tahoma" w:hAnsi="Tahoma" w:cs="Tahoma"/>
          <w:noProof/>
          <w:sz w:val="23"/>
          <w:szCs w:val="23"/>
        </w:rPr>
        <w:t xml:space="preserve"> </w:t>
      </w:r>
      <w:r w:rsidR="00CF5281">
        <w:rPr>
          <w:rFonts w:ascii="Tahoma" w:hAnsi="Tahoma" w:cs="Tahoma"/>
          <w:noProof/>
          <w:sz w:val="23"/>
          <w:szCs w:val="23"/>
        </w:rPr>
        <w:t>upstream drivers of health</w:t>
      </w:r>
      <w:r w:rsidR="00C17F19" w:rsidRPr="0089675F">
        <w:rPr>
          <w:rFonts w:ascii="Tahoma" w:hAnsi="Tahoma" w:cs="Tahoma"/>
          <w:noProof/>
          <w:sz w:val="23"/>
          <w:szCs w:val="23"/>
        </w:rPr>
        <w:t xml:space="preserve"> screen. The following version of PEARLS should be used based on a</w:t>
      </w:r>
      <w:r w:rsidRPr="0089675F">
        <w:rPr>
          <w:rFonts w:ascii="Tahoma" w:hAnsi="Tahoma" w:cs="Tahoma"/>
          <w:noProof/>
          <w:sz w:val="23"/>
          <w:szCs w:val="23"/>
        </w:rPr>
        <w:t>ge and reporter:</w:t>
      </w:r>
    </w:p>
    <w:tbl>
      <w:tblPr>
        <w:tblStyle w:val="TableGrid"/>
        <w:tblW w:w="8095" w:type="dxa"/>
        <w:tblLook w:val="04A0" w:firstRow="1" w:lastRow="0" w:firstColumn="1" w:lastColumn="0" w:noHBand="0" w:noVBand="1"/>
      </w:tblPr>
      <w:tblGrid>
        <w:gridCol w:w="4135"/>
        <w:gridCol w:w="1350"/>
        <w:gridCol w:w="2610"/>
      </w:tblGrid>
      <w:tr w:rsidR="0024091E" w:rsidRPr="009E116D" w14:paraId="3EF3EDA8" w14:textId="77777777" w:rsidTr="00FB23B0">
        <w:trPr>
          <w:trHeight w:val="764"/>
        </w:trPr>
        <w:tc>
          <w:tcPr>
            <w:tcW w:w="4135" w:type="dxa"/>
            <w:shd w:val="clear" w:color="auto" w:fill="000000" w:themeFill="text1"/>
            <w:vAlign w:val="center"/>
          </w:tcPr>
          <w:p w14:paraId="60698086" w14:textId="0C9964ED" w:rsidR="0024091E" w:rsidRPr="009E116D" w:rsidRDefault="0024091E" w:rsidP="00FB23B0">
            <w:pPr>
              <w:spacing w:before="160" w:after="0" w:line="320" w:lineRule="atLeast"/>
              <w:jc w:val="center"/>
              <w:rPr>
                <w:rFonts w:ascii="Tahoma" w:hAnsi="Tahoma" w:cs="Tahoma"/>
                <w:b/>
                <w:bCs/>
                <w:noProof/>
                <w:sz w:val="26"/>
                <w:szCs w:val="26"/>
              </w:rPr>
            </w:pPr>
            <w:r>
              <w:rPr>
                <w:rFonts w:ascii="Tahoma" w:hAnsi="Tahoma" w:cs="Tahoma"/>
                <w:b/>
                <w:bCs/>
                <w:noProof/>
                <w:sz w:val="26"/>
                <w:szCs w:val="26"/>
              </w:rPr>
              <w:t>Version</w:t>
            </w:r>
          </w:p>
        </w:tc>
        <w:tc>
          <w:tcPr>
            <w:tcW w:w="1350" w:type="dxa"/>
            <w:shd w:val="clear" w:color="auto" w:fill="000000" w:themeFill="text1"/>
            <w:vAlign w:val="center"/>
          </w:tcPr>
          <w:p w14:paraId="4A748C91" w14:textId="6EA5A384" w:rsidR="0024091E" w:rsidRPr="009E116D" w:rsidRDefault="0024091E" w:rsidP="00FB23B0">
            <w:pPr>
              <w:spacing w:before="160" w:after="0" w:line="320" w:lineRule="atLeast"/>
              <w:jc w:val="center"/>
              <w:rPr>
                <w:rFonts w:ascii="Tahoma" w:hAnsi="Tahoma" w:cs="Tahoma"/>
                <w:b/>
                <w:bCs/>
                <w:noProof/>
                <w:sz w:val="26"/>
                <w:szCs w:val="26"/>
              </w:rPr>
            </w:pPr>
            <w:r>
              <w:rPr>
                <w:rFonts w:ascii="Tahoma" w:hAnsi="Tahoma" w:cs="Tahoma"/>
                <w:b/>
                <w:bCs/>
                <w:noProof/>
                <w:sz w:val="26"/>
                <w:szCs w:val="26"/>
              </w:rPr>
              <w:t>Ages</w:t>
            </w:r>
          </w:p>
        </w:tc>
        <w:tc>
          <w:tcPr>
            <w:tcW w:w="2610" w:type="dxa"/>
            <w:shd w:val="clear" w:color="auto" w:fill="000000" w:themeFill="text1"/>
            <w:vAlign w:val="center"/>
          </w:tcPr>
          <w:p w14:paraId="74416220" w14:textId="44D377E2" w:rsidR="0024091E" w:rsidRPr="009E116D" w:rsidRDefault="0024091E" w:rsidP="00FB23B0">
            <w:pPr>
              <w:spacing w:before="160" w:after="0" w:line="320" w:lineRule="atLeast"/>
              <w:jc w:val="center"/>
              <w:rPr>
                <w:rFonts w:ascii="Tahoma" w:hAnsi="Tahoma" w:cs="Tahoma"/>
                <w:b/>
                <w:bCs/>
                <w:noProof/>
                <w:sz w:val="26"/>
                <w:szCs w:val="26"/>
              </w:rPr>
            </w:pPr>
            <w:r>
              <w:rPr>
                <w:rFonts w:ascii="Tahoma" w:hAnsi="Tahoma" w:cs="Tahoma"/>
                <w:b/>
                <w:bCs/>
                <w:noProof/>
                <w:sz w:val="26"/>
                <w:szCs w:val="26"/>
              </w:rPr>
              <w:t>Completed By</w:t>
            </w:r>
          </w:p>
        </w:tc>
      </w:tr>
      <w:tr w:rsidR="0024091E" w14:paraId="4011F8D0" w14:textId="77777777" w:rsidTr="0024091E">
        <w:tc>
          <w:tcPr>
            <w:tcW w:w="4135" w:type="dxa"/>
            <w:shd w:val="clear" w:color="auto" w:fill="auto"/>
            <w:vAlign w:val="center"/>
          </w:tcPr>
          <w:p w14:paraId="2EF126FD" w14:textId="029AC3E1" w:rsidR="0024091E" w:rsidRPr="000E2E64" w:rsidRDefault="0024091E" w:rsidP="00FB23B0">
            <w:pPr>
              <w:spacing w:before="160" w:after="0" w:line="320" w:lineRule="atLeast"/>
              <w:rPr>
                <w:rFonts w:ascii="Tahoma" w:hAnsi="Tahoma" w:cs="Tahoma"/>
                <w:noProof/>
                <w:sz w:val="22"/>
                <w:szCs w:val="22"/>
              </w:rPr>
            </w:pPr>
            <w:r>
              <w:rPr>
                <w:rFonts w:ascii="Tahoma" w:hAnsi="Tahoma" w:cs="Tahoma"/>
                <w:noProof/>
                <w:sz w:val="22"/>
                <w:szCs w:val="22"/>
              </w:rPr>
              <w:t>PEARLS child tool</w:t>
            </w:r>
          </w:p>
        </w:tc>
        <w:tc>
          <w:tcPr>
            <w:tcW w:w="1350" w:type="dxa"/>
            <w:vAlign w:val="center"/>
          </w:tcPr>
          <w:p w14:paraId="74719365" w14:textId="5CE7B744" w:rsidR="0024091E" w:rsidRPr="000E2E64" w:rsidRDefault="0024091E" w:rsidP="00FB23B0">
            <w:pPr>
              <w:spacing w:before="160" w:after="0" w:line="320" w:lineRule="atLeast"/>
              <w:jc w:val="center"/>
              <w:rPr>
                <w:rFonts w:ascii="Tahoma" w:hAnsi="Tahoma" w:cs="Tahoma"/>
                <w:noProof/>
                <w:sz w:val="22"/>
                <w:szCs w:val="22"/>
              </w:rPr>
            </w:pPr>
            <w:r>
              <w:rPr>
                <w:rFonts w:ascii="Tahoma" w:hAnsi="Tahoma" w:cs="Tahoma"/>
                <w:noProof/>
                <w:sz w:val="22"/>
                <w:szCs w:val="22"/>
              </w:rPr>
              <w:t>0-11</w:t>
            </w:r>
          </w:p>
        </w:tc>
        <w:tc>
          <w:tcPr>
            <w:tcW w:w="2610" w:type="dxa"/>
            <w:shd w:val="clear" w:color="auto" w:fill="auto"/>
          </w:tcPr>
          <w:p w14:paraId="44308194" w14:textId="5AD39BEF" w:rsidR="0024091E" w:rsidRPr="000E2E64" w:rsidRDefault="0024091E" w:rsidP="00FB23B0">
            <w:pPr>
              <w:spacing w:before="160" w:after="0" w:line="320" w:lineRule="atLeast"/>
              <w:rPr>
                <w:rFonts w:ascii="Tahoma" w:hAnsi="Tahoma" w:cs="Tahoma"/>
                <w:noProof/>
                <w:sz w:val="22"/>
                <w:szCs w:val="22"/>
              </w:rPr>
            </w:pPr>
            <w:r>
              <w:rPr>
                <w:rFonts w:ascii="Tahoma" w:hAnsi="Tahoma" w:cs="Tahoma"/>
                <w:noProof/>
                <w:sz w:val="22"/>
                <w:szCs w:val="22"/>
              </w:rPr>
              <w:t>Caregiver</w:t>
            </w:r>
          </w:p>
        </w:tc>
      </w:tr>
      <w:tr w:rsidR="0024091E" w14:paraId="002D2DBB" w14:textId="77777777" w:rsidTr="00FB23B0">
        <w:tc>
          <w:tcPr>
            <w:tcW w:w="4135" w:type="dxa"/>
            <w:shd w:val="clear" w:color="auto" w:fill="F2F2F2" w:themeFill="background1" w:themeFillShade="F2"/>
            <w:vAlign w:val="center"/>
          </w:tcPr>
          <w:p w14:paraId="0C830E92" w14:textId="347AB8F2" w:rsidR="0024091E" w:rsidRPr="000E2E64" w:rsidRDefault="0024091E" w:rsidP="00FB23B0">
            <w:pPr>
              <w:spacing w:before="160" w:after="0" w:line="320" w:lineRule="atLeast"/>
              <w:rPr>
                <w:rFonts w:ascii="Tahoma" w:hAnsi="Tahoma" w:cs="Tahoma"/>
                <w:noProof/>
                <w:sz w:val="22"/>
                <w:szCs w:val="22"/>
              </w:rPr>
            </w:pPr>
            <w:r>
              <w:rPr>
                <w:rFonts w:ascii="Tahoma" w:hAnsi="Tahoma" w:cs="Tahoma"/>
                <w:noProof/>
                <w:sz w:val="22"/>
                <w:szCs w:val="22"/>
              </w:rPr>
              <w:t>PEARLS adolescent tool</w:t>
            </w:r>
          </w:p>
        </w:tc>
        <w:tc>
          <w:tcPr>
            <w:tcW w:w="1350" w:type="dxa"/>
            <w:shd w:val="clear" w:color="auto" w:fill="F2F2F2" w:themeFill="background1" w:themeFillShade="F2"/>
            <w:vAlign w:val="center"/>
          </w:tcPr>
          <w:p w14:paraId="1AD2A3B3" w14:textId="1DB40FC1" w:rsidR="0024091E" w:rsidRPr="000E2E64" w:rsidRDefault="0024091E" w:rsidP="00FB23B0">
            <w:pPr>
              <w:spacing w:before="160" w:after="0" w:line="320" w:lineRule="atLeast"/>
              <w:jc w:val="center"/>
              <w:rPr>
                <w:rFonts w:ascii="Tahoma" w:hAnsi="Tahoma" w:cs="Tahoma"/>
                <w:noProof/>
                <w:sz w:val="22"/>
                <w:szCs w:val="22"/>
              </w:rPr>
            </w:pPr>
            <w:r>
              <w:rPr>
                <w:rFonts w:ascii="Tahoma" w:hAnsi="Tahoma" w:cs="Tahoma"/>
                <w:noProof/>
                <w:sz w:val="22"/>
                <w:szCs w:val="22"/>
              </w:rPr>
              <w:t>12-19</w:t>
            </w:r>
          </w:p>
        </w:tc>
        <w:tc>
          <w:tcPr>
            <w:tcW w:w="2610" w:type="dxa"/>
            <w:shd w:val="clear" w:color="auto" w:fill="F2F2F2" w:themeFill="background1" w:themeFillShade="F2"/>
          </w:tcPr>
          <w:p w14:paraId="1DDEC765" w14:textId="63F66B81" w:rsidR="0024091E" w:rsidRPr="000E2E64" w:rsidRDefault="0024091E" w:rsidP="00FB23B0">
            <w:pPr>
              <w:spacing w:before="160" w:after="0" w:line="320" w:lineRule="atLeast"/>
              <w:rPr>
                <w:rFonts w:ascii="Tahoma" w:hAnsi="Tahoma" w:cs="Tahoma"/>
                <w:noProof/>
                <w:sz w:val="22"/>
                <w:szCs w:val="22"/>
              </w:rPr>
            </w:pPr>
            <w:r>
              <w:rPr>
                <w:rFonts w:ascii="Tahoma" w:hAnsi="Tahoma" w:cs="Tahoma"/>
                <w:noProof/>
                <w:sz w:val="22"/>
                <w:szCs w:val="22"/>
              </w:rPr>
              <w:t>Caregiver</w:t>
            </w:r>
          </w:p>
        </w:tc>
      </w:tr>
      <w:tr w:rsidR="0024091E" w14:paraId="20802FEF" w14:textId="77777777" w:rsidTr="00FB23B0">
        <w:tc>
          <w:tcPr>
            <w:tcW w:w="4135" w:type="dxa"/>
            <w:shd w:val="clear" w:color="auto" w:fill="auto"/>
            <w:vAlign w:val="center"/>
          </w:tcPr>
          <w:p w14:paraId="435187A7" w14:textId="50EBABE2" w:rsidR="0024091E" w:rsidRDefault="0024091E" w:rsidP="00FB23B0">
            <w:pPr>
              <w:spacing w:before="160" w:after="0" w:line="320" w:lineRule="atLeast"/>
              <w:rPr>
                <w:rFonts w:ascii="Tahoma" w:hAnsi="Tahoma" w:cs="Tahoma"/>
                <w:noProof/>
                <w:sz w:val="22"/>
                <w:szCs w:val="22"/>
              </w:rPr>
            </w:pPr>
            <w:r>
              <w:rPr>
                <w:rFonts w:ascii="Tahoma" w:hAnsi="Tahoma" w:cs="Tahoma"/>
                <w:noProof/>
                <w:sz w:val="22"/>
                <w:szCs w:val="22"/>
              </w:rPr>
              <w:t>PEARLS for adolescent self-report tool</w:t>
            </w:r>
          </w:p>
        </w:tc>
        <w:tc>
          <w:tcPr>
            <w:tcW w:w="1350" w:type="dxa"/>
            <w:vAlign w:val="center"/>
          </w:tcPr>
          <w:p w14:paraId="29CDEFA1" w14:textId="228EAED0" w:rsidR="0024091E" w:rsidRDefault="0024091E" w:rsidP="00FB23B0">
            <w:pPr>
              <w:spacing w:before="160" w:after="0" w:line="320" w:lineRule="atLeast"/>
              <w:jc w:val="center"/>
              <w:rPr>
                <w:rFonts w:ascii="Tahoma" w:hAnsi="Tahoma" w:cs="Tahoma"/>
                <w:noProof/>
                <w:sz w:val="22"/>
                <w:szCs w:val="22"/>
              </w:rPr>
            </w:pPr>
            <w:r>
              <w:rPr>
                <w:rFonts w:ascii="Tahoma" w:hAnsi="Tahoma" w:cs="Tahoma"/>
                <w:noProof/>
                <w:sz w:val="22"/>
                <w:szCs w:val="22"/>
              </w:rPr>
              <w:t>12-19</w:t>
            </w:r>
          </w:p>
        </w:tc>
        <w:tc>
          <w:tcPr>
            <w:tcW w:w="2610" w:type="dxa"/>
            <w:shd w:val="clear" w:color="auto" w:fill="auto"/>
          </w:tcPr>
          <w:p w14:paraId="5C6EC4C9" w14:textId="6E4B19C6" w:rsidR="0024091E" w:rsidRDefault="0024091E" w:rsidP="00FB23B0">
            <w:pPr>
              <w:spacing w:before="160" w:after="0" w:line="320" w:lineRule="atLeast"/>
              <w:rPr>
                <w:rFonts w:ascii="Tahoma" w:hAnsi="Tahoma" w:cs="Tahoma"/>
                <w:noProof/>
                <w:sz w:val="22"/>
                <w:szCs w:val="22"/>
              </w:rPr>
            </w:pPr>
            <w:r>
              <w:rPr>
                <w:rFonts w:ascii="Tahoma" w:hAnsi="Tahoma" w:cs="Tahoma"/>
                <w:noProof/>
                <w:sz w:val="22"/>
                <w:szCs w:val="22"/>
              </w:rPr>
              <w:t>The adolescent</w:t>
            </w:r>
          </w:p>
        </w:tc>
      </w:tr>
    </w:tbl>
    <w:p w14:paraId="30457E43" w14:textId="77777777" w:rsidR="0024091E" w:rsidRDefault="0024091E" w:rsidP="004B7603">
      <w:pPr>
        <w:spacing w:before="0" w:after="0" w:line="240" w:lineRule="auto"/>
        <w:jc w:val="both"/>
        <w:rPr>
          <w:rFonts w:ascii="Tahoma" w:hAnsi="Tahoma" w:cs="Tahoma"/>
          <w:noProof/>
          <w:sz w:val="23"/>
          <w:szCs w:val="23"/>
        </w:rPr>
      </w:pPr>
    </w:p>
    <w:p w14:paraId="02FF5B24" w14:textId="77777777" w:rsidR="008E6C9D" w:rsidRDefault="00C17F19" w:rsidP="004B7603">
      <w:pPr>
        <w:spacing w:before="0" w:after="0" w:line="240" w:lineRule="auto"/>
        <w:jc w:val="both"/>
        <w:rPr>
          <w:rFonts w:ascii="Tahoma" w:hAnsi="Tahoma" w:cs="Tahoma"/>
          <w:sz w:val="23"/>
          <w:szCs w:val="23"/>
        </w:rPr>
      </w:pPr>
      <w:r w:rsidRPr="0089675F">
        <w:rPr>
          <w:rFonts w:ascii="Tahoma" w:hAnsi="Tahoma" w:cs="Tahoma"/>
          <w:sz w:val="23"/>
          <w:szCs w:val="23"/>
        </w:rPr>
        <w:t xml:space="preserve">For individuals 18 years or older, the ACE Questionnaire for Adults should be used. This as well as the above mentioned versions of the PEARLS can be found at </w:t>
      </w:r>
      <w:hyperlink r:id="rId14" w:history="1">
        <w:r w:rsidRPr="0089675F">
          <w:rPr>
            <w:rStyle w:val="Hyperlink"/>
            <w:rFonts w:ascii="Tahoma" w:hAnsi="Tahoma" w:cs="Tahoma"/>
            <w:sz w:val="23"/>
            <w:szCs w:val="23"/>
          </w:rPr>
          <w:t>ACEs Aware</w:t>
        </w:r>
      </w:hyperlink>
      <w:r w:rsidRPr="0089675F">
        <w:rPr>
          <w:rFonts w:ascii="Tahoma" w:hAnsi="Tahoma" w:cs="Tahoma"/>
          <w:sz w:val="23"/>
          <w:szCs w:val="23"/>
        </w:rPr>
        <w:t xml:space="preserve">, including further instructions as well as </w:t>
      </w:r>
      <w:r w:rsidR="00234614" w:rsidRPr="0089675F">
        <w:rPr>
          <w:rFonts w:ascii="Tahoma" w:hAnsi="Tahoma" w:cs="Tahoma"/>
          <w:sz w:val="23"/>
          <w:szCs w:val="23"/>
        </w:rPr>
        <w:t>identified and de</w:t>
      </w:r>
      <w:r w:rsidR="00260830">
        <w:rPr>
          <w:rFonts w:ascii="Tahoma" w:hAnsi="Tahoma" w:cs="Tahoma"/>
          <w:sz w:val="23"/>
          <w:szCs w:val="23"/>
        </w:rPr>
        <w:t>-</w:t>
      </w:r>
      <w:r w:rsidR="00234614" w:rsidRPr="0089675F">
        <w:rPr>
          <w:rFonts w:ascii="Tahoma" w:hAnsi="Tahoma" w:cs="Tahoma"/>
          <w:sz w:val="23"/>
          <w:szCs w:val="23"/>
        </w:rPr>
        <w:t xml:space="preserve">identified versions of these screeners. </w:t>
      </w:r>
    </w:p>
    <w:p w14:paraId="1C9EB9CD" w14:textId="77777777" w:rsidR="008E6C9D" w:rsidRDefault="008E6C9D" w:rsidP="004B7603">
      <w:pPr>
        <w:spacing w:before="0" w:after="0" w:line="240" w:lineRule="auto"/>
        <w:jc w:val="both"/>
        <w:rPr>
          <w:rFonts w:ascii="Tahoma" w:hAnsi="Tahoma" w:cs="Tahoma"/>
          <w:sz w:val="23"/>
          <w:szCs w:val="23"/>
        </w:rPr>
      </w:pPr>
    </w:p>
    <w:p w14:paraId="1A15AE33" w14:textId="628ED56E" w:rsidR="00FC27A8" w:rsidRPr="0089675F" w:rsidRDefault="00C55C82" w:rsidP="00FB23B0">
      <w:pPr>
        <w:spacing w:before="0" w:after="0" w:line="240" w:lineRule="auto"/>
        <w:jc w:val="both"/>
        <w:rPr>
          <w:rFonts w:ascii="Tahoma" w:hAnsi="Tahoma" w:cs="Tahoma"/>
          <w:b/>
          <w:bCs/>
          <w:noProof/>
          <w:sz w:val="23"/>
          <w:szCs w:val="23"/>
          <w:u w:val="single"/>
        </w:rPr>
      </w:pPr>
      <w:r>
        <w:rPr>
          <w:rFonts w:ascii="Tahoma" w:hAnsi="Tahoma" w:cs="Tahoma"/>
          <w:sz w:val="23"/>
          <w:szCs w:val="23"/>
        </w:rPr>
        <w:t xml:space="preserve">The ACE screening and any follow-up response should be implemented in a trauma-informed manner to reduce the risk of retraumatization of participants. </w:t>
      </w:r>
      <w:r w:rsidR="003620CD">
        <w:rPr>
          <w:rFonts w:ascii="Tahoma" w:hAnsi="Tahoma" w:cs="Tahoma"/>
          <w:sz w:val="23"/>
          <w:szCs w:val="23"/>
        </w:rPr>
        <w:t>MHD recommends the use of de</w:t>
      </w:r>
      <w:r w:rsidR="00260830">
        <w:rPr>
          <w:rFonts w:ascii="Tahoma" w:hAnsi="Tahoma" w:cs="Tahoma"/>
          <w:sz w:val="23"/>
          <w:szCs w:val="23"/>
        </w:rPr>
        <w:t>-</w:t>
      </w:r>
      <w:r w:rsidR="003620CD">
        <w:rPr>
          <w:rFonts w:ascii="Tahoma" w:hAnsi="Tahoma" w:cs="Tahoma"/>
          <w:sz w:val="23"/>
          <w:szCs w:val="23"/>
        </w:rPr>
        <w:t xml:space="preserve">identified screenings based on </w:t>
      </w:r>
      <w:r w:rsidR="000001CC">
        <w:rPr>
          <w:rFonts w:ascii="Tahoma" w:hAnsi="Tahoma" w:cs="Tahoma"/>
          <w:sz w:val="23"/>
          <w:szCs w:val="23"/>
        </w:rPr>
        <w:t>indicators</w:t>
      </w:r>
      <w:r w:rsidR="003620CD">
        <w:rPr>
          <w:rFonts w:ascii="Tahoma" w:hAnsi="Tahoma" w:cs="Tahoma"/>
          <w:sz w:val="23"/>
          <w:szCs w:val="23"/>
        </w:rPr>
        <w:t xml:space="preserve"> from ACEs Aware that their use</w:t>
      </w:r>
      <w:r w:rsidR="000001CC">
        <w:rPr>
          <w:rFonts w:ascii="Tahoma" w:hAnsi="Tahoma" w:cs="Tahoma"/>
          <w:sz w:val="23"/>
          <w:szCs w:val="23"/>
        </w:rPr>
        <w:t>, as opposed to the identified versions,</w:t>
      </w:r>
      <w:r w:rsidR="003620CD">
        <w:rPr>
          <w:rFonts w:ascii="Tahoma" w:hAnsi="Tahoma" w:cs="Tahoma"/>
          <w:sz w:val="23"/>
          <w:szCs w:val="23"/>
        </w:rPr>
        <w:t xml:space="preserve"> may facilitate higher rates of disclosure and greater patient comfort with the screening experience. </w:t>
      </w:r>
      <w:r w:rsidR="0086501F">
        <w:rPr>
          <w:rFonts w:ascii="Tahoma" w:hAnsi="Tahoma" w:cs="Tahoma"/>
          <w:sz w:val="23"/>
          <w:szCs w:val="23"/>
        </w:rPr>
        <w:t>For the de-identified versions, the respondent reports the total number of ACE categories</w:t>
      </w:r>
      <w:r w:rsidR="00260830">
        <w:rPr>
          <w:rFonts w:ascii="Tahoma" w:hAnsi="Tahoma" w:cs="Tahoma"/>
          <w:sz w:val="23"/>
          <w:szCs w:val="23"/>
        </w:rPr>
        <w:t xml:space="preserve"> </w:t>
      </w:r>
      <w:r w:rsidR="0086501F">
        <w:rPr>
          <w:rFonts w:ascii="Tahoma" w:hAnsi="Tahoma" w:cs="Tahoma"/>
          <w:sz w:val="23"/>
          <w:szCs w:val="23"/>
        </w:rPr>
        <w:t>without identifying which ACE(s) were experienced.</w:t>
      </w:r>
    </w:p>
    <w:p w14:paraId="16D205CA" w14:textId="77777777" w:rsidR="004B7603" w:rsidRDefault="004B7603" w:rsidP="004B7603">
      <w:pPr>
        <w:spacing w:before="0" w:after="0" w:line="240" w:lineRule="auto"/>
        <w:rPr>
          <w:rFonts w:ascii="Tahoma" w:hAnsi="Tahoma" w:cs="Tahoma"/>
          <w:b/>
          <w:bCs/>
          <w:noProof/>
          <w:sz w:val="23"/>
          <w:szCs w:val="23"/>
          <w:u w:val="single"/>
        </w:rPr>
      </w:pPr>
    </w:p>
    <w:p w14:paraId="41E37904" w14:textId="1B5B40CF" w:rsidR="004954E5" w:rsidRDefault="004954E5" w:rsidP="004B7603">
      <w:pPr>
        <w:spacing w:before="0" w:after="0" w:line="240" w:lineRule="auto"/>
        <w:rPr>
          <w:rFonts w:ascii="Tahoma" w:hAnsi="Tahoma" w:cs="Tahoma"/>
          <w:b/>
          <w:bCs/>
          <w:noProof/>
          <w:sz w:val="23"/>
          <w:szCs w:val="23"/>
          <w:u w:val="single"/>
        </w:rPr>
      </w:pPr>
      <w:r>
        <w:rPr>
          <w:rFonts w:ascii="Tahoma" w:hAnsi="Tahoma" w:cs="Tahoma"/>
          <w:b/>
          <w:bCs/>
          <w:noProof/>
          <w:sz w:val="23"/>
          <w:szCs w:val="23"/>
          <w:u w:val="single"/>
        </w:rPr>
        <w:t>Documentation</w:t>
      </w:r>
    </w:p>
    <w:p w14:paraId="3C8092B5" w14:textId="03C5CDEF" w:rsidR="0089675F" w:rsidRDefault="00885CCE" w:rsidP="00FB23B0">
      <w:pPr>
        <w:spacing w:before="0" w:after="0" w:line="240" w:lineRule="auto"/>
        <w:jc w:val="both"/>
        <w:rPr>
          <w:rFonts w:ascii="Tahoma" w:hAnsi="Tahoma" w:cs="Tahoma"/>
          <w:b/>
          <w:bCs/>
          <w:noProof/>
          <w:sz w:val="23"/>
          <w:szCs w:val="23"/>
          <w:u w:val="single"/>
        </w:rPr>
      </w:pPr>
      <w:r w:rsidRPr="00885CCE">
        <w:rPr>
          <w:rFonts w:ascii="Tahoma" w:hAnsi="Tahoma" w:cs="Tahoma"/>
          <w:noProof/>
          <w:sz w:val="23"/>
          <w:szCs w:val="23"/>
        </w:rPr>
        <w:t xml:space="preserve">Documentation should be included in the participant’s record that an ACEs screening was performed </w:t>
      </w:r>
      <w:r w:rsidR="00C93292">
        <w:rPr>
          <w:rFonts w:ascii="Tahoma" w:hAnsi="Tahoma" w:cs="Tahoma"/>
          <w:noProof/>
          <w:sz w:val="23"/>
          <w:szCs w:val="23"/>
        </w:rPr>
        <w:t xml:space="preserve">and reviewed </w:t>
      </w:r>
      <w:r w:rsidRPr="00885CCE">
        <w:rPr>
          <w:rFonts w:ascii="Tahoma" w:hAnsi="Tahoma" w:cs="Tahoma"/>
          <w:noProof/>
          <w:sz w:val="23"/>
          <w:szCs w:val="23"/>
        </w:rPr>
        <w:t>as well as the participant’s ACEs score</w:t>
      </w:r>
      <w:r w:rsidR="00857C6C">
        <w:rPr>
          <w:rFonts w:ascii="Tahoma" w:hAnsi="Tahoma" w:cs="Tahoma"/>
          <w:noProof/>
          <w:sz w:val="23"/>
          <w:szCs w:val="23"/>
        </w:rPr>
        <w:t>, ACE-Associated Health Conditions, and Protective Factors</w:t>
      </w:r>
      <w:r w:rsidRPr="00885CCE">
        <w:rPr>
          <w:rFonts w:ascii="Tahoma" w:hAnsi="Tahoma" w:cs="Tahoma"/>
          <w:noProof/>
          <w:sz w:val="23"/>
          <w:szCs w:val="23"/>
        </w:rPr>
        <w:t xml:space="preserve">. However, </w:t>
      </w:r>
      <w:r w:rsidR="006D7FAC">
        <w:rPr>
          <w:rFonts w:ascii="Tahoma" w:hAnsi="Tahoma" w:cs="Tahoma"/>
          <w:noProof/>
          <w:sz w:val="23"/>
          <w:szCs w:val="23"/>
        </w:rPr>
        <w:t xml:space="preserve">documentation indicating which ACEs were endorsed is not required for </w:t>
      </w:r>
      <w:r w:rsidRPr="00885CCE">
        <w:rPr>
          <w:rFonts w:ascii="Tahoma" w:hAnsi="Tahoma" w:cs="Tahoma"/>
          <w:noProof/>
          <w:sz w:val="23"/>
          <w:szCs w:val="23"/>
        </w:rPr>
        <w:t xml:space="preserve"> reimbursement. </w:t>
      </w:r>
      <w:r w:rsidR="00C93292">
        <w:rPr>
          <w:rFonts w:ascii="Tahoma" w:hAnsi="Tahoma" w:cs="Tahoma"/>
          <w:noProof/>
          <w:sz w:val="23"/>
          <w:szCs w:val="23"/>
        </w:rPr>
        <w:t xml:space="preserve">What was discussed with the participant/family as well as any appropriate actions taken </w:t>
      </w:r>
      <w:r w:rsidRPr="00885CCE">
        <w:rPr>
          <w:rFonts w:ascii="Tahoma" w:hAnsi="Tahoma" w:cs="Tahoma"/>
          <w:noProof/>
          <w:sz w:val="23"/>
          <w:szCs w:val="23"/>
        </w:rPr>
        <w:t xml:space="preserve">should also be documented in the participant’s record. </w:t>
      </w:r>
    </w:p>
    <w:p w14:paraId="461E74F6" w14:textId="77777777" w:rsidR="004B7603" w:rsidRDefault="004B7603" w:rsidP="004B7603">
      <w:pPr>
        <w:spacing w:before="0" w:after="0" w:line="240" w:lineRule="auto"/>
        <w:rPr>
          <w:rFonts w:ascii="Tahoma" w:hAnsi="Tahoma" w:cs="Tahoma"/>
          <w:b/>
          <w:bCs/>
          <w:noProof/>
          <w:sz w:val="23"/>
          <w:szCs w:val="23"/>
          <w:u w:val="single"/>
        </w:rPr>
      </w:pPr>
    </w:p>
    <w:p w14:paraId="1EA4A0B9" w14:textId="726FCD28" w:rsidR="00F93368" w:rsidRDefault="00F93368" w:rsidP="004B7603">
      <w:pPr>
        <w:spacing w:before="0" w:after="0" w:line="240" w:lineRule="auto"/>
        <w:rPr>
          <w:rFonts w:ascii="Tahoma" w:hAnsi="Tahoma" w:cs="Tahoma"/>
          <w:b/>
          <w:bCs/>
          <w:noProof/>
          <w:sz w:val="23"/>
          <w:szCs w:val="23"/>
          <w:u w:val="single"/>
        </w:rPr>
      </w:pPr>
      <w:r>
        <w:rPr>
          <w:rFonts w:ascii="Tahoma" w:hAnsi="Tahoma" w:cs="Tahoma"/>
          <w:b/>
          <w:bCs/>
          <w:noProof/>
          <w:sz w:val="23"/>
          <w:szCs w:val="23"/>
          <w:u w:val="single"/>
        </w:rPr>
        <w:t>Certification</w:t>
      </w:r>
    </w:p>
    <w:p w14:paraId="28E482B6" w14:textId="1CD94FD1" w:rsidR="0073674A" w:rsidRDefault="001A163B" w:rsidP="00FB23B0">
      <w:pPr>
        <w:spacing w:before="0" w:after="0" w:line="240" w:lineRule="auto"/>
        <w:jc w:val="both"/>
        <w:rPr>
          <w:rFonts w:ascii="Tahoma" w:hAnsi="Tahoma" w:cs="Tahoma"/>
          <w:noProof/>
          <w:sz w:val="23"/>
          <w:szCs w:val="23"/>
        </w:rPr>
      </w:pPr>
      <w:r>
        <w:rPr>
          <w:rFonts w:ascii="Tahoma" w:hAnsi="Tahoma" w:cs="Tahoma"/>
          <w:noProof/>
          <w:sz w:val="23"/>
          <w:szCs w:val="23"/>
        </w:rPr>
        <w:t xml:space="preserve">Eligible </w:t>
      </w:r>
      <w:r w:rsidR="00F93368" w:rsidRPr="004954E5">
        <w:rPr>
          <w:rFonts w:ascii="Tahoma" w:hAnsi="Tahoma" w:cs="Tahoma"/>
          <w:noProof/>
          <w:sz w:val="23"/>
          <w:szCs w:val="23"/>
        </w:rPr>
        <w:t xml:space="preserve">MO HealthNet-enrolled providers must complete </w:t>
      </w:r>
      <w:r>
        <w:rPr>
          <w:rFonts w:ascii="Tahoma" w:hAnsi="Tahoma" w:cs="Tahoma"/>
          <w:noProof/>
          <w:sz w:val="23"/>
          <w:szCs w:val="23"/>
        </w:rPr>
        <w:t>the</w:t>
      </w:r>
      <w:r w:rsidRPr="004954E5">
        <w:rPr>
          <w:rFonts w:ascii="Tahoma" w:hAnsi="Tahoma" w:cs="Tahoma"/>
          <w:noProof/>
          <w:sz w:val="23"/>
          <w:szCs w:val="23"/>
        </w:rPr>
        <w:t xml:space="preserve"> </w:t>
      </w:r>
      <w:hyperlink r:id="rId15" w:history="1">
        <w:r w:rsidRPr="008E6C9D">
          <w:rPr>
            <w:rStyle w:val="Hyperlink"/>
            <w:rFonts w:ascii="Tahoma" w:hAnsi="Tahoma" w:cs="Tahoma"/>
            <w:sz w:val="23"/>
            <w:szCs w:val="23"/>
          </w:rPr>
          <w:t>Becoming</w:t>
        </w:r>
        <w:r w:rsidRPr="00FB23B0">
          <w:rPr>
            <w:rStyle w:val="Hyperlink"/>
            <w:rFonts w:ascii="Tahoma" w:hAnsi="Tahoma" w:cs="Tahoma"/>
          </w:rPr>
          <w:t xml:space="preserve"> ACEs Aware training</w:t>
        </w:r>
      </w:hyperlink>
      <w:r w:rsidR="00F93368" w:rsidRPr="004954E5">
        <w:rPr>
          <w:rFonts w:ascii="Tahoma" w:hAnsi="Tahoma" w:cs="Tahoma"/>
          <w:noProof/>
          <w:sz w:val="23"/>
          <w:szCs w:val="23"/>
        </w:rPr>
        <w:t xml:space="preserve"> in order to receive reimbursement for these codes. </w:t>
      </w:r>
      <w:r>
        <w:rPr>
          <w:rFonts w:ascii="Tahoma" w:hAnsi="Tahoma" w:cs="Tahoma"/>
          <w:noProof/>
          <w:sz w:val="23"/>
          <w:szCs w:val="23"/>
        </w:rPr>
        <w:t xml:space="preserve">This is a free, two-hour, online course that covers ACEs, toxic stress, ACE screening, toxic stress risk assessment, and trauma-informed care as well as </w:t>
      </w:r>
      <w:r>
        <w:rPr>
          <w:rFonts w:ascii="Tahoma" w:hAnsi="Tahoma" w:cs="Tahoma"/>
          <w:noProof/>
          <w:sz w:val="23"/>
          <w:szCs w:val="23"/>
        </w:rPr>
        <w:lastRenderedPageBreak/>
        <w:t xml:space="preserve">evidence-based strategies providers can utilize to prevent and mitigate toxic stress physiology. </w:t>
      </w:r>
      <w:r w:rsidR="00F93368" w:rsidRPr="004954E5">
        <w:rPr>
          <w:rFonts w:ascii="Tahoma" w:hAnsi="Tahoma" w:cs="Tahoma"/>
          <w:noProof/>
          <w:sz w:val="23"/>
          <w:szCs w:val="23"/>
        </w:rPr>
        <w:t xml:space="preserve">Eligible providers must be able to </w:t>
      </w:r>
      <w:r w:rsidR="006B41DC" w:rsidRPr="004954E5">
        <w:rPr>
          <w:rFonts w:ascii="Tahoma" w:hAnsi="Tahoma" w:cs="Tahoma"/>
          <w:noProof/>
          <w:sz w:val="23"/>
          <w:szCs w:val="23"/>
        </w:rPr>
        <w:t>provide certificate</w:t>
      </w:r>
      <w:r w:rsidR="00F93368" w:rsidRPr="004954E5">
        <w:rPr>
          <w:rFonts w:ascii="Tahoma" w:hAnsi="Tahoma" w:cs="Tahoma"/>
          <w:noProof/>
          <w:sz w:val="23"/>
          <w:szCs w:val="23"/>
        </w:rPr>
        <w:t xml:space="preserve"> of completion upon request. </w:t>
      </w:r>
    </w:p>
    <w:p w14:paraId="07C1278C" w14:textId="77777777" w:rsidR="008E6C9D" w:rsidRDefault="008E6C9D" w:rsidP="004B7603">
      <w:pPr>
        <w:spacing w:before="0" w:after="0" w:line="240" w:lineRule="auto"/>
        <w:jc w:val="both"/>
        <w:rPr>
          <w:rFonts w:ascii="Tahoma" w:hAnsi="Tahoma" w:cs="Tahoma"/>
          <w:noProof/>
          <w:sz w:val="23"/>
          <w:szCs w:val="23"/>
        </w:rPr>
      </w:pPr>
    </w:p>
    <w:p w14:paraId="55715696" w14:textId="1A1737B7" w:rsidR="00901A78" w:rsidRDefault="00901A78" w:rsidP="004B7603">
      <w:pPr>
        <w:spacing w:before="0" w:after="0" w:line="240" w:lineRule="auto"/>
        <w:jc w:val="both"/>
        <w:rPr>
          <w:rFonts w:ascii="Tahoma" w:hAnsi="Tahoma" w:cs="Tahoma"/>
          <w:noProof/>
          <w:sz w:val="23"/>
          <w:szCs w:val="23"/>
        </w:rPr>
      </w:pPr>
      <w:r>
        <w:rPr>
          <w:rFonts w:ascii="Tahoma" w:hAnsi="Tahoma" w:cs="Tahoma"/>
          <w:noProof/>
          <w:sz w:val="23"/>
          <w:szCs w:val="23"/>
        </w:rPr>
        <w:t>Endnotes</w:t>
      </w:r>
    </w:p>
    <w:p w14:paraId="22AC5119" w14:textId="5DA7B2CA" w:rsidR="006D7FAC" w:rsidRDefault="00901A78" w:rsidP="004B7603">
      <w:pPr>
        <w:spacing w:before="0" w:after="0" w:line="240" w:lineRule="auto"/>
        <w:jc w:val="both"/>
      </w:pPr>
      <w:r>
        <w:rPr>
          <w:rFonts w:ascii="Tahoma" w:hAnsi="Tahoma" w:cs="Tahoma"/>
          <w:noProof/>
          <w:sz w:val="23"/>
          <w:szCs w:val="23"/>
          <w:vertAlign w:val="superscript"/>
        </w:rPr>
        <w:t>1</w:t>
      </w:r>
      <w:r w:rsidR="0086501F" w:rsidRPr="0086501F">
        <w:rPr>
          <w:rFonts w:ascii="Tahoma" w:hAnsi="Tahoma" w:cs="Tahoma"/>
          <w:noProof/>
          <w:sz w:val="23"/>
          <w:szCs w:val="23"/>
        </w:rPr>
        <w:t xml:space="preserve">National Academies of Sciences, Engineering, and Medicine. (2019). </w:t>
      </w:r>
      <w:r w:rsidR="0086501F" w:rsidRPr="0086501F">
        <w:rPr>
          <w:rFonts w:ascii="Tahoma" w:hAnsi="Tahoma" w:cs="Tahoma"/>
          <w:i/>
          <w:iCs/>
          <w:noProof/>
          <w:sz w:val="23"/>
          <w:szCs w:val="23"/>
        </w:rPr>
        <w:t>Vibrant and healthy kids: Aligning science, practice, and policy to advance health equity</w:t>
      </w:r>
      <w:r w:rsidR="0086501F" w:rsidRPr="0086501F">
        <w:rPr>
          <w:rFonts w:ascii="Tahoma" w:hAnsi="Tahoma" w:cs="Tahoma"/>
          <w:noProof/>
          <w:sz w:val="23"/>
          <w:szCs w:val="23"/>
        </w:rPr>
        <w:t xml:space="preserve">. The National Academies Press. </w:t>
      </w:r>
      <w:hyperlink r:id="rId16" w:tgtFrame="_blank" w:history="1">
        <w:r w:rsidR="0086501F" w:rsidRPr="0086501F">
          <w:rPr>
            <w:rStyle w:val="Hyperlink"/>
            <w:rFonts w:ascii="Tahoma" w:hAnsi="Tahoma" w:cs="Tahoma"/>
            <w:noProof/>
            <w:sz w:val="23"/>
            <w:szCs w:val="23"/>
          </w:rPr>
          <w:t>https://doi.org/10.17226/25466</w:t>
        </w:r>
      </w:hyperlink>
    </w:p>
    <w:p w14:paraId="409E5BEA" w14:textId="77777777" w:rsidR="004B7603" w:rsidRPr="00901A78" w:rsidRDefault="004B7603" w:rsidP="00FB23B0">
      <w:pPr>
        <w:spacing w:before="0" w:after="0" w:line="240" w:lineRule="auto"/>
        <w:jc w:val="both"/>
        <w:rPr>
          <w:rFonts w:ascii="Tahoma" w:hAnsi="Tahoma" w:cs="Tahoma"/>
          <w:noProof/>
          <w:sz w:val="23"/>
          <w:szCs w:val="23"/>
        </w:rPr>
      </w:pPr>
    </w:p>
    <w:p w14:paraId="6CE2C629" w14:textId="64E547D4" w:rsidR="00E73773" w:rsidRPr="00087573" w:rsidRDefault="00C3526D" w:rsidP="00A95170">
      <w:pPr>
        <w:pStyle w:val="Bulletinendtext"/>
        <w:rPr>
          <w:rFonts w:ascii="Tahoma" w:hAnsi="Tahoma" w:cs="Tahoma"/>
        </w:rPr>
      </w:pPr>
      <w:r w:rsidRPr="00087573">
        <w:rPr>
          <w:rFonts w:ascii="Tahoma" w:hAnsi="Tahoma" w:cs="Tahoma"/>
        </w:rPr>
        <w:t xml:space="preserve">MO HealthNet Fee-For-Service (FFS) </w:t>
      </w:r>
      <w:r w:rsidR="001E4707" w:rsidRPr="00087573">
        <w:rPr>
          <w:rFonts w:ascii="Tahoma" w:hAnsi="Tahoma" w:cs="Tahoma"/>
        </w:rPr>
        <w:t>policies guide basic coverage for Managed Care (MC), though MC plans may add requirements like prior authorization. Some services, including pharmacy, are carved out of MC and paid through FFS. Contact each</w:t>
      </w:r>
      <w:r w:rsidR="00B4768B" w:rsidRPr="00087573">
        <w:rPr>
          <w:rFonts w:ascii="Tahoma" w:hAnsi="Tahoma" w:cs="Tahoma"/>
        </w:rPr>
        <w:t xml:space="preserve"> </w:t>
      </w:r>
      <w:hyperlink r:id="rId17" w:history="1">
        <w:r w:rsidR="001E4707" w:rsidRPr="00087573">
          <w:rPr>
            <w:rStyle w:val="Hyperlink"/>
            <w:rFonts w:ascii="Tahoma" w:hAnsi="Tahoma" w:cs="Tahoma"/>
            <w:sz w:val="18"/>
          </w:rPr>
          <w:t>MC health plan</w:t>
        </w:r>
      </w:hyperlink>
      <w:r w:rsidR="001E4707" w:rsidRPr="00087573">
        <w:rPr>
          <w:rFonts w:ascii="Tahoma" w:hAnsi="Tahoma" w:cs="Tahoma"/>
        </w:rPr>
        <w:t xml:space="preserve"> to confirm how this Bulletin applies. Unresolved issues may be submitted through the </w:t>
      </w:r>
      <w:hyperlink r:id="rId18" w:history="1">
        <w:r w:rsidR="00E73773" w:rsidRPr="00087573">
          <w:rPr>
            <w:rStyle w:val="Hyperlink"/>
            <w:rFonts w:ascii="Tahoma" w:hAnsi="Tahoma" w:cs="Tahoma"/>
            <w:sz w:val="18"/>
          </w:rPr>
          <w:t>MC Provider Request for Information</w:t>
        </w:r>
      </w:hyperlink>
      <w:r w:rsidR="00B4768B" w:rsidRPr="00087573">
        <w:rPr>
          <w:rFonts w:ascii="Tahoma" w:hAnsi="Tahoma" w:cs="Tahoma"/>
        </w:rPr>
        <w:t xml:space="preserve"> </w:t>
      </w:r>
      <w:r w:rsidR="001E4707" w:rsidRPr="00087573">
        <w:rPr>
          <w:rFonts w:ascii="Tahoma" w:hAnsi="Tahoma" w:cs="Tahoma"/>
        </w:rPr>
        <w:t>to reach an MHD MC Liaison.</w:t>
      </w:r>
    </w:p>
    <w:p w14:paraId="624CC583" w14:textId="5FAB45C1" w:rsidR="00E73773" w:rsidRPr="00087573" w:rsidRDefault="00E73773" w:rsidP="00B4768B">
      <w:pPr>
        <w:pStyle w:val="Bulletinendtext"/>
        <w:jc w:val="left"/>
        <w:rPr>
          <w:rFonts w:ascii="Tahoma" w:hAnsi="Tahoma" w:cs="Tahoma"/>
        </w:rPr>
      </w:pPr>
      <w:r w:rsidRPr="00087573">
        <w:rPr>
          <w:rFonts w:ascii="Tahoma" w:hAnsi="Tahoma" w:cs="Tahoma"/>
        </w:rPr>
        <w:t>Before providing services, verify patient eligibility by swiping the MO HealthNet card, calling Provider Communications at 573-751-2896 or toll-free (833) 222-7916 (Option 1) or using</w:t>
      </w:r>
      <w:r w:rsidR="00B4768B" w:rsidRPr="00087573">
        <w:rPr>
          <w:rFonts w:ascii="Tahoma" w:hAnsi="Tahoma" w:cs="Tahoma"/>
        </w:rPr>
        <w:t xml:space="preserve"> </w:t>
      </w:r>
      <w:hyperlink r:id="rId19" w:history="1">
        <w:r w:rsidRPr="00087573">
          <w:rPr>
            <w:rStyle w:val="Hyperlink"/>
            <w:rFonts w:ascii="Tahoma" w:hAnsi="Tahoma" w:cs="Tahoma"/>
            <w:sz w:val="18"/>
          </w:rPr>
          <w:t>eMOMED</w:t>
        </w:r>
      </w:hyperlink>
      <w:r w:rsidRPr="00087573">
        <w:rPr>
          <w:rFonts w:ascii="Tahoma" w:hAnsi="Tahoma" w:cs="Tahoma"/>
        </w:rPr>
        <w:t xml:space="preserve"> </w:t>
      </w:r>
      <w:r w:rsidR="001E4707" w:rsidRPr="00087573">
        <w:rPr>
          <w:rFonts w:ascii="Tahoma" w:hAnsi="Tahoma" w:cs="Tahoma"/>
        </w:rPr>
        <w:t>D</w:t>
      </w:r>
      <w:r w:rsidRPr="00087573">
        <w:rPr>
          <w:rFonts w:ascii="Tahoma" w:hAnsi="Tahoma" w:cs="Tahoma"/>
        </w:rPr>
        <w:t xml:space="preserve">irect </w:t>
      </w:r>
      <w:r w:rsidR="001E4707" w:rsidRPr="00087573">
        <w:rPr>
          <w:rFonts w:ascii="Tahoma" w:hAnsi="Tahoma" w:cs="Tahoma"/>
        </w:rPr>
        <w:t xml:space="preserve">MC benefit </w:t>
      </w:r>
      <w:r w:rsidRPr="00087573">
        <w:rPr>
          <w:rFonts w:ascii="Tahoma" w:hAnsi="Tahoma" w:cs="Tahoma"/>
        </w:rPr>
        <w:t xml:space="preserve">questions about MC benefits to the </w:t>
      </w:r>
      <w:r w:rsidR="001E4707" w:rsidRPr="00087573">
        <w:rPr>
          <w:rFonts w:ascii="Tahoma" w:hAnsi="Tahoma" w:cs="Tahoma"/>
        </w:rPr>
        <w:t>member’s</w:t>
      </w:r>
      <w:r w:rsidRPr="00087573">
        <w:rPr>
          <w:rFonts w:ascii="Tahoma" w:hAnsi="Tahoma" w:cs="Tahoma"/>
        </w:rPr>
        <w:t xml:space="preserve"> MC health plan. </w:t>
      </w:r>
    </w:p>
    <w:p w14:paraId="7256DCF4" w14:textId="44CF76D4" w:rsidR="00137A70" w:rsidRPr="00087573" w:rsidRDefault="001E4707" w:rsidP="00F01777">
      <w:pPr>
        <w:pStyle w:val="Bulletinendtext"/>
        <w:jc w:val="left"/>
        <w:rPr>
          <w:rFonts w:ascii="Tahoma" w:hAnsi="Tahoma" w:cs="Tahoma"/>
        </w:rPr>
      </w:pPr>
      <w:r w:rsidRPr="00087573">
        <w:rPr>
          <w:rFonts w:ascii="Tahoma" w:hAnsi="Tahoma" w:cs="Tahoma"/>
        </w:rPr>
        <w:t xml:space="preserve">Bulletins remain on the </w:t>
      </w:r>
      <w:hyperlink r:id="rId20" w:tooltip="visit the MO HealthNet News webpage" w:history="1">
        <w:r w:rsidRPr="00087573">
          <w:rPr>
            <w:rStyle w:val="Hyperlink"/>
            <w:rFonts w:ascii="Tahoma" w:hAnsi="Tahoma" w:cs="Tahoma"/>
            <w:b w:val="0"/>
            <w:color w:val="auto"/>
            <w:sz w:val="18"/>
            <w:u w:val="none"/>
          </w:rPr>
          <w:t>MO HealthNet News</w:t>
        </w:r>
      </w:hyperlink>
      <w:r w:rsidRPr="00087573">
        <w:rPr>
          <w:rFonts w:ascii="Tahoma" w:hAnsi="Tahoma" w:cs="Tahoma"/>
        </w:rPr>
        <w:t xml:space="preserve"> page for three years. Providers are encouraged to </w:t>
      </w:r>
      <w:hyperlink r:id="rId21" w:anchor="tab1" w:history="1">
        <w:r w:rsidRPr="00087573">
          <w:rPr>
            <w:rStyle w:val="Hyperlink"/>
            <w:rFonts w:ascii="Tahoma" w:hAnsi="Tahoma" w:cs="Tahoma"/>
            <w:bCs/>
            <w:sz w:val="18"/>
          </w:rPr>
          <w:t>subscribe</w:t>
        </w:r>
        <w:r w:rsidRPr="00087573">
          <w:rPr>
            <w:rStyle w:val="Hyperlink"/>
            <w:rFonts w:ascii="Tahoma" w:hAnsi="Tahoma" w:cs="Tahoma"/>
            <w:b w:val="0"/>
            <w:color w:val="auto"/>
            <w:sz w:val="18"/>
            <w:u w:val="none"/>
          </w:rPr>
          <w:t xml:space="preserve"> </w:t>
        </w:r>
      </w:hyperlink>
      <w:r w:rsidRPr="00087573">
        <w:rPr>
          <w:rFonts w:ascii="Tahoma" w:hAnsi="Tahoma" w:cs="Tahoma"/>
        </w:rPr>
        <w:t xml:space="preserve">for updates. </w:t>
      </w:r>
      <w:r w:rsidR="00E73773" w:rsidRPr="00087573">
        <w:rPr>
          <w:rFonts w:ascii="Tahoma" w:hAnsi="Tahoma" w:cs="Tahoma"/>
        </w:rPr>
        <w:t xml:space="preserve">Visit </w:t>
      </w:r>
      <w:hyperlink r:id="rId22" w:history="1">
        <w:r w:rsidR="00E73773" w:rsidRPr="00087573">
          <w:rPr>
            <w:rStyle w:val="Hyperlink"/>
            <w:rFonts w:ascii="Tahoma" w:hAnsi="Tahoma" w:cs="Tahoma"/>
            <w:sz w:val="18"/>
          </w:rPr>
          <w:t>MHD Education and Training</w:t>
        </w:r>
      </w:hyperlink>
      <w:r w:rsidR="00E73773" w:rsidRPr="00087573">
        <w:rPr>
          <w:rFonts w:ascii="Tahoma" w:hAnsi="Tahoma" w:cs="Tahoma"/>
        </w:rPr>
        <w:t xml:space="preserve"> </w:t>
      </w:r>
      <w:r w:rsidRPr="00087573">
        <w:rPr>
          <w:rFonts w:ascii="Tahoma" w:hAnsi="Tahoma" w:cs="Tahoma"/>
        </w:rPr>
        <w:t>for</w:t>
      </w:r>
      <w:r w:rsidR="00E73773" w:rsidRPr="00087573">
        <w:rPr>
          <w:rFonts w:ascii="Tahoma" w:hAnsi="Tahoma" w:cs="Tahoma"/>
        </w:rPr>
        <w:t xml:space="preserve"> web-based training </w:t>
      </w:r>
      <w:r w:rsidRPr="00087573">
        <w:rPr>
          <w:rFonts w:ascii="Tahoma" w:hAnsi="Tahoma" w:cs="Tahoma"/>
        </w:rPr>
        <w:t>and</w:t>
      </w:r>
      <w:r w:rsidR="00E73773" w:rsidRPr="00087573">
        <w:rPr>
          <w:rFonts w:ascii="Tahoma" w:hAnsi="Tahoma" w:cs="Tahoma"/>
        </w:rPr>
        <w:t xml:space="preserve"> resources</w:t>
      </w:r>
      <w:r w:rsidRPr="00087573">
        <w:rPr>
          <w:rFonts w:ascii="Tahoma" w:hAnsi="Tahoma" w:cs="Tahoma"/>
        </w:rPr>
        <w:t xml:space="preserve">, or </w:t>
      </w:r>
      <w:hyperlink r:id="rId23" w:history="1">
        <w:r w:rsidRPr="00087573">
          <w:rPr>
            <w:rStyle w:val="Hyperlink"/>
            <w:rFonts w:ascii="Tahoma" w:hAnsi="Tahoma" w:cs="Tahoma"/>
            <w:b w:val="0"/>
            <w:color w:val="auto"/>
            <w:sz w:val="18"/>
            <w:u w:val="none"/>
          </w:rPr>
          <w:t>submit an</w:t>
        </w:r>
        <w:r w:rsidR="00E73773" w:rsidRPr="00087573">
          <w:rPr>
            <w:rStyle w:val="Hyperlink"/>
            <w:rFonts w:ascii="Tahoma" w:hAnsi="Tahoma" w:cs="Tahoma"/>
            <w:b w:val="0"/>
            <w:color w:val="auto"/>
            <w:sz w:val="18"/>
            <w:u w:val="none"/>
          </w:rPr>
          <w:t xml:space="preserve"> </w:t>
        </w:r>
        <w:r w:rsidR="00E73773" w:rsidRPr="00087573">
          <w:rPr>
            <w:rStyle w:val="Hyperlink"/>
            <w:rFonts w:ascii="Tahoma" w:hAnsi="Tahoma" w:cs="Tahoma"/>
            <w:bCs/>
            <w:sz w:val="18"/>
          </w:rPr>
          <w:t>MHD Education Request</w:t>
        </w:r>
      </w:hyperlink>
      <w:r w:rsidRPr="00087573">
        <w:rPr>
          <w:rFonts w:ascii="Tahoma" w:hAnsi="Tahoma" w:cs="Tahoma"/>
        </w:rPr>
        <w:t xml:space="preserve"> to schedule training.</w:t>
      </w:r>
    </w:p>
    <w:sectPr w:rsidR="00137A70" w:rsidRPr="00087573" w:rsidSect="00641FB4">
      <w:headerReference w:type="default" r:id="rId24"/>
      <w:footerReference w:type="first" r:id="rId25"/>
      <w:pgSz w:w="12240" w:h="15840"/>
      <w:pgMar w:top="432" w:right="1080" w:bottom="864" w:left="108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46DF" w14:textId="77777777" w:rsidR="00356170" w:rsidRDefault="00356170">
      <w:r>
        <w:separator/>
      </w:r>
    </w:p>
  </w:endnote>
  <w:endnote w:type="continuationSeparator" w:id="0">
    <w:p w14:paraId="05BE3FC2" w14:textId="77777777" w:rsidR="00356170" w:rsidRDefault="0035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FCA2" w14:textId="6997F7F5" w:rsidR="001E4707" w:rsidRPr="00087573" w:rsidRDefault="001E4707" w:rsidP="001E4707">
    <w:pPr>
      <w:jc w:val="right"/>
      <w:rPr>
        <w:rFonts w:ascii="Tahoma" w:hAnsi="Tahoma" w:cs="Tahoma"/>
        <w:sz w:val="16"/>
        <w:szCs w:val="16"/>
      </w:rPr>
    </w:pPr>
    <w:r w:rsidRPr="00087573">
      <w:rPr>
        <w:rFonts w:ascii="Tahoma" w:hAnsi="Tahoma" w:cs="Tahoma"/>
        <w:sz w:val="16"/>
        <w:szCs w:val="16"/>
      </w:rPr>
      <w:t xml:space="preserve">Template updated: </w:t>
    </w:r>
    <w:r w:rsidR="00017E48" w:rsidRPr="00087573">
      <w:rPr>
        <w:rFonts w:ascii="Tahoma" w:hAnsi="Tahoma" w:cs="Tahoma"/>
        <w:sz w:val="16"/>
        <w:szCs w:val="16"/>
      </w:rPr>
      <w:t>0</w:t>
    </w:r>
    <w:r w:rsidRPr="00087573">
      <w:rPr>
        <w:rFonts w:ascii="Tahoma" w:hAnsi="Tahoma" w:cs="Tahoma"/>
        <w:sz w:val="16"/>
        <w:szCs w:val="16"/>
      </w:rPr>
      <w:t>3/</w:t>
    </w:r>
    <w:r w:rsidR="00701A7F">
      <w:rPr>
        <w:rFonts w:ascii="Tahoma" w:hAnsi="Tahoma" w:cs="Tahoma"/>
        <w:sz w:val="16"/>
        <w:szCs w:val="16"/>
      </w:rPr>
      <w:t>12</w:t>
    </w:r>
    <w:r w:rsidRPr="00087573">
      <w:rPr>
        <w:rFonts w:ascii="Tahoma" w:hAnsi="Tahoma" w:cs="Tahoma"/>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D998" w14:textId="77777777" w:rsidR="00356170" w:rsidRDefault="00356170">
      <w:r>
        <w:separator/>
      </w:r>
    </w:p>
  </w:footnote>
  <w:footnote w:type="continuationSeparator" w:id="0">
    <w:p w14:paraId="75FF1795" w14:textId="77777777" w:rsidR="00356170" w:rsidRDefault="00356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4FC7" w14:textId="4F5EAF38" w:rsidR="00930D08" w:rsidRDefault="00930D08" w:rsidP="00F415D6">
    <w:pPr>
      <w:tabs>
        <w:tab w:val="center" w:pos="5040"/>
        <w:tab w:val="right" w:pos="9840"/>
      </w:tabs>
      <w:spacing w:before="0" w:after="0" w:line="240" w:lineRule="auto"/>
      <w:rPr>
        <w:sz w:val="20"/>
      </w:rPr>
    </w:pPr>
    <w:r>
      <w:rPr>
        <w:sz w:val="20"/>
      </w:rPr>
      <w:t xml:space="preserve">Volume </w:t>
    </w:r>
    <w:r w:rsidR="00F415D6">
      <w:rPr>
        <w:sz w:val="20"/>
      </w:rPr>
      <w:t>48</w:t>
    </w:r>
    <w:r>
      <w:rPr>
        <w:sz w:val="20"/>
      </w:rPr>
      <w:t xml:space="preserve"> Number </w:t>
    </w:r>
    <w:r w:rsidR="00F415D6">
      <w:rPr>
        <w:sz w:val="20"/>
      </w:rPr>
      <w:t>62</w:t>
    </w:r>
    <w:r w:rsidR="00F0134D">
      <w:rPr>
        <w:sz w:val="20"/>
      </w:rPr>
      <w:tab/>
    </w:r>
    <w:r w:rsidR="00F0134D">
      <w:rPr>
        <w:sz w:val="20"/>
      </w:rPr>
      <w:tab/>
    </w:r>
    <w:r w:rsidR="00F415D6">
      <w:rPr>
        <w:sz w:val="20"/>
      </w:rPr>
      <w:t>May 18, 2026</w:t>
    </w:r>
  </w:p>
  <w:p w14:paraId="65E26334" w14:textId="3A77B308" w:rsidR="00F415D6" w:rsidRDefault="00F415D6" w:rsidP="00F415D6">
    <w:pPr>
      <w:tabs>
        <w:tab w:val="center" w:pos="5040"/>
        <w:tab w:val="right" w:pos="9840"/>
      </w:tabs>
      <w:spacing w:before="0" w:after="0" w:line="240" w:lineRule="auto"/>
      <w:jc w:val="center"/>
      <w:rPr>
        <w:sz w:val="20"/>
      </w:rPr>
    </w:pPr>
    <w:r w:rsidRPr="00F415D6">
      <w:rPr>
        <w:sz w:val="20"/>
      </w:rPr>
      <w:t>Screening for Adverse Childhood Experiences (ACEs) for Individuals Under Age 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4AF"/>
    <w:multiLevelType w:val="hybridMultilevel"/>
    <w:tmpl w:val="44562468"/>
    <w:lvl w:ilvl="0" w:tplc="C606741C">
      <w:start w:val="13"/>
      <w:numFmt w:val="bullet"/>
      <w:lvlText w:val="•"/>
      <w:lvlJc w:val="left"/>
      <w:pPr>
        <w:ind w:left="2074" w:hanging="360"/>
      </w:pPr>
      <w:rPr>
        <w:rFonts w:ascii="Times New Roman" w:eastAsia="Times New Roman" w:hAnsi="Times New Roman" w:cs="Times New Roman"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1" w15:restartNumberingAfterBreak="0">
    <w:nsid w:val="05DA2041"/>
    <w:multiLevelType w:val="hybridMultilevel"/>
    <w:tmpl w:val="22E032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55465"/>
    <w:multiLevelType w:val="hybridMultilevel"/>
    <w:tmpl w:val="E2E27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40534"/>
    <w:multiLevelType w:val="hybridMultilevel"/>
    <w:tmpl w:val="D2ACB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C4BC6"/>
    <w:multiLevelType w:val="hybridMultilevel"/>
    <w:tmpl w:val="AE52181E"/>
    <w:lvl w:ilvl="0" w:tplc="C606741C">
      <w:start w:val="13"/>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EC57402"/>
    <w:multiLevelType w:val="hybridMultilevel"/>
    <w:tmpl w:val="93C67D2C"/>
    <w:lvl w:ilvl="0" w:tplc="11BE118A">
      <w:start w:val="1"/>
      <w:numFmt w:val="bullet"/>
      <w:pStyle w:val="TOC2"/>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2F837049"/>
    <w:multiLevelType w:val="hybridMultilevel"/>
    <w:tmpl w:val="9AAC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42DE4"/>
    <w:multiLevelType w:val="hybridMultilevel"/>
    <w:tmpl w:val="795C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FC4D42"/>
    <w:multiLevelType w:val="hybridMultilevel"/>
    <w:tmpl w:val="4C0CF7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E0214"/>
    <w:multiLevelType w:val="hybridMultilevel"/>
    <w:tmpl w:val="24A0847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82026"/>
    <w:multiLevelType w:val="hybridMultilevel"/>
    <w:tmpl w:val="FB64D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A1E8D"/>
    <w:multiLevelType w:val="hybridMultilevel"/>
    <w:tmpl w:val="94A6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E772B8"/>
    <w:multiLevelType w:val="hybridMultilevel"/>
    <w:tmpl w:val="1DBA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F4C09"/>
    <w:multiLevelType w:val="hybridMultilevel"/>
    <w:tmpl w:val="8F38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62672"/>
    <w:multiLevelType w:val="hybridMultilevel"/>
    <w:tmpl w:val="013A68E2"/>
    <w:lvl w:ilvl="0" w:tplc="C606741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835C0D"/>
    <w:multiLevelType w:val="hybridMultilevel"/>
    <w:tmpl w:val="789A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715F9"/>
    <w:multiLevelType w:val="hybridMultilevel"/>
    <w:tmpl w:val="5BDC8D5E"/>
    <w:lvl w:ilvl="0" w:tplc="E0801518">
      <w:start w:val="1"/>
      <w:numFmt w:val="bullet"/>
      <w:lvlText w:val=""/>
      <w:lvlJc w:val="left"/>
      <w:pPr>
        <w:ind w:left="1016" w:hanging="360"/>
      </w:pPr>
      <w:rPr>
        <w:rFonts w:ascii="Symbol" w:eastAsia="Symbol" w:hAnsi="Symbol" w:hint="default"/>
        <w:w w:val="100"/>
        <w:sz w:val="24"/>
        <w:szCs w:val="24"/>
      </w:rPr>
    </w:lvl>
    <w:lvl w:ilvl="1" w:tplc="B6EAD504">
      <w:start w:val="1"/>
      <w:numFmt w:val="bullet"/>
      <w:lvlText w:val="•"/>
      <w:lvlJc w:val="left"/>
      <w:pPr>
        <w:ind w:left="1243" w:hanging="360"/>
      </w:pPr>
      <w:rPr>
        <w:rFonts w:hint="default"/>
      </w:rPr>
    </w:lvl>
    <w:lvl w:ilvl="2" w:tplc="8030241C">
      <w:start w:val="1"/>
      <w:numFmt w:val="bullet"/>
      <w:lvlText w:val="•"/>
      <w:lvlJc w:val="left"/>
      <w:pPr>
        <w:ind w:left="1467" w:hanging="360"/>
      </w:pPr>
      <w:rPr>
        <w:rFonts w:hint="default"/>
      </w:rPr>
    </w:lvl>
    <w:lvl w:ilvl="3" w:tplc="9D4277C8">
      <w:start w:val="1"/>
      <w:numFmt w:val="bullet"/>
      <w:lvlText w:val="•"/>
      <w:lvlJc w:val="left"/>
      <w:pPr>
        <w:ind w:left="1691" w:hanging="360"/>
      </w:pPr>
      <w:rPr>
        <w:rFonts w:hint="default"/>
      </w:rPr>
    </w:lvl>
    <w:lvl w:ilvl="4" w:tplc="945879BE">
      <w:start w:val="1"/>
      <w:numFmt w:val="bullet"/>
      <w:lvlText w:val="•"/>
      <w:lvlJc w:val="left"/>
      <w:pPr>
        <w:ind w:left="1915" w:hanging="360"/>
      </w:pPr>
      <w:rPr>
        <w:rFonts w:hint="default"/>
      </w:rPr>
    </w:lvl>
    <w:lvl w:ilvl="5" w:tplc="FDE25E82">
      <w:start w:val="1"/>
      <w:numFmt w:val="bullet"/>
      <w:lvlText w:val="•"/>
      <w:lvlJc w:val="left"/>
      <w:pPr>
        <w:ind w:left="2138" w:hanging="360"/>
      </w:pPr>
      <w:rPr>
        <w:rFonts w:hint="default"/>
      </w:rPr>
    </w:lvl>
    <w:lvl w:ilvl="6" w:tplc="214254BA">
      <w:start w:val="1"/>
      <w:numFmt w:val="bullet"/>
      <w:lvlText w:val="•"/>
      <w:lvlJc w:val="left"/>
      <w:pPr>
        <w:ind w:left="2362" w:hanging="360"/>
      </w:pPr>
      <w:rPr>
        <w:rFonts w:hint="default"/>
      </w:rPr>
    </w:lvl>
    <w:lvl w:ilvl="7" w:tplc="F088371E">
      <w:start w:val="1"/>
      <w:numFmt w:val="bullet"/>
      <w:lvlText w:val="•"/>
      <w:lvlJc w:val="left"/>
      <w:pPr>
        <w:ind w:left="2586" w:hanging="360"/>
      </w:pPr>
      <w:rPr>
        <w:rFonts w:hint="default"/>
      </w:rPr>
    </w:lvl>
    <w:lvl w:ilvl="8" w:tplc="C21E7C92">
      <w:start w:val="1"/>
      <w:numFmt w:val="bullet"/>
      <w:lvlText w:val="•"/>
      <w:lvlJc w:val="left"/>
      <w:pPr>
        <w:ind w:left="2810" w:hanging="360"/>
      </w:pPr>
      <w:rPr>
        <w:rFonts w:hint="default"/>
      </w:rPr>
    </w:lvl>
  </w:abstractNum>
  <w:abstractNum w:abstractNumId="17" w15:restartNumberingAfterBreak="0">
    <w:nsid w:val="540C26CE"/>
    <w:multiLevelType w:val="hybridMultilevel"/>
    <w:tmpl w:val="C408E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0678C8"/>
    <w:multiLevelType w:val="hybridMultilevel"/>
    <w:tmpl w:val="E2F2FE4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614E2E28"/>
    <w:multiLevelType w:val="hybridMultilevel"/>
    <w:tmpl w:val="06F4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E243BC"/>
    <w:multiLevelType w:val="hybridMultilevel"/>
    <w:tmpl w:val="6EAC54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636E22"/>
    <w:multiLevelType w:val="hybridMultilevel"/>
    <w:tmpl w:val="C5F24AFC"/>
    <w:lvl w:ilvl="0" w:tplc="82FC62A6">
      <w:start w:val="1"/>
      <w:numFmt w:val="bullet"/>
      <w:pStyle w:val="TOC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160B28"/>
    <w:multiLevelType w:val="hybridMultilevel"/>
    <w:tmpl w:val="59B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445FB"/>
    <w:multiLevelType w:val="hybridMultilevel"/>
    <w:tmpl w:val="C164BC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78877B6"/>
    <w:multiLevelType w:val="hybridMultilevel"/>
    <w:tmpl w:val="BD82C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D442E7"/>
    <w:multiLevelType w:val="hybridMultilevel"/>
    <w:tmpl w:val="94E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6B1E72"/>
    <w:multiLevelType w:val="hybridMultilevel"/>
    <w:tmpl w:val="51F8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391950">
    <w:abstractNumId w:val="21"/>
  </w:num>
  <w:num w:numId="2" w16cid:durableId="1901862822">
    <w:abstractNumId w:val="5"/>
  </w:num>
  <w:num w:numId="3" w16cid:durableId="128475939">
    <w:abstractNumId w:val="9"/>
  </w:num>
  <w:num w:numId="4" w16cid:durableId="911740830">
    <w:abstractNumId w:val="19"/>
  </w:num>
  <w:num w:numId="5" w16cid:durableId="356393516">
    <w:abstractNumId w:val="16"/>
  </w:num>
  <w:num w:numId="6" w16cid:durableId="1980569187">
    <w:abstractNumId w:val="25"/>
  </w:num>
  <w:num w:numId="7" w16cid:durableId="785394772">
    <w:abstractNumId w:val="7"/>
  </w:num>
  <w:num w:numId="8" w16cid:durableId="398134155">
    <w:abstractNumId w:val="3"/>
  </w:num>
  <w:num w:numId="9" w16cid:durableId="313873537">
    <w:abstractNumId w:val="15"/>
  </w:num>
  <w:num w:numId="10" w16cid:durableId="1871409018">
    <w:abstractNumId w:val="6"/>
  </w:num>
  <w:num w:numId="11" w16cid:durableId="699933206">
    <w:abstractNumId w:val="12"/>
  </w:num>
  <w:num w:numId="12" w16cid:durableId="1182285575">
    <w:abstractNumId w:val="18"/>
  </w:num>
  <w:num w:numId="13" w16cid:durableId="1891528166">
    <w:abstractNumId w:val="4"/>
  </w:num>
  <w:num w:numId="14" w16cid:durableId="629018626">
    <w:abstractNumId w:val="20"/>
  </w:num>
  <w:num w:numId="15" w16cid:durableId="440609485">
    <w:abstractNumId w:val="2"/>
  </w:num>
  <w:num w:numId="16" w16cid:durableId="713118432">
    <w:abstractNumId w:val="14"/>
  </w:num>
  <w:num w:numId="17" w16cid:durableId="1670451329">
    <w:abstractNumId w:val="23"/>
  </w:num>
  <w:num w:numId="18" w16cid:durableId="1655916653">
    <w:abstractNumId w:val="0"/>
  </w:num>
  <w:num w:numId="19" w16cid:durableId="1478645377">
    <w:abstractNumId w:val="8"/>
  </w:num>
  <w:num w:numId="20" w16cid:durableId="545529438">
    <w:abstractNumId w:val="17"/>
  </w:num>
  <w:num w:numId="21" w16cid:durableId="583346626">
    <w:abstractNumId w:val="22"/>
  </w:num>
  <w:num w:numId="22" w16cid:durableId="898832747">
    <w:abstractNumId w:val="11"/>
  </w:num>
  <w:num w:numId="23" w16cid:durableId="1607080103">
    <w:abstractNumId w:val="26"/>
  </w:num>
  <w:num w:numId="24" w16cid:durableId="1958608955">
    <w:abstractNumId w:val="24"/>
  </w:num>
  <w:num w:numId="25" w16cid:durableId="2084716771">
    <w:abstractNumId w:val="1"/>
  </w:num>
  <w:num w:numId="26" w16cid:durableId="1168013404">
    <w:abstractNumId w:val="10"/>
  </w:num>
  <w:num w:numId="27" w16cid:durableId="13635504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z7ZlxMGtrqsG+L2oITcTeFoyT6oCleYgPBbx7NxBa+LlGyIBPe+crfFV4IHCw8+VzwhqP6YltWjscnjE+JB9w==" w:salt="SuJA8tfGLvKrjw7A0pYT7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1NLE0MTMzMDe0MDVT0lEKTi0uzszPAykwqwUATbMDSywAAAA="/>
  </w:docVars>
  <w:rsids>
    <w:rsidRoot w:val="00F8751E"/>
    <w:rsid w:val="000001CC"/>
    <w:rsid w:val="000065B4"/>
    <w:rsid w:val="00017E48"/>
    <w:rsid w:val="00022199"/>
    <w:rsid w:val="00027166"/>
    <w:rsid w:val="00031D39"/>
    <w:rsid w:val="00032E26"/>
    <w:rsid w:val="00045705"/>
    <w:rsid w:val="000473D3"/>
    <w:rsid w:val="0005041F"/>
    <w:rsid w:val="00052CB4"/>
    <w:rsid w:val="0005567F"/>
    <w:rsid w:val="00060D6E"/>
    <w:rsid w:val="00070842"/>
    <w:rsid w:val="0007375E"/>
    <w:rsid w:val="00077FC5"/>
    <w:rsid w:val="00087573"/>
    <w:rsid w:val="00091F6B"/>
    <w:rsid w:val="000B0621"/>
    <w:rsid w:val="000B1F02"/>
    <w:rsid w:val="000B7ADF"/>
    <w:rsid w:val="000D5930"/>
    <w:rsid w:val="000E0FA0"/>
    <w:rsid w:val="000E2E64"/>
    <w:rsid w:val="000E4F22"/>
    <w:rsid w:val="000F5A8E"/>
    <w:rsid w:val="00107D6F"/>
    <w:rsid w:val="00116E05"/>
    <w:rsid w:val="00124D7D"/>
    <w:rsid w:val="00133BBE"/>
    <w:rsid w:val="0013417B"/>
    <w:rsid w:val="00137A70"/>
    <w:rsid w:val="00144640"/>
    <w:rsid w:val="00147944"/>
    <w:rsid w:val="00160F2B"/>
    <w:rsid w:val="001615A3"/>
    <w:rsid w:val="00163F7C"/>
    <w:rsid w:val="00164F26"/>
    <w:rsid w:val="00190124"/>
    <w:rsid w:val="0019486D"/>
    <w:rsid w:val="001A163B"/>
    <w:rsid w:val="001A37AD"/>
    <w:rsid w:val="001A38D1"/>
    <w:rsid w:val="001B75A9"/>
    <w:rsid w:val="001C0128"/>
    <w:rsid w:val="001C0EE3"/>
    <w:rsid w:val="001C70DE"/>
    <w:rsid w:val="001E4707"/>
    <w:rsid w:val="001F011F"/>
    <w:rsid w:val="00222963"/>
    <w:rsid w:val="00225794"/>
    <w:rsid w:val="00234614"/>
    <w:rsid w:val="0024091E"/>
    <w:rsid w:val="00257A46"/>
    <w:rsid w:val="00260830"/>
    <w:rsid w:val="00291B5E"/>
    <w:rsid w:val="002A141F"/>
    <w:rsid w:val="002B2570"/>
    <w:rsid w:val="002B7DFA"/>
    <w:rsid w:val="002C4EEE"/>
    <w:rsid w:val="002D14F3"/>
    <w:rsid w:val="002D7348"/>
    <w:rsid w:val="002F68DA"/>
    <w:rsid w:val="003112B4"/>
    <w:rsid w:val="0031353F"/>
    <w:rsid w:val="00315485"/>
    <w:rsid w:val="00322ABF"/>
    <w:rsid w:val="003234C4"/>
    <w:rsid w:val="003235A9"/>
    <w:rsid w:val="003274A6"/>
    <w:rsid w:val="00331AF3"/>
    <w:rsid w:val="003420CC"/>
    <w:rsid w:val="0034770B"/>
    <w:rsid w:val="003537A8"/>
    <w:rsid w:val="00356170"/>
    <w:rsid w:val="003620CD"/>
    <w:rsid w:val="00364E42"/>
    <w:rsid w:val="00381656"/>
    <w:rsid w:val="00385719"/>
    <w:rsid w:val="003872EE"/>
    <w:rsid w:val="003B0122"/>
    <w:rsid w:val="003B6F79"/>
    <w:rsid w:val="003C563D"/>
    <w:rsid w:val="003C7CEA"/>
    <w:rsid w:val="003E79B2"/>
    <w:rsid w:val="00400F18"/>
    <w:rsid w:val="004171ED"/>
    <w:rsid w:val="0041769A"/>
    <w:rsid w:val="0042131E"/>
    <w:rsid w:val="004251B0"/>
    <w:rsid w:val="004412F9"/>
    <w:rsid w:val="00441AF2"/>
    <w:rsid w:val="004626D2"/>
    <w:rsid w:val="00465EF0"/>
    <w:rsid w:val="00471A11"/>
    <w:rsid w:val="00477517"/>
    <w:rsid w:val="004816FA"/>
    <w:rsid w:val="00491B48"/>
    <w:rsid w:val="004954E5"/>
    <w:rsid w:val="004A62A9"/>
    <w:rsid w:val="004B0497"/>
    <w:rsid w:val="004B7603"/>
    <w:rsid w:val="004C5AF3"/>
    <w:rsid w:val="004C5B1B"/>
    <w:rsid w:val="004C7CC4"/>
    <w:rsid w:val="004C7DCA"/>
    <w:rsid w:val="004D7229"/>
    <w:rsid w:val="004E3E8C"/>
    <w:rsid w:val="004E414D"/>
    <w:rsid w:val="004E574A"/>
    <w:rsid w:val="004E760F"/>
    <w:rsid w:val="004F06CD"/>
    <w:rsid w:val="004F5DA6"/>
    <w:rsid w:val="004F7CE4"/>
    <w:rsid w:val="00500A60"/>
    <w:rsid w:val="00512590"/>
    <w:rsid w:val="0051532A"/>
    <w:rsid w:val="005153B2"/>
    <w:rsid w:val="00531417"/>
    <w:rsid w:val="0054426D"/>
    <w:rsid w:val="00551C3F"/>
    <w:rsid w:val="00560B2E"/>
    <w:rsid w:val="00563308"/>
    <w:rsid w:val="005644C7"/>
    <w:rsid w:val="00565825"/>
    <w:rsid w:val="00575F9B"/>
    <w:rsid w:val="00586954"/>
    <w:rsid w:val="00594F77"/>
    <w:rsid w:val="005B2AC2"/>
    <w:rsid w:val="005B55AB"/>
    <w:rsid w:val="005B646E"/>
    <w:rsid w:val="005E259F"/>
    <w:rsid w:val="006031E1"/>
    <w:rsid w:val="006129F5"/>
    <w:rsid w:val="00622F76"/>
    <w:rsid w:val="00635765"/>
    <w:rsid w:val="00641FB4"/>
    <w:rsid w:val="00647415"/>
    <w:rsid w:val="00647ADC"/>
    <w:rsid w:val="006507FF"/>
    <w:rsid w:val="006567C3"/>
    <w:rsid w:val="00661E6D"/>
    <w:rsid w:val="00673836"/>
    <w:rsid w:val="00674324"/>
    <w:rsid w:val="00684ECE"/>
    <w:rsid w:val="00692D22"/>
    <w:rsid w:val="006A6EA0"/>
    <w:rsid w:val="006B34B4"/>
    <w:rsid w:val="006B41DC"/>
    <w:rsid w:val="006B76BA"/>
    <w:rsid w:val="006C70ED"/>
    <w:rsid w:val="006D6169"/>
    <w:rsid w:val="006D7FAC"/>
    <w:rsid w:val="006E2B8D"/>
    <w:rsid w:val="00701A7F"/>
    <w:rsid w:val="0070258A"/>
    <w:rsid w:val="0070286C"/>
    <w:rsid w:val="0070424C"/>
    <w:rsid w:val="007046E2"/>
    <w:rsid w:val="0073099B"/>
    <w:rsid w:val="00731481"/>
    <w:rsid w:val="0073674A"/>
    <w:rsid w:val="00740379"/>
    <w:rsid w:val="0076255D"/>
    <w:rsid w:val="00786AE1"/>
    <w:rsid w:val="00791509"/>
    <w:rsid w:val="007936A1"/>
    <w:rsid w:val="007955B6"/>
    <w:rsid w:val="00796B1D"/>
    <w:rsid w:val="007C3B11"/>
    <w:rsid w:val="007C531C"/>
    <w:rsid w:val="007D02A2"/>
    <w:rsid w:val="007E14E0"/>
    <w:rsid w:val="007E1A3C"/>
    <w:rsid w:val="007F47FE"/>
    <w:rsid w:val="007F5CF3"/>
    <w:rsid w:val="008049BF"/>
    <w:rsid w:val="008138BF"/>
    <w:rsid w:val="00826E06"/>
    <w:rsid w:val="00831081"/>
    <w:rsid w:val="008321FA"/>
    <w:rsid w:val="008322FB"/>
    <w:rsid w:val="00835A93"/>
    <w:rsid w:val="00836BF5"/>
    <w:rsid w:val="00836FD2"/>
    <w:rsid w:val="00857C6C"/>
    <w:rsid w:val="0086501F"/>
    <w:rsid w:val="00866256"/>
    <w:rsid w:val="00885CCE"/>
    <w:rsid w:val="0089675F"/>
    <w:rsid w:val="008A385A"/>
    <w:rsid w:val="008A6AC8"/>
    <w:rsid w:val="008B3CF2"/>
    <w:rsid w:val="008B5E88"/>
    <w:rsid w:val="008D0780"/>
    <w:rsid w:val="008D2FF9"/>
    <w:rsid w:val="008D4932"/>
    <w:rsid w:val="008D5277"/>
    <w:rsid w:val="008D548F"/>
    <w:rsid w:val="008E6C9D"/>
    <w:rsid w:val="008F71A3"/>
    <w:rsid w:val="00901A78"/>
    <w:rsid w:val="00912A49"/>
    <w:rsid w:val="0091755B"/>
    <w:rsid w:val="00930D08"/>
    <w:rsid w:val="00935B33"/>
    <w:rsid w:val="00941B58"/>
    <w:rsid w:val="00947218"/>
    <w:rsid w:val="00947B74"/>
    <w:rsid w:val="00954E82"/>
    <w:rsid w:val="00957605"/>
    <w:rsid w:val="00960FA2"/>
    <w:rsid w:val="009660AC"/>
    <w:rsid w:val="009674AD"/>
    <w:rsid w:val="00967616"/>
    <w:rsid w:val="00975518"/>
    <w:rsid w:val="009A40C2"/>
    <w:rsid w:val="009C1004"/>
    <w:rsid w:val="009C1BEE"/>
    <w:rsid w:val="009E116D"/>
    <w:rsid w:val="009E25B5"/>
    <w:rsid w:val="009E7435"/>
    <w:rsid w:val="00A00366"/>
    <w:rsid w:val="00A02423"/>
    <w:rsid w:val="00A04F74"/>
    <w:rsid w:val="00A06495"/>
    <w:rsid w:val="00A125F4"/>
    <w:rsid w:val="00A252AA"/>
    <w:rsid w:val="00A330BA"/>
    <w:rsid w:val="00A5520E"/>
    <w:rsid w:val="00A710B7"/>
    <w:rsid w:val="00A75D33"/>
    <w:rsid w:val="00A7734C"/>
    <w:rsid w:val="00A95170"/>
    <w:rsid w:val="00AA1C36"/>
    <w:rsid w:val="00AB125D"/>
    <w:rsid w:val="00AB42FA"/>
    <w:rsid w:val="00AC3202"/>
    <w:rsid w:val="00AE12DE"/>
    <w:rsid w:val="00AF1EA0"/>
    <w:rsid w:val="00B1210E"/>
    <w:rsid w:val="00B41665"/>
    <w:rsid w:val="00B4768B"/>
    <w:rsid w:val="00B522C4"/>
    <w:rsid w:val="00B54FF2"/>
    <w:rsid w:val="00B621A6"/>
    <w:rsid w:val="00B83AF3"/>
    <w:rsid w:val="00B97322"/>
    <w:rsid w:val="00BA1F90"/>
    <w:rsid w:val="00BA3E4E"/>
    <w:rsid w:val="00BB0029"/>
    <w:rsid w:val="00BB2404"/>
    <w:rsid w:val="00BC42AC"/>
    <w:rsid w:val="00BD6221"/>
    <w:rsid w:val="00C06C7C"/>
    <w:rsid w:val="00C07277"/>
    <w:rsid w:val="00C15D2B"/>
    <w:rsid w:val="00C17F19"/>
    <w:rsid w:val="00C20534"/>
    <w:rsid w:val="00C20E2F"/>
    <w:rsid w:val="00C2583F"/>
    <w:rsid w:val="00C25B23"/>
    <w:rsid w:val="00C271A0"/>
    <w:rsid w:val="00C3526D"/>
    <w:rsid w:val="00C41FBB"/>
    <w:rsid w:val="00C437ED"/>
    <w:rsid w:val="00C51A38"/>
    <w:rsid w:val="00C55C82"/>
    <w:rsid w:val="00C62831"/>
    <w:rsid w:val="00C63015"/>
    <w:rsid w:val="00C84852"/>
    <w:rsid w:val="00C92891"/>
    <w:rsid w:val="00C93292"/>
    <w:rsid w:val="00C95C94"/>
    <w:rsid w:val="00CB7E3E"/>
    <w:rsid w:val="00CC7DDF"/>
    <w:rsid w:val="00CD4C25"/>
    <w:rsid w:val="00CE08D4"/>
    <w:rsid w:val="00CE0F9E"/>
    <w:rsid w:val="00CE4464"/>
    <w:rsid w:val="00CF5281"/>
    <w:rsid w:val="00D01CF8"/>
    <w:rsid w:val="00D03B60"/>
    <w:rsid w:val="00D1293E"/>
    <w:rsid w:val="00D2118B"/>
    <w:rsid w:val="00D2262F"/>
    <w:rsid w:val="00D53DCE"/>
    <w:rsid w:val="00D540A0"/>
    <w:rsid w:val="00D56472"/>
    <w:rsid w:val="00D67E71"/>
    <w:rsid w:val="00D70B6D"/>
    <w:rsid w:val="00D77A01"/>
    <w:rsid w:val="00D83E7D"/>
    <w:rsid w:val="00D87896"/>
    <w:rsid w:val="00DA225F"/>
    <w:rsid w:val="00DA4CA4"/>
    <w:rsid w:val="00DB00F5"/>
    <w:rsid w:val="00DB6AD9"/>
    <w:rsid w:val="00DC7B8F"/>
    <w:rsid w:val="00DF675D"/>
    <w:rsid w:val="00E22F04"/>
    <w:rsid w:val="00E23CA3"/>
    <w:rsid w:val="00E37D47"/>
    <w:rsid w:val="00E40FE6"/>
    <w:rsid w:val="00E474B4"/>
    <w:rsid w:val="00E529DD"/>
    <w:rsid w:val="00E67688"/>
    <w:rsid w:val="00E67D51"/>
    <w:rsid w:val="00E73773"/>
    <w:rsid w:val="00EA6323"/>
    <w:rsid w:val="00EC2499"/>
    <w:rsid w:val="00EC4BD1"/>
    <w:rsid w:val="00ED0B9A"/>
    <w:rsid w:val="00ED6B37"/>
    <w:rsid w:val="00EF1384"/>
    <w:rsid w:val="00EF6940"/>
    <w:rsid w:val="00F0134D"/>
    <w:rsid w:val="00F01777"/>
    <w:rsid w:val="00F01B2C"/>
    <w:rsid w:val="00F05407"/>
    <w:rsid w:val="00F20634"/>
    <w:rsid w:val="00F270A2"/>
    <w:rsid w:val="00F32B14"/>
    <w:rsid w:val="00F33111"/>
    <w:rsid w:val="00F415D6"/>
    <w:rsid w:val="00F460B0"/>
    <w:rsid w:val="00F4793D"/>
    <w:rsid w:val="00F53598"/>
    <w:rsid w:val="00F5609C"/>
    <w:rsid w:val="00F73F1E"/>
    <w:rsid w:val="00F74FFF"/>
    <w:rsid w:val="00F8751E"/>
    <w:rsid w:val="00F9058D"/>
    <w:rsid w:val="00F9106F"/>
    <w:rsid w:val="00F93368"/>
    <w:rsid w:val="00FB23B0"/>
    <w:rsid w:val="00FC27A8"/>
    <w:rsid w:val="00FC6AD7"/>
    <w:rsid w:val="00FD187B"/>
    <w:rsid w:val="00FD2020"/>
    <w:rsid w:val="00FF23CD"/>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67DC9"/>
  <w15:docId w15:val="{A077C3BE-4B53-4FCF-B950-2B7510A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368"/>
    <w:pPr>
      <w:spacing w:before="240" w:after="240" w:line="360" w:lineRule="auto"/>
    </w:pPr>
    <w:rPr>
      <w:rFonts w:ascii="Arial" w:hAnsi="Arial"/>
      <w:sz w:val="24"/>
      <w:szCs w:val="24"/>
    </w:rPr>
  </w:style>
  <w:style w:type="paragraph" w:styleId="Heading1">
    <w:name w:val="heading 1"/>
    <w:next w:val="Normal"/>
    <w:qFormat/>
    <w:rsid w:val="00FF7F9E"/>
    <w:pPr>
      <w:spacing w:before="120" w:after="120"/>
      <w:ind w:left="-86"/>
      <w:jc w:val="center"/>
      <w:outlineLvl w:val="0"/>
    </w:pPr>
    <w:rPr>
      <w:rFonts w:ascii="Arial" w:hAnsi="Arial" w:cs="Arial"/>
      <w:b/>
      <w:bCs/>
      <w:sz w:val="28"/>
      <w:szCs w:val="24"/>
    </w:rPr>
  </w:style>
  <w:style w:type="paragraph" w:styleId="Heading2">
    <w:name w:val="heading 2"/>
    <w:next w:val="Normal"/>
    <w:qFormat/>
    <w:rsid w:val="00FF7F9E"/>
    <w:pPr>
      <w:spacing w:before="240" w:after="120"/>
      <w:jc w:val="center"/>
      <w:outlineLvl w:val="1"/>
    </w:pPr>
    <w:rPr>
      <w:rFonts w:ascii="Arial" w:hAnsi="Arial"/>
      <w:b/>
      <w:sz w:val="36"/>
      <w:szCs w:val="24"/>
    </w:rPr>
  </w:style>
  <w:style w:type="paragraph" w:styleId="Heading3">
    <w:name w:val="heading 3"/>
    <w:next w:val="Normal"/>
    <w:qFormat/>
    <w:rsid w:val="00FF7F9E"/>
    <w:pPr>
      <w:spacing w:before="120" w:after="120" w:line="360" w:lineRule="auto"/>
      <w:outlineLvl w:val="2"/>
    </w:pPr>
    <w:rPr>
      <w:rFonts w:ascii="Arial" w:hAnsi="Arial"/>
      <w:b/>
      <w:sz w:val="28"/>
      <w:szCs w:val="28"/>
    </w:rPr>
  </w:style>
  <w:style w:type="paragraph" w:styleId="Heading4">
    <w:name w:val="heading 4"/>
    <w:basedOn w:val="Normal"/>
    <w:next w:val="Normal"/>
    <w:qFormat/>
    <w:rsid w:val="0005567F"/>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5567F"/>
    <w:pPr>
      <w:framePr w:w="7920" w:h="1980" w:hRule="exact" w:hSpace="180" w:wrap="auto" w:hAnchor="page" w:xAlign="center" w:yAlign="bottom"/>
      <w:ind w:left="2880"/>
    </w:pPr>
    <w:rPr>
      <w:rFonts w:ascii="Comic Sans MS" w:hAnsi="Comic Sans MS" w:cs="Arial"/>
    </w:rPr>
  </w:style>
  <w:style w:type="character" w:styleId="Hyperlink">
    <w:name w:val="Hyperlink"/>
    <w:basedOn w:val="DefaultParagraphFont"/>
    <w:rsid w:val="00B4768B"/>
    <w:rPr>
      <w:rFonts w:ascii="Arial" w:hAnsi="Arial"/>
      <w:b/>
      <w:color w:val="04427D"/>
      <w:sz w:val="24"/>
      <w:u w:val="single"/>
    </w:rPr>
  </w:style>
  <w:style w:type="paragraph" w:styleId="BodyText">
    <w:name w:val="Body Text"/>
    <w:basedOn w:val="Normal"/>
    <w:rsid w:val="0005567F"/>
    <w:pPr>
      <w:jc w:val="both"/>
    </w:pPr>
    <w:rPr>
      <w:rFonts w:cs="Arial"/>
    </w:rPr>
  </w:style>
  <w:style w:type="paragraph" w:styleId="TOC1">
    <w:name w:val="toc 1"/>
    <w:basedOn w:val="Normal"/>
    <w:next w:val="Normal"/>
    <w:autoRedefine/>
    <w:semiHidden/>
    <w:rsid w:val="0005567F"/>
    <w:pPr>
      <w:numPr>
        <w:numId w:val="1"/>
      </w:numPr>
    </w:pPr>
    <w:rPr>
      <w:b/>
    </w:rPr>
  </w:style>
  <w:style w:type="paragraph" w:styleId="TOC2">
    <w:name w:val="toc 2"/>
    <w:basedOn w:val="Normal"/>
    <w:next w:val="Normal"/>
    <w:autoRedefine/>
    <w:semiHidden/>
    <w:rsid w:val="0005567F"/>
    <w:pPr>
      <w:numPr>
        <w:numId w:val="2"/>
      </w:numPr>
      <w:tabs>
        <w:tab w:val="clear" w:pos="960"/>
        <w:tab w:val="num" w:pos="360"/>
      </w:tabs>
      <w:ind w:left="0" w:firstLine="0"/>
    </w:pPr>
    <w:rPr>
      <w:b/>
    </w:rPr>
  </w:style>
  <w:style w:type="paragraph" w:styleId="Header">
    <w:name w:val="header"/>
    <w:basedOn w:val="Normal"/>
    <w:rsid w:val="0005567F"/>
    <w:pPr>
      <w:tabs>
        <w:tab w:val="center" w:pos="4320"/>
        <w:tab w:val="right" w:pos="8640"/>
      </w:tabs>
    </w:pPr>
  </w:style>
  <w:style w:type="paragraph" w:styleId="Footer">
    <w:name w:val="footer"/>
    <w:basedOn w:val="Normal"/>
    <w:link w:val="FooterChar"/>
    <w:uiPriority w:val="99"/>
    <w:rsid w:val="0005567F"/>
    <w:pPr>
      <w:tabs>
        <w:tab w:val="center" w:pos="4320"/>
        <w:tab w:val="right" w:pos="8640"/>
      </w:tabs>
    </w:pPr>
  </w:style>
  <w:style w:type="paragraph" w:customStyle="1" w:styleId="xl28">
    <w:name w:val="xl28"/>
    <w:basedOn w:val="Normal"/>
    <w:rsid w:val="0005567F"/>
    <w:pPr>
      <w:spacing w:before="100" w:beforeAutospacing="1" w:after="100" w:afterAutospacing="1"/>
    </w:pPr>
    <w:rPr>
      <w:rFonts w:eastAsia="Arial Unicode MS" w:cs="Arial"/>
    </w:rPr>
  </w:style>
  <w:style w:type="paragraph" w:styleId="BodyText2">
    <w:name w:val="Body Text 2"/>
    <w:basedOn w:val="Normal"/>
    <w:rsid w:val="0005567F"/>
    <w:pPr>
      <w:jc w:val="both"/>
    </w:pPr>
    <w:rPr>
      <w:u w:val="single"/>
    </w:rPr>
  </w:style>
  <w:style w:type="paragraph" w:styleId="BodyText3">
    <w:name w:val="Body Text 3"/>
    <w:basedOn w:val="Normal"/>
    <w:rsid w:val="0005567F"/>
    <w:pPr>
      <w:jc w:val="center"/>
    </w:pPr>
    <w:rPr>
      <w:b/>
      <w:bCs/>
      <w:sz w:val="32"/>
    </w:rPr>
  </w:style>
  <w:style w:type="character" w:styleId="FollowedHyperlink">
    <w:name w:val="FollowedHyperlink"/>
    <w:basedOn w:val="DefaultParagraphFont"/>
    <w:rsid w:val="00B4768B"/>
    <w:rPr>
      <w:rFonts w:ascii="Arial" w:hAnsi="Arial"/>
      <w:color w:val="04427D"/>
      <w:sz w:val="18"/>
      <w:u w:val="single"/>
    </w:rPr>
  </w:style>
  <w:style w:type="paragraph" w:styleId="BalloonText">
    <w:name w:val="Balloon Text"/>
    <w:basedOn w:val="Normal"/>
    <w:semiHidden/>
    <w:rsid w:val="0042131E"/>
    <w:rPr>
      <w:rFonts w:ascii="Tahoma" w:hAnsi="Tahoma" w:cs="Tahoma"/>
      <w:sz w:val="16"/>
      <w:szCs w:val="16"/>
    </w:rPr>
  </w:style>
  <w:style w:type="paragraph" w:styleId="ListParagraph">
    <w:name w:val="List Paragraph"/>
    <w:basedOn w:val="Normal"/>
    <w:qFormat/>
    <w:rsid w:val="008D2FF9"/>
    <w:pPr>
      <w:ind w:left="720"/>
      <w:contextualSpacing/>
    </w:pPr>
  </w:style>
  <w:style w:type="character" w:customStyle="1" w:styleId="FooterChar">
    <w:name w:val="Footer Char"/>
    <w:basedOn w:val="DefaultParagraphFont"/>
    <w:link w:val="Footer"/>
    <w:uiPriority w:val="99"/>
    <w:rsid w:val="009E7435"/>
    <w:rPr>
      <w:rFonts w:ascii="Arial" w:hAnsi="Arial"/>
      <w:sz w:val="24"/>
      <w:szCs w:val="24"/>
    </w:rPr>
  </w:style>
  <w:style w:type="table" w:styleId="TableGrid">
    <w:name w:val="Table Grid"/>
    <w:basedOn w:val="TableNormal"/>
    <w:uiPriority w:val="39"/>
    <w:rsid w:val="004E3E8C"/>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BEE"/>
    <w:rPr>
      <w:rFonts w:ascii="Arial" w:hAnsi="Arial"/>
      <w:sz w:val="24"/>
      <w:szCs w:val="24"/>
    </w:rPr>
  </w:style>
  <w:style w:type="character" w:styleId="CommentReference">
    <w:name w:val="annotation reference"/>
    <w:basedOn w:val="DefaultParagraphFont"/>
    <w:rsid w:val="00144640"/>
    <w:rPr>
      <w:sz w:val="16"/>
      <w:szCs w:val="16"/>
    </w:rPr>
  </w:style>
  <w:style w:type="paragraph" w:styleId="CommentText">
    <w:name w:val="annotation text"/>
    <w:basedOn w:val="Normal"/>
    <w:link w:val="CommentTextChar"/>
    <w:rsid w:val="00144640"/>
    <w:rPr>
      <w:sz w:val="20"/>
      <w:szCs w:val="20"/>
    </w:rPr>
  </w:style>
  <w:style w:type="character" w:customStyle="1" w:styleId="CommentTextChar">
    <w:name w:val="Comment Text Char"/>
    <w:basedOn w:val="DefaultParagraphFont"/>
    <w:link w:val="CommentText"/>
    <w:rsid w:val="00144640"/>
    <w:rPr>
      <w:rFonts w:ascii="Arial" w:hAnsi="Arial"/>
    </w:rPr>
  </w:style>
  <w:style w:type="paragraph" w:styleId="CommentSubject">
    <w:name w:val="annotation subject"/>
    <w:basedOn w:val="CommentText"/>
    <w:next w:val="CommentText"/>
    <w:link w:val="CommentSubjectChar"/>
    <w:rsid w:val="00144640"/>
    <w:rPr>
      <w:b/>
      <w:bCs/>
    </w:rPr>
  </w:style>
  <w:style w:type="character" w:customStyle="1" w:styleId="CommentSubjectChar">
    <w:name w:val="Comment Subject Char"/>
    <w:basedOn w:val="CommentTextChar"/>
    <w:link w:val="CommentSubject"/>
    <w:rsid w:val="00144640"/>
    <w:rPr>
      <w:rFonts w:ascii="Arial" w:hAnsi="Arial"/>
      <w:b/>
      <w:bCs/>
    </w:rPr>
  </w:style>
  <w:style w:type="character" w:styleId="UnresolvedMention">
    <w:name w:val="Unresolved Mention"/>
    <w:basedOn w:val="DefaultParagraphFont"/>
    <w:uiPriority w:val="99"/>
    <w:semiHidden/>
    <w:unhideWhenUsed/>
    <w:rsid w:val="00E73773"/>
    <w:rPr>
      <w:color w:val="605E5C"/>
      <w:shd w:val="clear" w:color="auto" w:fill="E1DFDD"/>
    </w:rPr>
  </w:style>
  <w:style w:type="paragraph" w:customStyle="1" w:styleId="Bulletinendtext">
    <w:name w:val="Bulletin end text"/>
    <w:qFormat/>
    <w:rsid w:val="006B76BA"/>
    <w:pPr>
      <w:spacing w:before="120" w:after="120" w:line="240" w:lineRule="atLeast"/>
      <w:jc w:val="both"/>
    </w:pPr>
    <w:rPr>
      <w:rFonts w:ascii="Arial" w:hAnsi="Arial"/>
      <w:i/>
      <w:iCs/>
      <w:sz w:val="18"/>
      <w:szCs w:val="18"/>
    </w:rPr>
  </w:style>
  <w:style w:type="paragraph" w:customStyle="1" w:styleId="Bull">
    <w:name w:val="Bull"/>
    <w:basedOn w:val="Bulletinendtext"/>
    <w:qFormat/>
    <w:rsid w:val="00032E26"/>
  </w:style>
  <w:style w:type="paragraph" w:customStyle="1" w:styleId="hyperlinkBulletinendtext">
    <w:name w:val="hyperlink Bulletin end text"/>
    <w:next w:val="Bulletinendtext"/>
    <w:qFormat/>
    <w:rsid w:val="00A95170"/>
    <w:rPr>
      <w:rFonts w:ascii="Arial" w:hAnsi="Arial"/>
      <w:b/>
      <w:i/>
      <w:iCs/>
      <w:color w:val="04427D"/>
      <w:sz w:val="18"/>
      <w:szCs w:val="18"/>
      <w:u w:val="single"/>
    </w:rPr>
  </w:style>
  <w:style w:type="paragraph" w:customStyle="1" w:styleId="StyleBottomSinglesolidlineAuto15ptLinewidth">
    <w:name w:val="Style Bottom: (Single solid line Auto  1.5 pt Line width)"/>
    <w:basedOn w:val="Normal"/>
    <w:rsid w:val="006B76BA"/>
    <w:pPr>
      <w:pBdr>
        <w:bottom w:val="single" w:sz="12" w:space="1" w:color="auto"/>
      </w:pBdr>
    </w:pPr>
    <w:rPr>
      <w:szCs w:val="20"/>
    </w:rPr>
  </w:style>
  <w:style w:type="paragraph" w:customStyle="1" w:styleId="StyleListParagraphTopSinglesolidlineAuto15ptLine">
    <w:name w:val="Style List Paragraph + Top: (Single solid line Auto  1.5 pt Line ..."/>
    <w:basedOn w:val="ListParagraph"/>
    <w:rsid w:val="006B76BA"/>
    <w:pPr>
      <w:pBdr>
        <w:top w:val="single" w:sz="12" w:space="1" w:color="auto"/>
        <w:bottom w:val="single" w:sz="12" w:space="1" w:color="auto"/>
      </w:pBdr>
      <w:spacing w:line="480" w:lineRule="auto"/>
    </w:pPr>
    <w:rPr>
      <w:szCs w:val="20"/>
    </w:rPr>
  </w:style>
  <w:style w:type="paragraph" w:customStyle="1" w:styleId="StyleListParagraphTopSinglesolidlineAuto15ptLine1">
    <w:name w:val="Style List Paragraph + Top: (Single solid line Auto  1.5 pt Line ...1"/>
    <w:basedOn w:val="ListParagraph"/>
    <w:rsid w:val="006B76BA"/>
    <w:pPr>
      <w:pBdr>
        <w:top w:val="single" w:sz="12" w:space="1" w:color="auto"/>
        <w:bottom w:val="single" w:sz="12" w:space="1" w:color="auto"/>
      </w:pBdr>
      <w:spacing w:line="480" w:lineRule="auto"/>
    </w:pPr>
    <w:rPr>
      <w:szCs w:val="20"/>
    </w:rPr>
  </w:style>
  <w:style w:type="paragraph" w:styleId="NormalWeb">
    <w:name w:val="Normal (Web)"/>
    <w:basedOn w:val="Normal"/>
    <w:uiPriority w:val="99"/>
    <w:unhideWhenUsed/>
    <w:rsid w:val="00381656"/>
    <w:pPr>
      <w:spacing w:before="100" w:beforeAutospacing="1" w:after="100" w:afterAutospacing="1"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00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saware.org/wp-content/uploads/2019/12/ACE-Clinical-Workflows-Algorithms-and-ACE-Associated-Health-Conditions.pdf" TargetMode="External"/><Relationship Id="rId18" Type="http://schemas.openxmlformats.org/officeDocument/2006/relationships/hyperlink" Target="https://mydss.mo.gov/media/pdf/managed-care-provider-information-reques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ublic.govdelivery.com/accounts/MODSS/subscriber/new?preferences=true" TargetMode="External"/><Relationship Id="rId7" Type="http://schemas.openxmlformats.org/officeDocument/2006/relationships/settings" Target="settings.xml"/><Relationship Id="rId12" Type="http://schemas.openxmlformats.org/officeDocument/2006/relationships/hyperlink" Target="https://www.acesaware.org/wp-content/uploads/2021/06/Aces-Aware-Network-of-Care-Roadmap.pdf" TargetMode="External"/><Relationship Id="rId17" Type="http://schemas.openxmlformats.org/officeDocument/2006/relationships/hyperlink" Target="https://mydss.mo.gov/mhd/provider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ogle.com/search?q=https://doi.org/10.17226/25466" TargetMode="External"/><Relationship Id="rId20" Type="http://schemas.openxmlformats.org/officeDocument/2006/relationships/hyperlink" Target="https://mydss.mo.gov/mhd/n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raining.acesaware.org/aa/detail?id=502" TargetMode="External"/><Relationship Id="rId23" Type="http://schemas.openxmlformats.org/officeDocument/2006/relationships/hyperlink" Target="https://moexperience.qualtrics.com/jfe/form/SV_8v5YgbpJmYXuPae" TargetMode="External"/><Relationship Id="rId10" Type="http://schemas.openxmlformats.org/officeDocument/2006/relationships/endnotes" Target="endnotes.xml"/><Relationship Id="rId19" Type="http://schemas.openxmlformats.org/officeDocument/2006/relationships/hyperlink" Target="https://www.emomed.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saware.org/wp-content/uploads/2020/05/Provider-Toolkit-Screening-Tools-Overview.pdf" TargetMode="External"/><Relationship Id="rId22" Type="http://schemas.openxmlformats.org/officeDocument/2006/relationships/hyperlink" Target="https://mydss.mo.gov/mhd/education-and-train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8D662F-B0E4-4296-BA9C-5496226688B7}">
  <ds:schemaRefs>
    <ds:schemaRef ds:uri="http://schemas.microsoft.com/sharepoint/v3/contenttype/forms"/>
  </ds:schemaRefs>
</ds:datastoreItem>
</file>

<file path=customXml/itemProps2.xml><?xml version="1.0" encoding="utf-8"?>
<ds:datastoreItem xmlns:ds="http://schemas.openxmlformats.org/officeDocument/2006/customXml" ds:itemID="{F6376A26-ABCF-4F33-9418-C2B4CFA3D9B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e4ce362-36a0-45ca-b15f-c64cd8e27601"/>
    <ds:schemaRef ds:uri="http://www.w3.org/XML/1998/namespace"/>
    <ds:schemaRef ds:uri="http://purl.org/dc/dcmitype/"/>
  </ds:schemaRefs>
</ds:datastoreItem>
</file>

<file path=customXml/itemProps3.xml><?xml version="1.0" encoding="utf-8"?>
<ds:datastoreItem xmlns:ds="http://schemas.openxmlformats.org/officeDocument/2006/customXml" ds:itemID="{3058B5B4-D336-47A8-84BC-1AE585D0F064}">
  <ds:schemaRefs>
    <ds:schemaRef ds:uri="http://schemas.openxmlformats.org/officeDocument/2006/bibliography"/>
  </ds:schemaRefs>
</ds:datastoreItem>
</file>

<file path=customXml/itemProps4.xml><?xml version="1.0" encoding="utf-8"?>
<ds:datastoreItem xmlns:ds="http://schemas.openxmlformats.org/officeDocument/2006/customXml" ds:itemID="{5664BA2C-F8B3-47D5-A511-77EF954D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909</Words>
  <Characters>6250</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MO HealthNet Provider Bulletin Template</vt:lpstr>
    </vt:vector>
  </TitlesOfParts>
  <Manager>Missouri Department of Social Services</Manager>
  <Company>State of Missouri</Company>
  <LinksUpToDate>false</LinksUpToDate>
  <CharactersWithSpaces>7145</CharactersWithSpaces>
  <SharedDoc>false</SharedDoc>
  <HLinks>
    <vt:vector size="24" baseType="variant">
      <vt:variant>
        <vt:i4>4390989</vt:i4>
      </vt:variant>
      <vt:variant>
        <vt:i4>9</vt:i4>
      </vt:variant>
      <vt:variant>
        <vt:i4>0</vt:i4>
      </vt:variant>
      <vt:variant>
        <vt:i4>5</vt:i4>
      </vt:variant>
      <vt:variant>
        <vt:lpwstr>http://dss.missouri.gov/mhd/global/pages/mednewssubscribe.htm</vt:lpwstr>
      </vt:variant>
      <vt:variant>
        <vt:lpwstr/>
      </vt:variant>
      <vt:variant>
        <vt:i4>5242900</vt:i4>
      </vt:variant>
      <vt:variant>
        <vt:i4>6</vt:i4>
      </vt:variant>
      <vt:variant>
        <vt:i4>0</vt:i4>
      </vt:variant>
      <vt:variant>
        <vt:i4>5</vt:i4>
      </vt:variant>
      <vt:variant>
        <vt:lpwstr>http://manuals.momed.com/</vt:lpwstr>
      </vt:variant>
      <vt:variant>
        <vt:lpwstr/>
      </vt:variant>
      <vt:variant>
        <vt:i4>3604542</vt:i4>
      </vt:variant>
      <vt:variant>
        <vt:i4>3</vt:i4>
      </vt:variant>
      <vt:variant>
        <vt:i4>0</vt:i4>
      </vt:variant>
      <vt:variant>
        <vt:i4>5</vt:i4>
      </vt:variant>
      <vt:variant>
        <vt:lpwstr>http://dss.mo.gov/mhd/providers/pages/bulletins.htm</vt:lpwstr>
      </vt:variant>
      <vt:variant>
        <vt:lpwstr/>
      </vt:variant>
      <vt:variant>
        <vt:i4>5701662</vt:i4>
      </vt:variant>
      <vt:variant>
        <vt:i4>0</vt:i4>
      </vt:variant>
      <vt:variant>
        <vt:i4>0</vt:i4>
      </vt:variant>
      <vt:variant>
        <vt:i4>5</vt:i4>
      </vt:variant>
      <vt:variant>
        <vt:lpwstr>http://www.dss.mo.gov/mhd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Provider Bulletin Template</dc:title>
  <dc:creator>MO HealthNet</dc:creator>
  <cp:keywords>MO HealthNet Provider Bulletin Template</cp:keywords>
  <cp:lastModifiedBy>Craig, Madelyn</cp:lastModifiedBy>
  <cp:revision>3</cp:revision>
  <cp:lastPrinted>2018-12-28T19:46:00Z</cp:lastPrinted>
  <dcterms:created xsi:type="dcterms:W3CDTF">2026-05-18T19:16:00Z</dcterms:created>
  <dcterms:modified xsi:type="dcterms:W3CDTF">2026-05-18T19:16:00Z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393f7b5cafba1db6b979a5036e7e13c156db6d0604ca2a285162f501e8dbe580</vt:lpwstr>
  </property>
  <property fmtid="{D5CDD505-2E9C-101B-9397-08002B2CF9AE}" pid="3" name="ContentTypeId">
    <vt:lpwstr>0x010100C435508F8315CF448504F42060908B5E</vt:lpwstr>
  </property>
</Properties>
</file>