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46A1F228" w:rsidR="004C5767" w:rsidRPr="00611E4A" w:rsidRDefault="004C5767" w:rsidP="00D27533">
      <w:pPr>
        <w:pStyle w:val="tbody"/>
        <w:rPr>
          <w:b w:val="0"/>
          <w:bCs/>
        </w:rPr>
      </w:pPr>
      <w:r w:rsidRPr="00C02553">
        <w:t>Drug/Drug Class:</w:t>
      </w:r>
      <w:r w:rsidR="003B4820">
        <w:t xml:space="preserve"> </w:t>
      </w:r>
      <w:proofErr w:type="spellStart"/>
      <w:r w:rsidR="00D86C71" w:rsidRPr="00D86C71">
        <w:rPr>
          <w:b w:val="0"/>
          <w:bCs/>
        </w:rPr>
        <w:t>Zokinvy</w:t>
      </w:r>
      <w:proofErr w:type="spellEnd"/>
      <w:r w:rsidR="00D86C71" w:rsidRPr="00D86C71">
        <w:rPr>
          <w:b w:val="0"/>
          <w:bCs/>
        </w:rPr>
        <w:t xml:space="preserve"> Clinical Edit</w:t>
      </w:r>
    </w:p>
    <w:p w14:paraId="7AD7FFCE" w14:textId="38A23749" w:rsidR="004C5767" w:rsidRPr="00611E4A" w:rsidRDefault="004C5767" w:rsidP="00D27533">
      <w:pPr>
        <w:pStyle w:val="tbody"/>
        <w:rPr>
          <w:b w:val="0"/>
          <w:bCs/>
        </w:rPr>
      </w:pPr>
      <w:r w:rsidRPr="00C02553">
        <w:t xml:space="preserve">First Implementation Date: </w:t>
      </w:r>
      <w:r w:rsidR="0010509A" w:rsidRPr="0010509A">
        <w:rPr>
          <w:b w:val="0"/>
          <w:bCs/>
        </w:rPr>
        <w:t>November 18, 2021</w:t>
      </w:r>
    </w:p>
    <w:p w14:paraId="4B7D760D" w14:textId="00342F06" w:rsidR="004C5767" w:rsidRPr="00D232D9" w:rsidRDefault="00D95E68" w:rsidP="15EB50BA">
      <w:pPr>
        <w:pStyle w:val="tbody"/>
        <w:rPr>
          <w:b w:val="0"/>
        </w:rPr>
      </w:pPr>
      <w:r>
        <w:t>Proposed</w:t>
      </w:r>
      <w:r w:rsidR="004C5767">
        <w:t xml:space="preserve"> Date:</w:t>
      </w:r>
      <w:r w:rsidR="00065C22">
        <w:t xml:space="preserve"> </w:t>
      </w:r>
      <w:r w:rsidR="00B00EDC">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22FAAAF" w:rsidR="004C5767" w:rsidRPr="00D27533" w:rsidRDefault="004C5767" w:rsidP="00D27533">
      <w:pPr>
        <w:pStyle w:val="tbody"/>
        <w:rPr>
          <w:b w:val="0"/>
          <w:bCs/>
          <w:spacing w:val="-3"/>
        </w:rPr>
      </w:pPr>
      <w:r w:rsidRPr="00C02553">
        <w:t xml:space="preserve">Criteria Status: </w:t>
      </w:r>
      <w:r w:rsidR="00566BE4" w:rsidRPr="007E676F">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5017323" w:rsidR="00D47996" w:rsidRDefault="79EEA449" w:rsidP="00696E3A">
      <w:r>
        <w:t>Ensure appropriate utilization and control of</w:t>
      </w:r>
      <w:r w:rsidR="00F21429" w:rsidRPr="00F21429">
        <w:rPr>
          <w:rFonts w:cs="Arial"/>
          <w:spacing w:val="-3"/>
        </w:rPr>
        <w:t xml:space="preserve"> </w:t>
      </w:r>
      <w:proofErr w:type="spellStart"/>
      <w:r w:rsidR="00F21429">
        <w:rPr>
          <w:rFonts w:cs="Arial"/>
          <w:spacing w:val="-3"/>
        </w:rPr>
        <w:t>Zokinvy</w:t>
      </w:r>
      <w:proofErr w:type="spellEnd"/>
      <w:r w:rsidR="00F21429">
        <w:rPr>
          <w:rFonts w:cs="Arial"/>
          <w:spacing w:val="-3"/>
          <w:vertAlign w:val="superscript"/>
        </w:rPr>
        <w:t xml:space="preserve">® </w:t>
      </w:r>
      <w:r w:rsidR="00F21429">
        <w:rPr>
          <w:rFonts w:cs="Arial"/>
          <w:spacing w:val="-3"/>
        </w:rPr>
        <w:t>(lonafarnib)</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5E4D6E22" w14:textId="77777777" w:rsidR="00E42001" w:rsidRDefault="00E42001" w:rsidP="00E42001">
      <w:proofErr w:type="spellStart"/>
      <w:r>
        <w:t>Zokinvy</w:t>
      </w:r>
      <w:proofErr w:type="spellEnd"/>
      <w:r w:rsidRPr="006F18AD">
        <w:rPr>
          <w:vertAlign w:val="superscript"/>
        </w:rPr>
        <w:t>®</w:t>
      </w:r>
      <w:r>
        <w:t xml:space="preserve"> (lonafarnib), FDA approved in November 2020, represents the first disease-modifying treatment for Hutchinson-Gilford Progeria Syndrome (HGPS) and Progeroid Laminopathies (PLs). HGPS and PLs are rare, genetic, and inevitably fatal conditions diagnosed between 9 and 24 months of age. According to the Progeria Research Foundation, as of December 31, 2024, there are 149 individuals worldwide living with HGPS and 54 with PLs, 15 and 11 of which live within the United States. HGPS is caused by pathogenic variants in the LMNA gene which leads to the synthesis of a truncated protein, </w:t>
      </w:r>
      <w:proofErr w:type="spellStart"/>
      <w:r>
        <w:t>progerin</w:t>
      </w:r>
      <w:proofErr w:type="spellEnd"/>
      <w:r>
        <w:t xml:space="preserve">, which accumulates within the nuclear envelope and leads to cellular instability and premature aging. PLs are caused by pathogenic variants in either the LMNA gene and/or the ZMPSTE24 gene, and do not result in the production of </w:t>
      </w:r>
      <w:proofErr w:type="spellStart"/>
      <w:r>
        <w:t>progerin</w:t>
      </w:r>
      <w:proofErr w:type="spellEnd"/>
      <w:r>
        <w:t xml:space="preserve"> but are associated with disease characteristics and traits that overlap with Progeria. The characteristic appearance of premature aging is often associated with alopecia, head/facial abnormalities, cardiovascular disease, stroke, joint stiffness, and lipodystrophy. Atherosclerosis, the primary cause of premature death, occurs by age 13 on average. </w:t>
      </w:r>
      <w:proofErr w:type="spellStart"/>
      <w:r>
        <w:t>Zokinvy</w:t>
      </w:r>
      <w:proofErr w:type="spellEnd"/>
      <w:r>
        <w:t xml:space="preserve"> inhibits farnesyltransferase to prevent </w:t>
      </w:r>
      <w:proofErr w:type="spellStart"/>
      <w:r>
        <w:t>farnesylation</w:t>
      </w:r>
      <w:proofErr w:type="spellEnd"/>
      <w:r>
        <w:t xml:space="preserve"> and subsequent accumulation of </w:t>
      </w:r>
      <w:proofErr w:type="spellStart"/>
      <w:r>
        <w:t>progerin</w:t>
      </w:r>
      <w:proofErr w:type="spellEnd"/>
      <w:r>
        <w:t xml:space="preserve"> and </w:t>
      </w:r>
      <w:proofErr w:type="spellStart"/>
      <w:r>
        <w:t>progerin</w:t>
      </w:r>
      <w:proofErr w:type="spellEnd"/>
      <w:r>
        <w:t xml:space="preserve">-like proteins in the inner nuclear membrane. </w:t>
      </w:r>
    </w:p>
    <w:p w14:paraId="5B86F813" w14:textId="77777777" w:rsidR="00E42001" w:rsidRDefault="00E42001" w:rsidP="00E42001"/>
    <w:p w14:paraId="7ACECC9F" w14:textId="63E7D60E" w:rsidR="00B56DCC" w:rsidRDefault="00E42001" w:rsidP="00E42001">
      <w:r>
        <w:t xml:space="preserve">Due to the high cost and specific approved indications, MO HealthNet will impose clinical criteria to ensure appropriate utilization of </w:t>
      </w:r>
      <w:proofErr w:type="spellStart"/>
      <w:r>
        <w:t>Zokinvy</w:t>
      </w:r>
      <w:proofErr w:type="spellEnd"/>
      <w:r>
        <w:t>.</w:t>
      </w:r>
    </w:p>
    <w:p w14:paraId="18630225" w14:textId="77777777" w:rsidR="00E42001" w:rsidRDefault="00E42001" w:rsidP="00E42001"/>
    <w:p w14:paraId="5B5260CF" w14:textId="47DCD387" w:rsidR="003D4704" w:rsidRPr="00AD17B7" w:rsidRDefault="003D4704" w:rsidP="003D4704">
      <w:r>
        <w:rPr>
          <w:b/>
          <w:bCs/>
        </w:rPr>
        <w:t xml:space="preserve">Program-Specific Information: </w:t>
      </w:r>
      <w:r>
        <w:t>Dat</w:t>
      </w:r>
      <w:r w:rsidR="00ED760F">
        <w:t>e</w:t>
      </w:r>
      <w:r>
        <w:t xml:space="preserve"> Range FFS </w:t>
      </w:r>
      <w:r w:rsidR="00B81482">
        <w:t>1</w:t>
      </w:r>
      <w:r>
        <w:t>-1-202</w:t>
      </w:r>
      <w:r w:rsidR="00B81482">
        <w:t>5</w:t>
      </w:r>
      <w:r>
        <w:t xml:space="preserve"> to </w:t>
      </w:r>
      <w:r w:rsidR="00B81482">
        <w:t>12</w:t>
      </w:r>
      <w:r>
        <w:t>-3</w:t>
      </w:r>
      <w:r w:rsidR="00B81482">
        <w:t>1</w:t>
      </w:r>
      <w:r>
        <w:t>-2025</w:t>
      </w:r>
    </w:p>
    <w:tbl>
      <w:tblPr>
        <w:tblW w:w="9360" w:type="dxa"/>
        <w:tblInd w:w="175" w:type="dxa"/>
        <w:tblLayout w:type="fixed"/>
        <w:tblLook w:val="04A0" w:firstRow="1" w:lastRow="0" w:firstColumn="1" w:lastColumn="0" w:noHBand="0" w:noVBand="1"/>
      </w:tblPr>
      <w:tblGrid>
        <w:gridCol w:w="2070"/>
        <w:gridCol w:w="1513"/>
        <w:gridCol w:w="1223"/>
        <w:gridCol w:w="2336"/>
        <w:gridCol w:w="2218"/>
      </w:tblGrid>
      <w:tr w:rsidR="00145C8E" w14:paraId="31D30399" w14:textId="77777777" w:rsidTr="00145C8E">
        <w:trPr>
          <w:trHeight w:val="165"/>
        </w:trPr>
        <w:tc>
          <w:tcPr>
            <w:tcW w:w="207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6651CD0" w14:textId="77777777" w:rsidR="00145C8E" w:rsidRPr="00DB083D" w:rsidRDefault="00145C8E" w:rsidP="00004DBA">
            <w:pPr>
              <w:jc w:val="center"/>
              <w:rPr>
                <w:rFonts w:cs="Arial"/>
                <w:b/>
                <w:spacing w:val="-3"/>
                <w:szCs w:val="20"/>
              </w:rPr>
            </w:pPr>
            <w:r>
              <w:rPr>
                <w:rFonts w:cs="Arial"/>
                <w:b/>
                <w:spacing w:val="-3"/>
                <w:szCs w:val="20"/>
              </w:rPr>
              <w:t>Drug</w:t>
            </w:r>
          </w:p>
        </w:tc>
        <w:tc>
          <w:tcPr>
            <w:tcW w:w="151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00F1F7F" w14:textId="77777777" w:rsidR="00145C8E" w:rsidRPr="00DB083D" w:rsidRDefault="00145C8E" w:rsidP="00004DBA">
            <w:pPr>
              <w:jc w:val="center"/>
              <w:rPr>
                <w:rFonts w:cs="Arial"/>
                <w:b/>
                <w:spacing w:val="-3"/>
                <w:szCs w:val="20"/>
              </w:rPr>
            </w:pPr>
            <w:r>
              <w:rPr>
                <w:rFonts w:cs="Arial"/>
                <w:b/>
                <w:spacing w:val="-3"/>
                <w:szCs w:val="20"/>
              </w:rPr>
              <w:t>Participants</w:t>
            </w:r>
          </w:p>
        </w:tc>
        <w:tc>
          <w:tcPr>
            <w:tcW w:w="122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F380D00" w14:textId="77777777" w:rsidR="00145C8E" w:rsidRPr="00DB083D" w:rsidRDefault="00145C8E" w:rsidP="00004DBA">
            <w:pPr>
              <w:jc w:val="center"/>
              <w:rPr>
                <w:rFonts w:cs="Arial"/>
                <w:b/>
                <w:spacing w:val="-3"/>
                <w:szCs w:val="20"/>
              </w:rPr>
            </w:pPr>
            <w:r>
              <w:rPr>
                <w:rFonts w:cs="Arial"/>
                <w:b/>
                <w:spacing w:val="-3"/>
                <w:szCs w:val="20"/>
              </w:rPr>
              <w:t>Claims</w:t>
            </w:r>
          </w:p>
        </w:tc>
        <w:tc>
          <w:tcPr>
            <w:tcW w:w="233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45785E1" w14:textId="77777777" w:rsidR="00145C8E" w:rsidRDefault="00145C8E" w:rsidP="00004DBA">
            <w:pPr>
              <w:jc w:val="center"/>
              <w:rPr>
                <w:rFonts w:cs="Arial"/>
                <w:b/>
                <w:spacing w:val="-3"/>
                <w:szCs w:val="20"/>
              </w:rPr>
            </w:pPr>
            <w:r>
              <w:rPr>
                <w:rFonts w:cs="Arial"/>
                <w:b/>
                <w:spacing w:val="-3"/>
                <w:szCs w:val="20"/>
              </w:rPr>
              <w:t>Cost per capsule</w:t>
            </w:r>
          </w:p>
        </w:tc>
        <w:tc>
          <w:tcPr>
            <w:tcW w:w="221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CB7CA26" w14:textId="77777777" w:rsidR="00145C8E" w:rsidRDefault="00145C8E" w:rsidP="00004DBA">
            <w:pPr>
              <w:jc w:val="center"/>
              <w:rPr>
                <w:rFonts w:cs="Arial"/>
                <w:b/>
                <w:spacing w:val="-3"/>
                <w:szCs w:val="20"/>
              </w:rPr>
            </w:pPr>
            <w:r>
              <w:rPr>
                <w:rFonts w:cs="Arial"/>
                <w:b/>
                <w:spacing w:val="-3"/>
                <w:szCs w:val="20"/>
              </w:rPr>
              <w:t>Cost per bottle of 30 capsules</w:t>
            </w:r>
          </w:p>
        </w:tc>
      </w:tr>
      <w:tr w:rsidR="00145C8E" w:rsidRPr="007038D0" w14:paraId="2A448461" w14:textId="77777777" w:rsidTr="00145C8E">
        <w:tc>
          <w:tcPr>
            <w:tcW w:w="2070" w:type="dxa"/>
            <w:tcBorders>
              <w:top w:val="single" w:sz="4" w:space="0" w:color="auto"/>
              <w:left w:val="single" w:sz="4" w:space="0" w:color="auto"/>
              <w:right w:val="single" w:sz="4" w:space="0" w:color="auto"/>
            </w:tcBorders>
            <w:vAlign w:val="center"/>
          </w:tcPr>
          <w:p w14:paraId="073DDEB9" w14:textId="77777777" w:rsidR="00145C8E" w:rsidRPr="00FE4CD8" w:rsidRDefault="00145C8E" w:rsidP="00004DBA">
            <w:pPr>
              <w:rPr>
                <w:rFonts w:cs="Arial"/>
                <w:spacing w:val="-3"/>
                <w:szCs w:val="20"/>
              </w:rPr>
            </w:pPr>
            <w:r>
              <w:rPr>
                <w:rFonts w:cs="Arial"/>
                <w:spacing w:val="-3"/>
                <w:szCs w:val="20"/>
              </w:rPr>
              <w:t>ZOKINVY 50 MG CAPSULE</w:t>
            </w:r>
          </w:p>
        </w:tc>
        <w:tc>
          <w:tcPr>
            <w:tcW w:w="1513" w:type="dxa"/>
            <w:tcBorders>
              <w:top w:val="single" w:sz="4" w:space="0" w:color="auto"/>
              <w:left w:val="single" w:sz="4" w:space="0" w:color="auto"/>
              <w:bottom w:val="single" w:sz="4" w:space="0" w:color="auto"/>
              <w:right w:val="single" w:sz="4" w:space="0" w:color="auto"/>
            </w:tcBorders>
            <w:vAlign w:val="center"/>
          </w:tcPr>
          <w:p w14:paraId="6B962663" w14:textId="77777777" w:rsidR="00145C8E" w:rsidRPr="007038D0" w:rsidRDefault="00145C8E" w:rsidP="00004DBA">
            <w:pPr>
              <w:jc w:val="center"/>
              <w:rPr>
                <w:rFonts w:cs="Arial"/>
                <w:spacing w:val="-3"/>
                <w:szCs w:val="20"/>
              </w:rPr>
            </w:pPr>
            <w:r w:rsidRPr="007038D0">
              <w:rPr>
                <w:rFonts w:cs="Arial"/>
                <w:spacing w:val="-3"/>
                <w:szCs w:val="20"/>
              </w:rPr>
              <w:t>0</w:t>
            </w:r>
          </w:p>
        </w:tc>
        <w:tc>
          <w:tcPr>
            <w:tcW w:w="1223" w:type="dxa"/>
            <w:tcBorders>
              <w:top w:val="single" w:sz="4" w:space="0" w:color="auto"/>
              <w:left w:val="single" w:sz="4" w:space="0" w:color="auto"/>
              <w:bottom w:val="single" w:sz="4" w:space="0" w:color="auto"/>
              <w:right w:val="single" w:sz="4" w:space="0" w:color="auto"/>
            </w:tcBorders>
            <w:vAlign w:val="center"/>
          </w:tcPr>
          <w:p w14:paraId="7A4B933B" w14:textId="77777777" w:rsidR="00145C8E" w:rsidRPr="007038D0" w:rsidRDefault="00145C8E" w:rsidP="00004DBA">
            <w:pPr>
              <w:jc w:val="center"/>
              <w:rPr>
                <w:rFonts w:cs="Arial"/>
                <w:spacing w:val="-3"/>
                <w:szCs w:val="20"/>
              </w:rPr>
            </w:pPr>
            <w:r w:rsidRPr="007038D0">
              <w:rPr>
                <w:rFonts w:cs="Arial"/>
                <w:spacing w:val="-3"/>
                <w:szCs w:val="20"/>
              </w:rPr>
              <w:t>-</w:t>
            </w:r>
          </w:p>
        </w:tc>
        <w:tc>
          <w:tcPr>
            <w:tcW w:w="2336" w:type="dxa"/>
            <w:tcBorders>
              <w:top w:val="single" w:sz="4" w:space="0" w:color="auto"/>
              <w:left w:val="single" w:sz="4" w:space="0" w:color="auto"/>
              <w:right w:val="single" w:sz="4" w:space="0" w:color="auto"/>
            </w:tcBorders>
            <w:vAlign w:val="center"/>
          </w:tcPr>
          <w:p w14:paraId="405C3499" w14:textId="7D307C53" w:rsidR="00145C8E" w:rsidRPr="007038D0" w:rsidRDefault="00145C8E" w:rsidP="00004DBA">
            <w:pPr>
              <w:jc w:val="right"/>
              <w:rPr>
                <w:rFonts w:cs="Arial"/>
                <w:spacing w:val="-3"/>
                <w:szCs w:val="20"/>
              </w:rPr>
            </w:pPr>
            <w:r w:rsidRPr="007038D0">
              <w:rPr>
                <w:rFonts w:cs="Arial"/>
                <w:spacing w:val="-3"/>
                <w:szCs w:val="20"/>
              </w:rPr>
              <w:t>$</w:t>
            </w:r>
            <w:r>
              <w:rPr>
                <w:rFonts w:cs="Arial"/>
                <w:spacing w:val="-3"/>
                <w:szCs w:val="20"/>
              </w:rPr>
              <w:t>8</w:t>
            </w:r>
            <w:r w:rsidR="00394573">
              <w:rPr>
                <w:rFonts w:cs="Arial"/>
                <w:spacing w:val="-3"/>
                <w:szCs w:val="20"/>
              </w:rPr>
              <w:t xml:space="preserve">56.88 </w:t>
            </w:r>
            <w:r w:rsidRPr="007038D0">
              <w:rPr>
                <w:rFonts w:cs="Arial"/>
                <w:spacing w:val="-3"/>
                <w:sz w:val="16"/>
                <w:szCs w:val="16"/>
              </w:rPr>
              <w:t>MAC</w:t>
            </w:r>
          </w:p>
        </w:tc>
        <w:tc>
          <w:tcPr>
            <w:tcW w:w="2218" w:type="dxa"/>
            <w:tcBorders>
              <w:top w:val="single" w:sz="4" w:space="0" w:color="auto"/>
              <w:left w:val="single" w:sz="4" w:space="0" w:color="auto"/>
              <w:right w:val="single" w:sz="4" w:space="0" w:color="auto"/>
            </w:tcBorders>
            <w:vAlign w:val="center"/>
          </w:tcPr>
          <w:p w14:paraId="2C5A964B" w14:textId="5D25B2DE" w:rsidR="00145C8E" w:rsidRPr="007038D0" w:rsidRDefault="00145C8E" w:rsidP="00004DBA">
            <w:pPr>
              <w:jc w:val="right"/>
              <w:rPr>
                <w:rFonts w:cs="Arial"/>
                <w:spacing w:val="-3"/>
                <w:szCs w:val="20"/>
              </w:rPr>
            </w:pPr>
            <w:r w:rsidRPr="007038D0">
              <w:rPr>
                <w:rFonts w:cs="Arial"/>
                <w:spacing w:val="-3"/>
                <w:szCs w:val="20"/>
              </w:rPr>
              <w:t>$</w:t>
            </w:r>
            <w:r w:rsidR="001B4D1C">
              <w:rPr>
                <w:rFonts w:cs="Arial"/>
                <w:spacing w:val="-3"/>
                <w:szCs w:val="20"/>
              </w:rPr>
              <w:t>25,706</w:t>
            </w:r>
            <w:r w:rsidRPr="007038D0">
              <w:rPr>
                <w:rFonts w:cs="Arial"/>
                <w:spacing w:val="-3"/>
                <w:szCs w:val="20"/>
              </w:rPr>
              <w:t xml:space="preserve"> </w:t>
            </w:r>
            <w:r w:rsidRPr="007038D0">
              <w:rPr>
                <w:rFonts w:cs="Arial"/>
                <w:spacing w:val="-3"/>
                <w:sz w:val="16"/>
                <w:szCs w:val="16"/>
              </w:rPr>
              <w:t>MAC</w:t>
            </w:r>
          </w:p>
        </w:tc>
      </w:tr>
      <w:tr w:rsidR="00145C8E" w:rsidRPr="007038D0" w14:paraId="4B0214F3" w14:textId="77777777" w:rsidTr="00145C8E">
        <w:tc>
          <w:tcPr>
            <w:tcW w:w="2070" w:type="dxa"/>
            <w:tcBorders>
              <w:top w:val="single" w:sz="4" w:space="0" w:color="auto"/>
              <w:left w:val="single" w:sz="4" w:space="0" w:color="auto"/>
              <w:bottom w:val="single" w:sz="4" w:space="0" w:color="auto"/>
              <w:right w:val="single" w:sz="4" w:space="0" w:color="auto"/>
            </w:tcBorders>
            <w:vAlign w:val="center"/>
          </w:tcPr>
          <w:p w14:paraId="21973B82" w14:textId="77777777" w:rsidR="00145C8E" w:rsidRDefault="00145C8E" w:rsidP="00004DBA">
            <w:pPr>
              <w:rPr>
                <w:rFonts w:cs="Arial"/>
                <w:spacing w:val="-3"/>
                <w:szCs w:val="20"/>
              </w:rPr>
            </w:pPr>
            <w:r>
              <w:rPr>
                <w:rFonts w:cs="Arial"/>
                <w:spacing w:val="-3"/>
                <w:szCs w:val="20"/>
              </w:rPr>
              <w:t>ZOKINVY 75 MG CAPSULE</w:t>
            </w:r>
          </w:p>
        </w:tc>
        <w:tc>
          <w:tcPr>
            <w:tcW w:w="1513" w:type="dxa"/>
            <w:tcBorders>
              <w:top w:val="single" w:sz="4" w:space="0" w:color="auto"/>
              <w:left w:val="single" w:sz="4" w:space="0" w:color="auto"/>
              <w:bottom w:val="single" w:sz="4" w:space="0" w:color="auto"/>
              <w:right w:val="single" w:sz="4" w:space="0" w:color="auto"/>
            </w:tcBorders>
            <w:vAlign w:val="center"/>
          </w:tcPr>
          <w:p w14:paraId="41D29B88" w14:textId="55853DB6" w:rsidR="00145C8E" w:rsidRPr="007038D0" w:rsidRDefault="007E676F" w:rsidP="00004DBA">
            <w:pPr>
              <w:jc w:val="center"/>
              <w:rPr>
                <w:rFonts w:cs="Arial"/>
                <w:spacing w:val="-3"/>
                <w:szCs w:val="20"/>
              </w:rPr>
            </w:pPr>
            <w:r>
              <w:rPr>
                <w:rFonts w:cs="Arial"/>
                <w:spacing w:val="-3"/>
                <w:szCs w:val="20"/>
              </w:rPr>
              <w:t>0</w:t>
            </w:r>
          </w:p>
        </w:tc>
        <w:tc>
          <w:tcPr>
            <w:tcW w:w="1223" w:type="dxa"/>
            <w:tcBorders>
              <w:top w:val="single" w:sz="4" w:space="0" w:color="auto"/>
              <w:left w:val="single" w:sz="4" w:space="0" w:color="auto"/>
              <w:bottom w:val="single" w:sz="4" w:space="0" w:color="auto"/>
              <w:right w:val="single" w:sz="4" w:space="0" w:color="auto"/>
            </w:tcBorders>
            <w:vAlign w:val="center"/>
          </w:tcPr>
          <w:p w14:paraId="47A577D0" w14:textId="77777777" w:rsidR="00145C8E" w:rsidRPr="007038D0" w:rsidRDefault="00145C8E" w:rsidP="00004DBA">
            <w:pPr>
              <w:jc w:val="center"/>
              <w:rPr>
                <w:rFonts w:cs="Arial"/>
                <w:spacing w:val="-3"/>
                <w:szCs w:val="20"/>
              </w:rPr>
            </w:pPr>
            <w:r w:rsidRPr="007038D0">
              <w:rPr>
                <w:rFonts w:cs="Arial"/>
                <w:spacing w:val="-3"/>
                <w:szCs w:val="20"/>
              </w:rPr>
              <w:t>-</w:t>
            </w:r>
          </w:p>
        </w:tc>
        <w:tc>
          <w:tcPr>
            <w:tcW w:w="2336" w:type="dxa"/>
            <w:tcBorders>
              <w:top w:val="single" w:sz="4" w:space="0" w:color="auto"/>
              <w:left w:val="single" w:sz="4" w:space="0" w:color="auto"/>
              <w:bottom w:val="single" w:sz="4" w:space="0" w:color="auto"/>
              <w:right w:val="single" w:sz="4" w:space="0" w:color="auto"/>
            </w:tcBorders>
            <w:vAlign w:val="center"/>
          </w:tcPr>
          <w:p w14:paraId="31F24460" w14:textId="58D59050" w:rsidR="00145C8E" w:rsidRPr="007038D0" w:rsidRDefault="00145C8E" w:rsidP="00004DBA">
            <w:pPr>
              <w:jc w:val="right"/>
              <w:rPr>
                <w:rFonts w:cs="Arial"/>
                <w:spacing w:val="-3"/>
                <w:szCs w:val="20"/>
              </w:rPr>
            </w:pPr>
            <w:r w:rsidRPr="007038D0">
              <w:rPr>
                <w:rFonts w:cs="Arial"/>
                <w:spacing w:val="-3"/>
                <w:szCs w:val="20"/>
              </w:rPr>
              <w:t>$</w:t>
            </w:r>
            <w:r>
              <w:rPr>
                <w:rFonts w:cs="Arial"/>
                <w:spacing w:val="-3"/>
                <w:szCs w:val="20"/>
              </w:rPr>
              <w:t>1,285.</w:t>
            </w:r>
            <w:r w:rsidR="001B4D1C">
              <w:rPr>
                <w:rFonts w:cs="Arial"/>
                <w:spacing w:val="-3"/>
                <w:szCs w:val="20"/>
              </w:rPr>
              <w:t>34</w:t>
            </w:r>
            <w:r w:rsidRPr="007038D0">
              <w:rPr>
                <w:rFonts w:cs="Arial"/>
                <w:spacing w:val="-3"/>
                <w:szCs w:val="20"/>
              </w:rPr>
              <w:t xml:space="preserve"> </w:t>
            </w:r>
            <w:r w:rsidRPr="007038D0">
              <w:rPr>
                <w:rFonts w:cs="Arial"/>
                <w:spacing w:val="-3"/>
                <w:sz w:val="16"/>
                <w:szCs w:val="16"/>
              </w:rPr>
              <w:t>MAC</w:t>
            </w:r>
          </w:p>
        </w:tc>
        <w:tc>
          <w:tcPr>
            <w:tcW w:w="2218" w:type="dxa"/>
            <w:tcBorders>
              <w:top w:val="single" w:sz="4" w:space="0" w:color="auto"/>
              <w:left w:val="single" w:sz="4" w:space="0" w:color="auto"/>
              <w:bottom w:val="single" w:sz="4" w:space="0" w:color="auto"/>
              <w:right w:val="single" w:sz="4" w:space="0" w:color="auto"/>
            </w:tcBorders>
            <w:vAlign w:val="center"/>
          </w:tcPr>
          <w:p w14:paraId="3635DA3D" w14:textId="7FA7701E" w:rsidR="00145C8E" w:rsidRPr="007038D0" w:rsidRDefault="00145C8E" w:rsidP="00004DBA">
            <w:pPr>
              <w:jc w:val="right"/>
              <w:rPr>
                <w:rFonts w:cs="Arial"/>
                <w:spacing w:val="-3"/>
                <w:szCs w:val="20"/>
              </w:rPr>
            </w:pPr>
            <w:r w:rsidRPr="007038D0">
              <w:rPr>
                <w:rFonts w:cs="Arial"/>
                <w:spacing w:val="-3"/>
                <w:szCs w:val="20"/>
              </w:rPr>
              <w:t>$3</w:t>
            </w:r>
            <w:r>
              <w:rPr>
                <w:rFonts w:cs="Arial"/>
                <w:spacing w:val="-3"/>
                <w:szCs w:val="20"/>
              </w:rPr>
              <w:t>8,5</w:t>
            </w:r>
            <w:r w:rsidR="007E676F">
              <w:rPr>
                <w:rFonts w:cs="Arial"/>
                <w:spacing w:val="-3"/>
                <w:szCs w:val="20"/>
              </w:rPr>
              <w:t>60</w:t>
            </w:r>
            <w:r w:rsidRPr="007038D0">
              <w:rPr>
                <w:rFonts w:cs="Arial"/>
                <w:spacing w:val="-3"/>
                <w:szCs w:val="20"/>
              </w:rPr>
              <w:t xml:space="preserve"> </w:t>
            </w:r>
            <w:r w:rsidRPr="007038D0">
              <w:rPr>
                <w:rFonts w:cs="Arial"/>
                <w:spacing w:val="-3"/>
                <w:sz w:val="16"/>
                <w:szCs w:val="16"/>
              </w:rPr>
              <w:t>MAC</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02659E98" w:rsidR="0097028A" w:rsidRPr="0079438F" w:rsidRDefault="0097028A" w:rsidP="00696E3A">
      <w:pPr>
        <w:rPr>
          <w:b/>
        </w:rPr>
      </w:pPr>
      <w:r w:rsidRPr="00696E3A">
        <w:rPr>
          <w:b/>
          <w:bCs/>
        </w:rPr>
        <w:t>Drug class for review:</w:t>
      </w:r>
      <w:r w:rsidRPr="00C02553">
        <w:t xml:space="preserve"> </w:t>
      </w:r>
      <w:proofErr w:type="spellStart"/>
      <w:r w:rsidR="006C637A" w:rsidRPr="00BD3210">
        <w:rPr>
          <w:rFonts w:cs="Arial"/>
          <w:szCs w:val="20"/>
        </w:rPr>
        <w:t>Zokinvy</w:t>
      </w:r>
      <w:proofErr w:type="spellEnd"/>
      <w:r w:rsidR="006C637A">
        <w:rPr>
          <w:rFonts w:cs="Arial"/>
          <w:spacing w:val="-3"/>
          <w:szCs w:val="20"/>
          <w:vertAlign w:val="superscript"/>
        </w:rPr>
        <w:t>®</w:t>
      </w:r>
      <w:r w:rsidR="006C637A" w:rsidRPr="00BD3210">
        <w:rPr>
          <w:rFonts w:cs="Arial"/>
          <w:spacing w:val="-3"/>
          <w:szCs w:val="20"/>
          <w:vertAlign w:val="superscript"/>
        </w:rPr>
        <w:t xml:space="preserve"> </w:t>
      </w:r>
      <w:r w:rsidR="006C637A" w:rsidRPr="00BD3210">
        <w:rPr>
          <w:rFonts w:cs="Arial"/>
          <w:spacing w:val="-3"/>
          <w:szCs w:val="20"/>
        </w:rPr>
        <w:t>(lona</w:t>
      </w:r>
      <w:r w:rsidR="006C637A">
        <w:rPr>
          <w:rFonts w:cs="Arial"/>
          <w:spacing w:val="-3"/>
          <w:szCs w:val="20"/>
        </w:rPr>
        <w:t>farnib)</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Default="005328B2" w:rsidP="005328B2">
      <w:pPr>
        <w:rPr>
          <w:rFonts w:cs="Arial"/>
          <w:szCs w:val="20"/>
        </w:rPr>
      </w:pPr>
    </w:p>
    <w:p w14:paraId="0DADD35E" w14:textId="77777777" w:rsidR="007518DE" w:rsidRDefault="007518DE" w:rsidP="005328B2">
      <w:pPr>
        <w:rPr>
          <w:rFonts w:cs="Arial"/>
          <w:szCs w:val="20"/>
        </w:rPr>
      </w:pPr>
    </w:p>
    <w:p w14:paraId="6C6AA222" w14:textId="77777777" w:rsidR="007518DE" w:rsidRPr="002C2C41" w:rsidRDefault="007518DE"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4BAA1D7A" w14:textId="77777777" w:rsidR="00635DDB" w:rsidRPr="00696E3A" w:rsidRDefault="00635DDB" w:rsidP="00635DDB">
      <w:pPr>
        <w:rPr>
          <w:b/>
          <w:bCs/>
        </w:rPr>
      </w:pPr>
      <w:r w:rsidRPr="00696E3A">
        <w:rPr>
          <w:b/>
          <w:bCs/>
        </w:rPr>
        <w:t>Initial Therapy:</w:t>
      </w:r>
    </w:p>
    <w:p w14:paraId="4CDC2419" w14:textId="77777777" w:rsidR="00D116DE" w:rsidRDefault="00D116DE" w:rsidP="00D116DE">
      <w:pPr>
        <w:pStyle w:val="ListParagraph"/>
        <w:numPr>
          <w:ilvl w:val="0"/>
          <w:numId w:val="16"/>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3461AB20" w14:textId="77777777" w:rsidR="00D116DE" w:rsidRDefault="00D116DE" w:rsidP="00D116DE">
      <w:pPr>
        <w:pStyle w:val="ListParagraph"/>
        <w:numPr>
          <w:ilvl w:val="1"/>
          <w:numId w:val="16"/>
        </w:numPr>
        <w:rPr>
          <w:rFonts w:cs="Arial"/>
          <w:bCs/>
          <w:szCs w:val="20"/>
        </w:rPr>
      </w:pPr>
      <w:r>
        <w:rPr>
          <w:rFonts w:cs="Arial"/>
          <w:bCs/>
          <w:szCs w:val="20"/>
        </w:rPr>
        <w:t xml:space="preserve">Prescribed by or in consultation with a geneticist or other specialist in the treated disease </w:t>
      </w:r>
      <w:proofErr w:type="gramStart"/>
      <w:r>
        <w:rPr>
          <w:rFonts w:cs="Arial"/>
          <w:bCs/>
          <w:szCs w:val="20"/>
        </w:rPr>
        <w:t>state;</w:t>
      </w:r>
      <w:proofErr w:type="gramEnd"/>
    </w:p>
    <w:p w14:paraId="21EEAE83" w14:textId="77777777" w:rsidR="00D116DE" w:rsidRDefault="00D116DE" w:rsidP="00D116DE">
      <w:pPr>
        <w:pStyle w:val="ListParagraph"/>
        <w:numPr>
          <w:ilvl w:val="1"/>
          <w:numId w:val="16"/>
        </w:numPr>
        <w:rPr>
          <w:rFonts w:cs="Arial"/>
          <w:bCs/>
          <w:szCs w:val="20"/>
        </w:rPr>
      </w:pPr>
      <w:r>
        <w:rPr>
          <w:rFonts w:cs="Arial"/>
          <w:bCs/>
          <w:szCs w:val="20"/>
        </w:rPr>
        <w:t xml:space="preserve">Participant has a </w:t>
      </w:r>
      <w:r w:rsidRPr="007B5152">
        <w:rPr>
          <w:rFonts w:cs="Arial"/>
          <w:bCs/>
          <w:szCs w:val="20"/>
        </w:rPr>
        <w:t xml:space="preserve">BSA </w:t>
      </w:r>
      <w:r w:rsidRPr="007B5152">
        <w:rPr>
          <w:rFonts w:eastAsia="Arial" w:cs="Arial"/>
          <w:szCs w:val="20"/>
        </w:rPr>
        <w:t>≥</w:t>
      </w:r>
      <w:r w:rsidRPr="007B5152">
        <w:rPr>
          <w:rFonts w:cs="Arial"/>
          <w:bCs/>
          <w:szCs w:val="20"/>
        </w:rPr>
        <w:t xml:space="preserve"> 0.</w:t>
      </w:r>
      <w:r>
        <w:rPr>
          <w:rFonts w:cs="Arial"/>
          <w:bCs/>
          <w:szCs w:val="20"/>
        </w:rPr>
        <w:t xml:space="preserve">39 </w:t>
      </w:r>
      <w:proofErr w:type="gramStart"/>
      <w:r w:rsidRPr="0064231A">
        <w:rPr>
          <w:rFonts w:cs="Arial"/>
          <w:bCs/>
          <w:szCs w:val="20"/>
        </w:rPr>
        <w:t>m</w:t>
      </w:r>
      <w:r w:rsidRPr="0064231A">
        <w:rPr>
          <w:rFonts w:cs="Arial"/>
          <w:bCs/>
          <w:szCs w:val="20"/>
          <w:vertAlign w:val="superscript"/>
        </w:rPr>
        <w:t>2</w:t>
      </w:r>
      <w:r>
        <w:rPr>
          <w:rFonts w:cs="Arial"/>
          <w:bCs/>
          <w:szCs w:val="20"/>
        </w:rPr>
        <w:t>;</w:t>
      </w:r>
      <w:proofErr w:type="gramEnd"/>
    </w:p>
    <w:p w14:paraId="5CA9A0CB" w14:textId="77777777" w:rsidR="00D116DE" w:rsidRDefault="00D116DE" w:rsidP="00D116DE">
      <w:pPr>
        <w:pStyle w:val="ListParagraph"/>
        <w:numPr>
          <w:ilvl w:val="1"/>
          <w:numId w:val="16"/>
        </w:numPr>
        <w:rPr>
          <w:rFonts w:cs="Arial"/>
          <w:bCs/>
          <w:szCs w:val="20"/>
        </w:rPr>
      </w:pPr>
      <w:r>
        <w:rPr>
          <w:rFonts w:cs="Arial"/>
          <w:bCs/>
          <w:szCs w:val="20"/>
        </w:rPr>
        <w:t>Documented diagnosis of HGPS or processing-deficient PLs with one of the following:</w:t>
      </w:r>
    </w:p>
    <w:p w14:paraId="728A7757" w14:textId="77777777" w:rsidR="00D116DE" w:rsidRDefault="00D116DE" w:rsidP="00D116DE">
      <w:pPr>
        <w:pStyle w:val="ListParagraph"/>
        <w:numPr>
          <w:ilvl w:val="2"/>
          <w:numId w:val="16"/>
        </w:numPr>
        <w:ind w:left="1080"/>
        <w:rPr>
          <w:rFonts w:cs="Arial"/>
          <w:bCs/>
          <w:szCs w:val="20"/>
        </w:rPr>
      </w:pPr>
      <w:r>
        <w:rPr>
          <w:rFonts w:cs="Arial"/>
          <w:bCs/>
          <w:szCs w:val="20"/>
        </w:rPr>
        <w:t xml:space="preserve">Heterozygous </w:t>
      </w:r>
      <w:r w:rsidRPr="007B5152">
        <w:rPr>
          <w:rFonts w:cs="Arial"/>
          <w:bCs/>
          <w:i/>
          <w:szCs w:val="20"/>
        </w:rPr>
        <w:t>LMNA</w:t>
      </w:r>
      <w:r>
        <w:rPr>
          <w:rFonts w:cs="Arial"/>
          <w:bCs/>
          <w:szCs w:val="20"/>
        </w:rPr>
        <w:t xml:space="preserve"> </w:t>
      </w:r>
      <w:bookmarkStart w:id="1" w:name="_Hlk71632834"/>
      <w:r>
        <w:rPr>
          <w:rFonts w:cs="Arial"/>
          <w:bCs/>
          <w:szCs w:val="20"/>
        </w:rPr>
        <w:t xml:space="preserve">pathogenic or likely pathogenic variant </w:t>
      </w:r>
      <w:bookmarkEnd w:id="1"/>
      <w:r>
        <w:rPr>
          <w:rFonts w:cs="Arial"/>
          <w:bCs/>
          <w:szCs w:val="20"/>
        </w:rPr>
        <w:t xml:space="preserve">with </w:t>
      </w:r>
      <w:proofErr w:type="spellStart"/>
      <w:r>
        <w:rPr>
          <w:rFonts w:cs="Arial"/>
          <w:bCs/>
          <w:szCs w:val="20"/>
        </w:rPr>
        <w:t>progerin</w:t>
      </w:r>
      <w:proofErr w:type="spellEnd"/>
      <w:r>
        <w:rPr>
          <w:rFonts w:cs="Arial"/>
          <w:bCs/>
          <w:szCs w:val="20"/>
        </w:rPr>
        <w:t xml:space="preserve">-like protein accumulation; </w:t>
      </w:r>
      <w:r w:rsidRPr="007164D4">
        <w:rPr>
          <w:rFonts w:cs="Arial"/>
          <w:b/>
          <w:szCs w:val="20"/>
        </w:rPr>
        <w:t>OR</w:t>
      </w:r>
    </w:p>
    <w:p w14:paraId="45113E84" w14:textId="77777777" w:rsidR="00D116DE" w:rsidRPr="00AE49A0" w:rsidRDefault="00D116DE" w:rsidP="00D116DE">
      <w:pPr>
        <w:pStyle w:val="ListParagraph"/>
        <w:numPr>
          <w:ilvl w:val="2"/>
          <w:numId w:val="16"/>
        </w:numPr>
        <w:ind w:left="1080"/>
        <w:rPr>
          <w:rFonts w:cs="Arial"/>
          <w:bCs/>
          <w:szCs w:val="20"/>
        </w:rPr>
      </w:pPr>
      <w:r>
        <w:rPr>
          <w:rFonts w:cs="Arial"/>
          <w:bCs/>
          <w:szCs w:val="20"/>
        </w:rPr>
        <w:t xml:space="preserve">Homozygous or compound heterozygous </w:t>
      </w:r>
      <w:r>
        <w:rPr>
          <w:rFonts w:cs="Arial"/>
          <w:bCs/>
          <w:i/>
          <w:szCs w:val="20"/>
        </w:rPr>
        <w:t>Z</w:t>
      </w:r>
      <w:r w:rsidRPr="007B5152">
        <w:rPr>
          <w:rFonts w:cs="Arial"/>
          <w:bCs/>
          <w:i/>
          <w:szCs w:val="20"/>
        </w:rPr>
        <w:t>MPSTE24</w:t>
      </w:r>
      <w:r>
        <w:rPr>
          <w:rFonts w:cs="Arial"/>
          <w:bCs/>
          <w:szCs w:val="20"/>
        </w:rPr>
        <w:t xml:space="preserve"> </w:t>
      </w:r>
      <w:r w:rsidRPr="0078242D">
        <w:rPr>
          <w:rFonts w:cs="Arial"/>
          <w:bCs/>
          <w:szCs w:val="20"/>
        </w:rPr>
        <w:t>pathogenic or likely pathogenic variant</w:t>
      </w:r>
      <w:r>
        <w:rPr>
          <w:rFonts w:cs="Arial"/>
          <w:bCs/>
          <w:szCs w:val="20"/>
        </w:rPr>
        <w:t xml:space="preserve">s; </w:t>
      </w:r>
      <w:r w:rsidRPr="00AE49A0">
        <w:rPr>
          <w:rFonts w:cs="Arial"/>
          <w:b/>
          <w:szCs w:val="20"/>
        </w:rPr>
        <w:t>AND</w:t>
      </w:r>
    </w:p>
    <w:p w14:paraId="419815CF" w14:textId="77777777" w:rsidR="00D116DE" w:rsidRPr="00D116DE" w:rsidRDefault="00D116DE" w:rsidP="00D116DE">
      <w:pPr>
        <w:pStyle w:val="ListParagraph"/>
        <w:numPr>
          <w:ilvl w:val="1"/>
          <w:numId w:val="16"/>
        </w:numPr>
        <w:rPr>
          <w:rFonts w:cs="Arial"/>
          <w:bCs/>
          <w:szCs w:val="20"/>
        </w:rPr>
      </w:pPr>
      <w:r w:rsidRPr="00D116DE">
        <w:rPr>
          <w:rFonts w:cs="Arial"/>
          <w:bCs/>
          <w:szCs w:val="20"/>
        </w:rPr>
        <w:t>Participant has a baseline electrocardiogram (ECG) with QTc interval less than 500 msec.</w:t>
      </w:r>
    </w:p>
    <w:p w14:paraId="02898776" w14:textId="77777777" w:rsidR="00D116DE" w:rsidRPr="0064231A" w:rsidRDefault="00D116DE" w:rsidP="00D116DE">
      <w:pPr>
        <w:pStyle w:val="ListParagraph"/>
        <w:numPr>
          <w:ilvl w:val="0"/>
          <w:numId w:val="16"/>
        </w:numPr>
        <w:rPr>
          <w:rFonts w:cs="Arial"/>
          <w:bCs/>
          <w:szCs w:val="20"/>
        </w:rPr>
      </w:pPr>
      <w:r>
        <w:rPr>
          <w:rFonts w:cs="Arial"/>
          <w:bCs/>
          <w:szCs w:val="20"/>
        </w:rPr>
        <w:t>Initial approval period: 1 year</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6F1CF192" w14:textId="77777777" w:rsidR="00A840B8" w:rsidRDefault="00A840B8" w:rsidP="00A840B8">
      <w:pPr>
        <w:pStyle w:val="ListParagraph"/>
        <w:numPr>
          <w:ilvl w:val="0"/>
          <w:numId w:val="17"/>
        </w:numPr>
        <w:rPr>
          <w:rFonts w:cs="Arial"/>
          <w:noProof/>
          <w:szCs w:val="20"/>
        </w:rPr>
      </w:pPr>
      <w:bookmarkStart w:id="2" w:name="_Hlk47597237"/>
      <w:r>
        <w:rPr>
          <w:rFonts w:cs="Arial"/>
          <w:noProof/>
          <w:szCs w:val="20"/>
        </w:rPr>
        <w:t>Therapy will deny with presence of one of the following:</w:t>
      </w:r>
    </w:p>
    <w:p w14:paraId="446C67F3" w14:textId="77777777" w:rsidR="00A840B8" w:rsidRDefault="00A840B8" w:rsidP="00A840B8">
      <w:pPr>
        <w:pStyle w:val="ListParagraph"/>
        <w:numPr>
          <w:ilvl w:val="1"/>
          <w:numId w:val="17"/>
        </w:numPr>
        <w:ind w:left="720"/>
        <w:rPr>
          <w:rFonts w:cs="Arial"/>
          <w:noProof/>
          <w:szCs w:val="20"/>
        </w:rPr>
      </w:pPr>
      <w:r>
        <w:rPr>
          <w:rFonts w:cs="Arial"/>
          <w:noProof/>
          <w:szCs w:val="20"/>
        </w:rPr>
        <w:t>If any approval criteria are not met</w:t>
      </w:r>
    </w:p>
    <w:p w14:paraId="0DDC9D23" w14:textId="77777777" w:rsidR="00A840B8" w:rsidRDefault="00A840B8" w:rsidP="00A840B8">
      <w:pPr>
        <w:pStyle w:val="ListParagraph"/>
        <w:numPr>
          <w:ilvl w:val="1"/>
          <w:numId w:val="17"/>
        </w:numPr>
        <w:ind w:left="720"/>
        <w:rPr>
          <w:rFonts w:cs="Arial"/>
          <w:noProof/>
          <w:szCs w:val="20"/>
        </w:rPr>
      </w:pPr>
      <w:r>
        <w:rPr>
          <w:rFonts w:cs="Arial"/>
          <w:noProof/>
          <w:szCs w:val="20"/>
        </w:rPr>
        <w:t xml:space="preserve">Concurrent therapy with midazolam, lovastatin, simvastatin, or atorvastatin in the past 45 days; </w:t>
      </w:r>
      <w:r w:rsidRPr="000A683B">
        <w:rPr>
          <w:rFonts w:cs="Arial"/>
          <w:b/>
          <w:bCs/>
          <w:noProof/>
          <w:szCs w:val="20"/>
        </w:rPr>
        <w:t>OR</w:t>
      </w:r>
    </w:p>
    <w:p w14:paraId="6385029B" w14:textId="77777777" w:rsidR="00A840B8" w:rsidRPr="000F5900" w:rsidRDefault="00A840B8" w:rsidP="00A840B8">
      <w:pPr>
        <w:pStyle w:val="ListParagraph"/>
        <w:numPr>
          <w:ilvl w:val="1"/>
          <w:numId w:val="17"/>
        </w:numPr>
        <w:ind w:left="720"/>
        <w:rPr>
          <w:rFonts w:cs="Arial"/>
          <w:bCs/>
          <w:szCs w:val="20"/>
        </w:rPr>
      </w:pPr>
      <w:r>
        <w:rPr>
          <w:rFonts w:cs="Arial"/>
          <w:bCs/>
          <w:szCs w:val="20"/>
        </w:rPr>
        <w:t>Participant is currently pregnant.</w:t>
      </w:r>
    </w:p>
    <w:bookmarkEnd w:id="2"/>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3"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3"/>
    <w:p w14:paraId="6413C0CF" w14:textId="530C1EC9" w:rsidR="00AE77DB" w:rsidRPr="00C02553" w:rsidRDefault="00AE77DB" w:rsidP="00343D6B">
      <w:pPr>
        <w:pStyle w:val="Heading1"/>
        <w:rPr>
          <w:lang w:val="en-US"/>
        </w:rPr>
      </w:pPr>
      <w:r w:rsidRPr="00C02553">
        <w:rPr>
          <w:lang w:val="en-US"/>
        </w:rPr>
        <w:t>References</w:t>
      </w:r>
    </w:p>
    <w:p w14:paraId="66D753E5" w14:textId="77777777" w:rsidR="00B175AC" w:rsidRPr="00633C6E" w:rsidRDefault="00B175AC" w:rsidP="00B175AC">
      <w:pPr>
        <w:numPr>
          <w:ilvl w:val="0"/>
          <w:numId w:val="18"/>
        </w:numPr>
        <w:contextualSpacing/>
        <w:rPr>
          <w:rFonts w:eastAsia="Calibri" w:cs="Arial"/>
          <w:sz w:val="18"/>
          <w:szCs w:val="18"/>
        </w:rPr>
      </w:pPr>
      <w:r w:rsidRPr="00633C6E">
        <w:rPr>
          <w:rFonts w:eastAsia="Calibri" w:cs="Arial"/>
          <w:sz w:val="18"/>
          <w:szCs w:val="18"/>
        </w:rPr>
        <w:t xml:space="preserve">ZOKINVY (lonafarnib) [package insert]. Palo Alto, CA: Eiger </w:t>
      </w:r>
      <w:proofErr w:type="spellStart"/>
      <w:r w:rsidRPr="00633C6E">
        <w:rPr>
          <w:rFonts w:eastAsia="Calibri" w:cs="Arial"/>
          <w:sz w:val="18"/>
          <w:szCs w:val="18"/>
        </w:rPr>
        <w:t>BioPharmaceuticals</w:t>
      </w:r>
      <w:proofErr w:type="spellEnd"/>
      <w:r w:rsidRPr="00633C6E">
        <w:rPr>
          <w:rFonts w:eastAsia="Calibri" w:cs="Arial"/>
          <w:sz w:val="18"/>
          <w:szCs w:val="18"/>
        </w:rPr>
        <w:t xml:space="preserve">, Inc.; </w:t>
      </w:r>
      <w:r>
        <w:rPr>
          <w:rFonts w:eastAsia="Calibri" w:cs="Arial"/>
          <w:sz w:val="18"/>
          <w:szCs w:val="18"/>
        </w:rPr>
        <w:t>April 2024.</w:t>
      </w:r>
    </w:p>
    <w:p w14:paraId="6DBA6C7A" w14:textId="77777777" w:rsidR="00B175AC" w:rsidRPr="00633C6E" w:rsidRDefault="00B175AC" w:rsidP="00B175AC">
      <w:pPr>
        <w:numPr>
          <w:ilvl w:val="0"/>
          <w:numId w:val="18"/>
        </w:numPr>
        <w:contextualSpacing/>
        <w:rPr>
          <w:rFonts w:eastAsia="Calibri" w:cs="Arial"/>
          <w:sz w:val="18"/>
          <w:szCs w:val="18"/>
        </w:rPr>
      </w:pPr>
      <w:r w:rsidRPr="00633C6E">
        <w:rPr>
          <w:rFonts w:eastAsia="Calibri" w:cs="Arial"/>
          <w:sz w:val="18"/>
          <w:szCs w:val="18"/>
        </w:rPr>
        <w:t xml:space="preserve">NIH: U.S. National Library of Medicine. Phase II Trial of Lonafarnib (a Farnesyltransferase Inhibitor) for Progeria. </w:t>
      </w:r>
      <w:hyperlink r:id="rId11" w:history="1">
        <w:r w:rsidRPr="00633C6E">
          <w:rPr>
            <w:rStyle w:val="Hyperlink"/>
            <w:rFonts w:eastAsia="Calibri" w:cs="Arial"/>
            <w:sz w:val="18"/>
            <w:szCs w:val="18"/>
          </w:rPr>
          <w:t>https://clinicaltrials.gov/ct2/show/NCT00425607?term=NCT00425607&amp;draw=2&amp;rank=1</w:t>
        </w:r>
      </w:hyperlink>
      <w:r w:rsidRPr="00633C6E">
        <w:rPr>
          <w:rFonts w:eastAsia="Calibri" w:cs="Arial"/>
          <w:sz w:val="18"/>
          <w:szCs w:val="18"/>
        </w:rPr>
        <w:t>. Accessed January 24, 2023.</w:t>
      </w:r>
    </w:p>
    <w:p w14:paraId="23E080EE" w14:textId="7730E5D1" w:rsidR="00B175AC" w:rsidRPr="00633C6E" w:rsidRDefault="00B175AC" w:rsidP="00B175AC">
      <w:pPr>
        <w:numPr>
          <w:ilvl w:val="0"/>
          <w:numId w:val="18"/>
        </w:numPr>
        <w:contextualSpacing/>
        <w:rPr>
          <w:rFonts w:eastAsia="Calibri" w:cs="Arial"/>
          <w:sz w:val="18"/>
          <w:szCs w:val="18"/>
        </w:rPr>
      </w:pPr>
      <w:r w:rsidRPr="00633C6E">
        <w:rPr>
          <w:rFonts w:eastAsia="Calibri" w:cs="Arial"/>
          <w:sz w:val="18"/>
          <w:szCs w:val="18"/>
        </w:rPr>
        <w:t xml:space="preserve">National Organization for Rare Disorders (NORD): Hutchinson-Gilford Progeria. </w:t>
      </w:r>
      <w:hyperlink r:id="rId12" w:history="1">
        <w:r w:rsidRPr="00633C6E">
          <w:rPr>
            <w:rStyle w:val="Hyperlink"/>
            <w:rFonts w:eastAsia="Calibri" w:cs="Arial"/>
            <w:sz w:val="18"/>
            <w:szCs w:val="18"/>
          </w:rPr>
          <w:t>https://rarediseases.org/rare-diseases/hutchinson-gilford-progeria/</w:t>
        </w:r>
      </w:hyperlink>
      <w:r w:rsidRPr="00633C6E">
        <w:rPr>
          <w:rFonts w:eastAsia="Calibri" w:cs="Arial"/>
          <w:sz w:val="18"/>
          <w:szCs w:val="18"/>
        </w:rPr>
        <w:t xml:space="preserve">. </w:t>
      </w:r>
      <w:r>
        <w:rPr>
          <w:rFonts w:eastAsia="Calibri" w:cs="Arial"/>
          <w:sz w:val="18"/>
          <w:szCs w:val="18"/>
        </w:rPr>
        <w:t xml:space="preserve">Updated January 4, 2021. </w:t>
      </w:r>
      <w:r w:rsidRPr="00633C6E">
        <w:rPr>
          <w:rFonts w:eastAsia="Calibri" w:cs="Arial"/>
          <w:sz w:val="18"/>
          <w:szCs w:val="18"/>
        </w:rPr>
        <w:t xml:space="preserve">Accessed </w:t>
      </w:r>
      <w:r w:rsidR="00AC3A9E">
        <w:rPr>
          <w:rFonts w:eastAsia="Calibri" w:cs="Arial"/>
          <w:sz w:val="18"/>
          <w:szCs w:val="18"/>
        </w:rPr>
        <w:t>March</w:t>
      </w:r>
      <w:r>
        <w:rPr>
          <w:rFonts w:eastAsia="Calibri" w:cs="Arial"/>
          <w:sz w:val="18"/>
          <w:szCs w:val="18"/>
        </w:rPr>
        <w:t xml:space="preserve"> </w:t>
      </w:r>
      <w:r w:rsidR="00AC3A9E">
        <w:rPr>
          <w:rFonts w:eastAsia="Calibri" w:cs="Arial"/>
          <w:sz w:val="18"/>
          <w:szCs w:val="18"/>
        </w:rPr>
        <w:t>3</w:t>
      </w:r>
      <w:r>
        <w:rPr>
          <w:rFonts w:eastAsia="Calibri" w:cs="Arial"/>
          <w:sz w:val="18"/>
          <w:szCs w:val="18"/>
        </w:rPr>
        <w:t>, 202</w:t>
      </w:r>
      <w:r w:rsidR="00AC3A9E">
        <w:rPr>
          <w:rFonts w:eastAsia="Calibri" w:cs="Arial"/>
          <w:sz w:val="18"/>
          <w:szCs w:val="18"/>
        </w:rPr>
        <w:t>6</w:t>
      </w:r>
      <w:r>
        <w:rPr>
          <w:rFonts w:eastAsia="Calibri" w:cs="Arial"/>
          <w:sz w:val="18"/>
          <w:szCs w:val="18"/>
        </w:rPr>
        <w:t>.</w:t>
      </w:r>
      <w:r w:rsidRPr="00633C6E">
        <w:rPr>
          <w:rFonts w:eastAsia="Calibri" w:cs="Arial"/>
          <w:sz w:val="18"/>
          <w:szCs w:val="18"/>
        </w:rPr>
        <w:t xml:space="preserve"> </w:t>
      </w:r>
    </w:p>
    <w:p w14:paraId="76BEE0A2" w14:textId="29ED77AA" w:rsidR="00B175AC" w:rsidRPr="00633C6E" w:rsidRDefault="00B175AC" w:rsidP="00B175AC">
      <w:pPr>
        <w:numPr>
          <w:ilvl w:val="0"/>
          <w:numId w:val="18"/>
        </w:numPr>
        <w:contextualSpacing/>
        <w:rPr>
          <w:rFonts w:eastAsia="Calibri" w:cs="Arial"/>
          <w:sz w:val="18"/>
          <w:szCs w:val="18"/>
        </w:rPr>
      </w:pPr>
      <w:r w:rsidRPr="00633C6E">
        <w:rPr>
          <w:rFonts w:eastAsia="Calibri" w:cs="Arial"/>
          <w:sz w:val="18"/>
          <w:szCs w:val="18"/>
        </w:rPr>
        <w:t xml:space="preserve">Gordon, L.B, Shappell, H., Massaro, J., et.al. Association of Lonafarnib Treatment vs No Treatment with Mortality Rate in Patients with Hutchinson-Gilford Progeria Syndrome. JAMA. 2018 April 24; 319(16):1687-1695. </w:t>
      </w:r>
    </w:p>
    <w:p w14:paraId="13BC8D35" w14:textId="77777777" w:rsidR="00B175AC" w:rsidRPr="00633C6E" w:rsidRDefault="00B175AC" w:rsidP="00B175AC">
      <w:pPr>
        <w:numPr>
          <w:ilvl w:val="0"/>
          <w:numId w:val="18"/>
        </w:numPr>
        <w:contextualSpacing/>
        <w:rPr>
          <w:rFonts w:eastAsia="Calibri" w:cs="Arial"/>
          <w:sz w:val="18"/>
          <w:szCs w:val="18"/>
        </w:rPr>
      </w:pPr>
      <w:r w:rsidRPr="00633C6E">
        <w:rPr>
          <w:rFonts w:eastAsia="Calibri" w:cs="Arial"/>
          <w:sz w:val="18"/>
          <w:szCs w:val="18"/>
        </w:rPr>
        <w:t xml:space="preserve">U.S. Food &amp; Drug Administration (FDA): News Release: FDA Approved First Treatment for Hutchinson-Gilford Progeria Syndrome and Some Progeroid Laminopathies. </w:t>
      </w:r>
      <w:hyperlink r:id="rId13" w:history="1">
        <w:r w:rsidRPr="00633C6E">
          <w:rPr>
            <w:rStyle w:val="Hyperlink"/>
            <w:rFonts w:eastAsia="Calibri" w:cs="Arial"/>
            <w:sz w:val="18"/>
            <w:szCs w:val="18"/>
          </w:rPr>
          <w:t>https://www.fda.gov/news-events/press-announcements/fda-approves-first-treatment-hutchinson-gilford-progeria-syndrome-and-some-progeroid-laminopathies</w:t>
        </w:r>
      </w:hyperlink>
      <w:r w:rsidRPr="00633C6E">
        <w:rPr>
          <w:rFonts w:eastAsia="Calibri" w:cs="Arial"/>
          <w:sz w:val="18"/>
          <w:szCs w:val="18"/>
        </w:rPr>
        <w:t xml:space="preserve">. Accessed </w:t>
      </w:r>
      <w:r>
        <w:rPr>
          <w:rFonts w:eastAsia="Calibri" w:cs="Arial"/>
          <w:sz w:val="18"/>
          <w:szCs w:val="18"/>
        </w:rPr>
        <w:t>February 21, 2024.</w:t>
      </w:r>
      <w:r w:rsidRPr="00633C6E">
        <w:rPr>
          <w:rFonts w:eastAsia="Calibri" w:cs="Arial"/>
          <w:sz w:val="18"/>
          <w:szCs w:val="18"/>
        </w:rPr>
        <w:t xml:space="preserve"> </w:t>
      </w:r>
    </w:p>
    <w:p w14:paraId="4381E286" w14:textId="77777777" w:rsidR="00B175AC" w:rsidRPr="00633C6E" w:rsidRDefault="00B175AC" w:rsidP="00B175AC">
      <w:pPr>
        <w:numPr>
          <w:ilvl w:val="0"/>
          <w:numId w:val="18"/>
        </w:numPr>
        <w:contextualSpacing/>
        <w:rPr>
          <w:rFonts w:eastAsia="Calibri" w:cs="Arial"/>
          <w:sz w:val="18"/>
          <w:szCs w:val="18"/>
        </w:rPr>
      </w:pPr>
      <w:r w:rsidRPr="00633C6E">
        <w:rPr>
          <w:rFonts w:eastAsia="Calibri" w:cs="Arial"/>
          <w:sz w:val="18"/>
          <w:szCs w:val="18"/>
        </w:rPr>
        <w:t xml:space="preserve">IPD Analytics: New Drug Review: </w:t>
      </w:r>
      <w:proofErr w:type="spellStart"/>
      <w:r w:rsidRPr="00633C6E">
        <w:rPr>
          <w:rFonts w:eastAsia="Calibri" w:cs="Arial"/>
          <w:sz w:val="18"/>
          <w:szCs w:val="18"/>
        </w:rPr>
        <w:t>Zokinvy</w:t>
      </w:r>
      <w:proofErr w:type="spellEnd"/>
      <w:r w:rsidRPr="00633C6E">
        <w:rPr>
          <w:rFonts w:eastAsia="Calibri" w:cs="Arial"/>
          <w:sz w:val="18"/>
          <w:szCs w:val="18"/>
        </w:rPr>
        <w:t xml:space="preserve"> (lonafarnib). November 2020.</w:t>
      </w:r>
    </w:p>
    <w:p w14:paraId="68DC1854" w14:textId="77777777" w:rsidR="00B175AC" w:rsidRPr="00633C6E" w:rsidRDefault="00B175AC" w:rsidP="00B175AC">
      <w:pPr>
        <w:numPr>
          <w:ilvl w:val="0"/>
          <w:numId w:val="18"/>
        </w:numPr>
        <w:contextualSpacing/>
        <w:rPr>
          <w:rFonts w:eastAsia="Calibri" w:cs="Arial"/>
          <w:sz w:val="18"/>
          <w:szCs w:val="18"/>
        </w:rPr>
      </w:pPr>
      <w:r w:rsidRPr="00633C6E">
        <w:rPr>
          <w:rFonts w:eastAsia="Calibri" w:cs="Arial"/>
          <w:sz w:val="18"/>
          <w:szCs w:val="18"/>
        </w:rPr>
        <w:t>Progeria Research Foundation. PRF by the numbers. Published December 31, 202</w:t>
      </w:r>
      <w:r>
        <w:rPr>
          <w:rFonts w:eastAsia="Calibri" w:cs="Arial"/>
          <w:sz w:val="18"/>
          <w:szCs w:val="18"/>
        </w:rPr>
        <w:t>4</w:t>
      </w:r>
      <w:r w:rsidRPr="00633C6E">
        <w:rPr>
          <w:rFonts w:eastAsia="Calibri" w:cs="Arial"/>
          <w:sz w:val="18"/>
          <w:szCs w:val="18"/>
        </w:rPr>
        <w:t xml:space="preserve">. </w:t>
      </w:r>
      <w:hyperlink r:id="rId14" w:history="1">
        <w:r w:rsidRPr="006B6C86">
          <w:rPr>
            <w:rStyle w:val="Hyperlink"/>
            <w:rFonts w:cs="Arial"/>
            <w:sz w:val="18"/>
            <w:szCs w:val="18"/>
          </w:rPr>
          <w:t>PowerPoint Presentation</w:t>
        </w:r>
      </w:hyperlink>
    </w:p>
    <w:p w14:paraId="3FA1E7DB" w14:textId="1A23B4AF" w:rsidR="00777CA4" w:rsidRDefault="00777CA4" w:rsidP="00B175AC">
      <w:pPr>
        <w:pStyle w:val="ListParagraph"/>
        <w:numPr>
          <w:ilvl w:val="0"/>
          <w:numId w:val="0"/>
        </w:numPr>
        <w:ind w:left="360"/>
      </w:pPr>
    </w:p>
    <w:sectPr w:rsidR="00777CA4" w:rsidSect="00AB0B9F">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BB65" w14:textId="77777777" w:rsidR="002214A2" w:rsidRPr="00C02553" w:rsidRDefault="002214A2" w:rsidP="00AE77DB">
      <w:r w:rsidRPr="00C02553">
        <w:separator/>
      </w:r>
    </w:p>
  </w:endnote>
  <w:endnote w:type="continuationSeparator" w:id="0">
    <w:p w14:paraId="21FBF3C4" w14:textId="77777777" w:rsidR="002214A2" w:rsidRPr="00C02553" w:rsidRDefault="002214A2" w:rsidP="00AE77DB">
      <w:r w:rsidRPr="00C02553">
        <w:continuationSeparator/>
      </w:r>
    </w:p>
  </w:endnote>
  <w:endnote w:type="continuationNotice" w:id="1">
    <w:p w14:paraId="39033AFA" w14:textId="77777777" w:rsidR="002214A2" w:rsidRPr="00C02553" w:rsidRDefault="00221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44BE" w14:textId="77777777" w:rsidR="002214A2" w:rsidRPr="00C02553" w:rsidRDefault="002214A2" w:rsidP="00AE77DB">
      <w:r w:rsidRPr="00C02553">
        <w:separator/>
      </w:r>
    </w:p>
  </w:footnote>
  <w:footnote w:type="continuationSeparator" w:id="0">
    <w:p w14:paraId="50177400" w14:textId="77777777" w:rsidR="002214A2" w:rsidRPr="00C02553" w:rsidRDefault="002214A2" w:rsidP="00AE77DB">
      <w:r w:rsidRPr="00C02553">
        <w:continuationSeparator/>
      </w:r>
    </w:p>
  </w:footnote>
  <w:footnote w:type="continuationNotice" w:id="1">
    <w:p w14:paraId="147B2588" w14:textId="77777777" w:rsidR="002214A2" w:rsidRPr="00C02553" w:rsidRDefault="00221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7F650F">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7F650F">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7F650F">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46226"/>
    <w:multiLevelType w:val="hybridMultilevel"/>
    <w:tmpl w:val="2C6EE6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707CCB"/>
    <w:multiLevelType w:val="hybridMultilevel"/>
    <w:tmpl w:val="9CD28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2"/>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3"/>
  </w:num>
  <w:num w:numId="15" w16cid:durableId="1911186802">
    <w:abstractNumId w:val="6"/>
  </w:num>
  <w:num w:numId="16" w16cid:durableId="241375184">
    <w:abstractNumId w:val="10"/>
  </w:num>
  <w:num w:numId="17" w16cid:durableId="155003100">
    <w:abstractNumId w:val="16"/>
  </w:num>
  <w:num w:numId="18" w16cid:durableId="89031274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cumentProtection w:edit="readOnly" w:formatting="1" w:enforcement="1" w:cryptProviderType="rsaAES" w:cryptAlgorithmClass="hash" w:cryptAlgorithmType="typeAny" w:cryptAlgorithmSid="14" w:cryptSpinCount="100000" w:hash="ufkE9m9bg1xOWHmjylfwib0VK6Q88lEXbF1yjVO+hk+eYfrKI+QKF1FzIvQ9R4t4kIR8ISMNiz8x298LTSl/cQ==" w:salt="XgsmQasmxY6O0AHuKWLG0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5CF7"/>
    <w:rsid w:val="00017CBA"/>
    <w:rsid w:val="000276D9"/>
    <w:rsid w:val="000344C5"/>
    <w:rsid w:val="00040AD3"/>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10509A"/>
    <w:rsid w:val="001062F6"/>
    <w:rsid w:val="00112FC7"/>
    <w:rsid w:val="00125F5F"/>
    <w:rsid w:val="00126951"/>
    <w:rsid w:val="00126B60"/>
    <w:rsid w:val="00127EF6"/>
    <w:rsid w:val="001310AD"/>
    <w:rsid w:val="001314A5"/>
    <w:rsid w:val="00132C7F"/>
    <w:rsid w:val="00143A11"/>
    <w:rsid w:val="00144DBE"/>
    <w:rsid w:val="00145C8E"/>
    <w:rsid w:val="00152C8B"/>
    <w:rsid w:val="0015636A"/>
    <w:rsid w:val="00172053"/>
    <w:rsid w:val="00177A80"/>
    <w:rsid w:val="001808B8"/>
    <w:rsid w:val="001A50CB"/>
    <w:rsid w:val="001A74B7"/>
    <w:rsid w:val="001B2D47"/>
    <w:rsid w:val="001B4D1C"/>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14A2"/>
    <w:rsid w:val="00222134"/>
    <w:rsid w:val="0022233F"/>
    <w:rsid w:val="00226275"/>
    <w:rsid w:val="00246564"/>
    <w:rsid w:val="00246A3B"/>
    <w:rsid w:val="00250FBF"/>
    <w:rsid w:val="00255404"/>
    <w:rsid w:val="0025594F"/>
    <w:rsid w:val="00270C5E"/>
    <w:rsid w:val="00287581"/>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878C1"/>
    <w:rsid w:val="00394573"/>
    <w:rsid w:val="00396C0B"/>
    <w:rsid w:val="003A630F"/>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46A0C"/>
    <w:rsid w:val="00446BBC"/>
    <w:rsid w:val="004472C0"/>
    <w:rsid w:val="00450705"/>
    <w:rsid w:val="00451928"/>
    <w:rsid w:val="00460B5D"/>
    <w:rsid w:val="0046618B"/>
    <w:rsid w:val="0048608C"/>
    <w:rsid w:val="00496E57"/>
    <w:rsid w:val="004B3E10"/>
    <w:rsid w:val="004C0F5D"/>
    <w:rsid w:val="004C375A"/>
    <w:rsid w:val="004C4954"/>
    <w:rsid w:val="004C5767"/>
    <w:rsid w:val="004D0080"/>
    <w:rsid w:val="004D5322"/>
    <w:rsid w:val="004D78B0"/>
    <w:rsid w:val="004E52F4"/>
    <w:rsid w:val="004E611F"/>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1E4A"/>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C637A"/>
    <w:rsid w:val="006D2330"/>
    <w:rsid w:val="006E0F8B"/>
    <w:rsid w:val="006E12F7"/>
    <w:rsid w:val="006E29D7"/>
    <w:rsid w:val="006F18AD"/>
    <w:rsid w:val="007068A4"/>
    <w:rsid w:val="00706D67"/>
    <w:rsid w:val="00713052"/>
    <w:rsid w:val="00721367"/>
    <w:rsid w:val="007231FA"/>
    <w:rsid w:val="00732C67"/>
    <w:rsid w:val="00734418"/>
    <w:rsid w:val="007518DE"/>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76F"/>
    <w:rsid w:val="007E6A37"/>
    <w:rsid w:val="007F1774"/>
    <w:rsid w:val="007F593C"/>
    <w:rsid w:val="007F650F"/>
    <w:rsid w:val="00811A70"/>
    <w:rsid w:val="0081376C"/>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31D3"/>
    <w:rsid w:val="00896264"/>
    <w:rsid w:val="008A2549"/>
    <w:rsid w:val="008A5D88"/>
    <w:rsid w:val="008B2851"/>
    <w:rsid w:val="008C000E"/>
    <w:rsid w:val="008D0F2F"/>
    <w:rsid w:val="008D237F"/>
    <w:rsid w:val="008D3FD8"/>
    <w:rsid w:val="008D6B05"/>
    <w:rsid w:val="008E7D2D"/>
    <w:rsid w:val="008F44C0"/>
    <w:rsid w:val="008F5999"/>
    <w:rsid w:val="00903AD6"/>
    <w:rsid w:val="00904D7A"/>
    <w:rsid w:val="00915332"/>
    <w:rsid w:val="009204BB"/>
    <w:rsid w:val="00935918"/>
    <w:rsid w:val="00935EC3"/>
    <w:rsid w:val="00951097"/>
    <w:rsid w:val="00953C1E"/>
    <w:rsid w:val="009575DF"/>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6AB"/>
    <w:rsid w:val="00A32BBF"/>
    <w:rsid w:val="00A37444"/>
    <w:rsid w:val="00A4281A"/>
    <w:rsid w:val="00A459CF"/>
    <w:rsid w:val="00A5014D"/>
    <w:rsid w:val="00A53E96"/>
    <w:rsid w:val="00A56F18"/>
    <w:rsid w:val="00A628F8"/>
    <w:rsid w:val="00A62BAA"/>
    <w:rsid w:val="00A66172"/>
    <w:rsid w:val="00A744C3"/>
    <w:rsid w:val="00A840B8"/>
    <w:rsid w:val="00AA70AB"/>
    <w:rsid w:val="00AB0B9F"/>
    <w:rsid w:val="00AB1713"/>
    <w:rsid w:val="00AB63BE"/>
    <w:rsid w:val="00AC1EBC"/>
    <w:rsid w:val="00AC2599"/>
    <w:rsid w:val="00AC2DE9"/>
    <w:rsid w:val="00AC3A9E"/>
    <w:rsid w:val="00AC3CD9"/>
    <w:rsid w:val="00AD2C5F"/>
    <w:rsid w:val="00AE1481"/>
    <w:rsid w:val="00AE27F9"/>
    <w:rsid w:val="00AE77DB"/>
    <w:rsid w:val="00AE78C7"/>
    <w:rsid w:val="00AF7453"/>
    <w:rsid w:val="00B00EDC"/>
    <w:rsid w:val="00B00FFF"/>
    <w:rsid w:val="00B06084"/>
    <w:rsid w:val="00B16735"/>
    <w:rsid w:val="00B175AC"/>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1482"/>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4EEF"/>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6708F"/>
    <w:rsid w:val="00C763BD"/>
    <w:rsid w:val="00C779A8"/>
    <w:rsid w:val="00C82E19"/>
    <w:rsid w:val="00C96873"/>
    <w:rsid w:val="00CA1735"/>
    <w:rsid w:val="00CA207E"/>
    <w:rsid w:val="00CA3C4B"/>
    <w:rsid w:val="00CA7252"/>
    <w:rsid w:val="00CB2C5A"/>
    <w:rsid w:val="00CC3802"/>
    <w:rsid w:val="00CD0C54"/>
    <w:rsid w:val="00CE0C1C"/>
    <w:rsid w:val="00CE34AF"/>
    <w:rsid w:val="00CF00A4"/>
    <w:rsid w:val="00CF25FB"/>
    <w:rsid w:val="00CF614C"/>
    <w:rsid w:val="00D0250E"/>
    <w:rsid w:val="00D02F34"/>
    <w:rsid w:val="00D06B75"/>
    <w:rsid w:val="00D116DE"/>
    <w:rsid w:val="00D13D87"/>
    <w:rsid w:val="00D16590"/>
    <w:rsid w:val="00D20720"/>
    <w:rsid w:val="00D232D9"/>
    <w:rsid w:val="00D250D9"/>
    <w:rsid w:val="00D27533"/>
    <w:rsid w:val="00D42DA3"/>
    <w:rsid w:val="00D4546D"/>
    <w:rsid w:val="00D47996"/>
    <w:rsid w:val="00D61118"/>
    <w:rsid w:val="00D614F1"/>
    <w:rsid w:val="00D70D50"/>
    <w:rsid w:val="00D71917"/>
    <w:rsid w:val="00D85D2B"/>
    <w:rsid w:val="00D86C71"/>
    <w:rsid w:val="00D95E68"/>
    <w:rsid w:val="00DA16E5"/>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2001"/>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0709"/>
    <w:rsid w:val="00ED760F"/>
    <w:rsid w:val="00ED7B42"/>
    <w:rsid w:val="00EE3EA5"/>
    <w:rsid w:val="00EE613F"/>
    <w:rsid w:val="00EE6BD1"/>
    <w:rsid w:val="00EF0262"/>
    <w:rsid w:val="00EF0828"/>
    <w:rsid w:val="00EF6F8B"/>
    <w:rsid w:val="00F03898"/>
    <w:rsid w:val="00F1527A"/>
    <w:rsid w:val="00F17B7F"/>
    <w:rsid w:val="00F21429"/>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145C8E"/>
    <w:rPr>
      <w:sz w:val="16"/>
      <w:szCs w:val="16"/>
    </w:rPr>
  </w:style>
  <w:style w:type="paragraph" w:styleId="CommentSubject">
    <w:name w:val="annotation subject"/>
    <w:basedOn w:val="CommentText"/>
    <w:next w:val="CommentText"/>
    <w:link w:val="CommentSubjectChar"/>
    <w:uiPriority w:val="99"/>
    <w:semiHidden/>
    <w:unhideWhenUsed/>
    <w:rsid w:val="00145C8E"/>
    <w:rPr>
      <w:b/>
      <w:bCs/>
    </w:rPr>
  </w:style>
  <w:style w:type="character" w:customStyle="1" w:styleId="CommentTextChar">
    <w:name w:val="Comment Text Char"/>
    <w:basedOn w:val="DefaultParagraphFont"/>
    <w:link w:val="CommentText"/>
    <w:semiHidden/>
    <w:rsid w:val="00145C8E"/>
    <w:rPr>
      <w:rFonts w:ascii="Arial" w:hAnsi="Arial"/>
    </w:rPr>
  </w:style>
  <w:style w:type="character" w:customStyle="1" w:styleId="CommentSubjectChar">
    <w:name w:val="Comment Subject Char"/>
    <w:basedOn w:val="CommentTextChar"/>
    <w:link w:val="CommentSubject"/>
    <w:uiPriority w:val="99"/>
    <w:semiHidden/>
    <w:rsid w:val="00145C8E"/>
    <w:rPr>
      <w:rFonts w:ascii="Arial" w:hAnsi="Arial"/>
      <w:b/>
      <w:bCs/>
    </w:rPr>
  </w:style>
  <w:style w:type="character" w:styleId="FollowedHyperlink">
    <w:name w:val="FollowedHyperlink"/>
    <w:basedOn w:val="DefaultParagraphFont"/>
    <w:uiPriority w:val="99"/>
    <w:semiHidden/>
    <w:unhideWhenUsed/>
    <w:rsid w:val="00AC3A9E"/>
    <w:rPr>
      <w:color w:val="800080" w:themeColor="followedHyperlink"/>
      <w:u w:val="single"/>
    </w:rPr>
  </w:style>
  <w:style w:type="paragraph" w:styleId="Revision">
    <w:name w:val="Revision"/>
    <w:hidden/>
    <w:uiPriority w:val="99"/>
    <w:semiHidden/>
    <w:rsid w:val="0028758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news-events/press-announcements/fda-approves-first-treatment-hutchinson-gilford-progeria-syndrome-and-some-progeroid-laminopath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arediseases.org/rare-diseases/hutchinson-gilford-progeri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trials.gov/ct2/show/NCT00425607?term=NCT00425607&amp;draw=2&amp;rank=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geriaresearch.org/wp-content/uploads/2025/01/PRF-By-the-Numbers_Dec-2024.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678F45D7-984D-4B87-900E-6B2136699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f5eefb00-5952-4f7e-8cf8-96f81cfadd01"/>
    <ds:schemaRef ds:uri="http://schemas.openxmlformats.org/package/2006/metadata/core-properties"/>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593</Words>
  <Characters>4305</Characters>
  <Application>Microsoft Office Word</Application>
  <DocSecurity>10</DocSecurity>
  <Lines>35</Lines>
  <Paragraphs>9</Paragraphs>
  <ScaleCrop>false</ScaleCrop>
  <HeadingPairs>
    <vt:vector size="2" baseType="variant">
      <vt:variant>
        <vt:lpstr>Title</vt:lpstr>
      </vt:variant>
      <vt:variant>
        <vt:i4>1</vt:i4>
      </vt:variant>
    </vt:vector>
  </HeadingPairs>
  <TitlesOfParts>
    <vt:vector size="1" baseType="lpstr">
      <vt:lpstr>Zokinvy CE</vt:lpstr>
    </vt:vector>
  </TitlesOfParts>
  <Company>DSS</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Zokinvy CE</dc:title>
  <dc:subject/>
  <dc:creator>DMS</dc:creator>
  <cp:keywords/>
  <cp:lastModifiedBy>Heriford, Katherine</cp:lastModifiedBy>
  <cp:revision>41</cp:revision>
  <cp:lastPrinted>2018-10-31T18:17:00Z</cp:lastPrinted>
  <dcterms:created xsi:type="dcterms:W3CDTF">2025-11-19T15:39:00Z</dcterms:created>
  <dcterms:modified xsi:type="dcterms:W3CDTF">2026-04-02T22:27:00Z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