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86E0878" w:rsidR="004C5767" w:rsidRPr="00611E4A" w:rsidRDefault="004C5767" w:rsidP="00D27533">
      <w:pPr>
        <w:pStyle w:val="tbody"/>
        <w:rPr>
          <w:b w:val="0"/>
          <w:bCs/>
        </w:rPr>
      </w:pPr>
      <w:r w:rsidRPr="00C02553">
        <w:t>Drug/Drug Class:</w:t>
      </w:r>
      <w:r w:rsidR="003B4820">
        <w:t xml:space="preserve"> </w:t>
      </w:r>
      <w:proofErr w:type="spellStart"/>
      <w:r w:rsidR="004D21B9" w:rsidRPr="004D21B9">
        <w:rPr>
          <w:b w:val="0"/>
          <w:bCs/>
        </w:rPr>
        <w:t>Voxzogo</w:t>
      </w:r>
      <w:proofErr w:type="spellEnd"/>
      <w:r w:rsidR="004D21B9" w:rsidRPr="004D21B9">
        <w:rPr>
          <w:b w:val="0"/>
          <w:bCs/>
        </w:rPr>
        <w:t xml:space="preserve"> Clinical Edit</w:t>
      </w:r>
    </w:p>
    <w:p w14:paraId="7AD7FFCE" w14:textId="537AC48B" w:rsidR="004C5767" w:rsidRPr="00611E4A" w:rsidRDefault="004C5767" w:rsidP="00D27533">
      <w:pPr>
        <w:pStyle w:val="tbody"/>
        <w:rPr>
          <w:b w:val="0"/>
          <w:bCs/>
        </w:rPr>
      </w:pPr>
      <w:r w:rsidRPr="00C02553">
        <w:t xml:space="preserve">First Implementation Date: </w:t>
      </w:r>
      <w:r w:rsidR="00D016B1" w:rsidRPr="00D016B1">
        <w:rPr>
          <w:b w:val="0"/>
          <w:bCs/>
        </w:rPr>
        <w:t>August 4, 2022</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7D2D9F2" w:rsidR="004C5767" w:rsidRPr="00D27533" w:rsidRDefault="004C5767" w:rsidP="00D27533">
      <w:pPr>
        <w:pStyle w:val="tbody"/>
        <w:rPr>
          <w:b w:val="0"/>
          <w:bCs/>
          <w:spacing w:val="-3"/>
        </w:rPr>
      </w:pPr>
      <w:r w:rsidRPr="00C02553">
        <w:t xml:space="preserve">Criteria Status: </w:t>
      </w:r>
      <w:r w:rsidR="00566BE4" w:rsidRPr="0004444F">
        <w:rPr>
          <w:b w:val="0"/>
          <w:bCs/>
          <w:spacing w:val="-3"/>
        </w:rPr>
        <w:t>Existing Criteria</w:t>
      </w:r>
    </w:p>
    <w:p w14:paraId="03479354" w14:textId="77777777" w:rsidR="004C5767" w:rsidRPr="002C2C41" w:rsidRDefault="004C5767" w:rsidP="00E23EC0">
      <w:pPr>
        <w:rPr>
          <w:rFonts w:cs="Arial"/>
          <w:szCs w:val="20"/>
        </w:rPr>
      </w:pPr>
    </w:p>
    <w:p w14:paraId="6413BFE8" w14:textId="76E8342E"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64EE1648" w:rsidR="00D47996" w:rsidRDefault="79EEA449" w:rsidP="00696E3A">
      <w:r>
        <w:t>Ensure appropriate utilization and control of</w:t>
      </w:r>
      <w:r w:rsidR="00D47996">
        <w:t xml:space="preserve"> </w:t>
      </w:r>
      <w:r w:rsidR="00836CD1" w:rsidRPr="00836CD1">
        <w:t>Voxzogo</w:t>
      </w:r>
      <w:r w:rsidR="00836CD1" w:rsidRPr="00A128FE">
        <w:rPr>
          <w:vertAlign w:val="superscript"/>
        </w:rPr>
        <w:t>®</w:t>
      </w:r>
      <w:r w:rsidR="00836CD1" w:rsidRPr="00836CD1">
        <w:t xml:space="preserve"> (vosoritide)</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CEEB281" w14:textId="19D03D2E" w:rsidR="002275B5" w:rsidRDefault="002275B5" w:rsidP="002275B5">
      <w:r>
        <w:t>Voxzogo</w:t>
      </w:r>
      <w:r w:rsidRPr="00A128FE">
        <w:rPr>
          <w:vertAlign w:val="superscript"/>
        </w:rPr>
        <w:t>®</w:t>
      </w:r>
      <w:r>
        <w:t xml:space="preserve"> (vosoritide) was FDA approved on November 19, </w:t>
      </w:r>
      <w:r w:rsidR="00016DD0">
        <w:t>2021,</w:t>
      </w:r>
      <w:r>
        <w:t xml:space="preserve"> to increase linear growth in pediatric patients with achondroplasia (ACH) and open epiphyses. ACH is a genetic disorder caused by a pathogenic variant in the FGFR3 gene, resulting in overactivation of the FGFR3 protein and decreased bone growth. ACH is the most common type of short-limbed dwarfism occurring in roughly 1 in 15,000 to 40,000 newborns worldwide and most commonly presents as shortened limbs, large head circumference, and short stature. Treatment of ACH generally consists of addressing complications (spinal stenosis, recurrent ear infections, obstructive sleep apnea, obesity) and maximizing functional capacity through methods such as physical therapy. </w:t>
      </w:r>
    </w:p>
    <w:p w14:paraId="3C42BD6E" w14:textId="77777777" w:rsidR="002275B5" w:rsidRDefault="002275B5" w:rsidP="002275B5"/>
    <w:p w14:paraId="6769F223" w14:textId="77777777" w:rsidR="002275B5" w:rsidRDefault="002275B5" w:rsidP="002275B5">
      <w:r>
        <w:t xml:space="preserve">Voxzogo acts by binding to natriuretic peptide receptor-B (NPR-B), resulting in positive regulation of endochondral bone growth by promoting chondrocyte proliferation and differentiation. Voxzogo is the first FDA-approved treatment to increase linear bone growth in patients with ACH and is administered as a once-daily subcutaneous injection. </w:t>
      </w:r>
    </w:p>
    <w:p w14:paraId="667B0600" w14:textId="77777777" w:rsidR="002275B5" w:rsidRDefault="002275B5" w:rsidP="002275B5"/>
    <w:p w14:paraId="7ACECC9F" w14:textId="18A20D50" w:rsidR="00B56DCC" w:rsidRDefault="002275B5" w:rsidP="002275B5">
      <w:r>
        <w:t>Due to the high cost and specific approved indications, MO HealthNet will impose clinical criteria to ensure appropriate utilization of Voxzogo.</w:t>
      </w:r>
    </w:p>
    <w:p w14:paraId="3A0E1F5D" w14:textId="77777777" w:rsidR="002275B5" w:rsidRDefault="002275B5" w:rsidP="002275B5"/>
    <w:p w14:paraId="5B5260CF" w14:textId="7E920925" w:rsidR="003D4704" w:rsidRPr="00AD17B7" w:rsidRDefault="003D4704" w:rsidP="003D4704">
      <w:r>
        <w:rPr>
          <w:b/>
          <w:bCs/>
        </w:rPr>
        <w:t xml:space="preserve">Program-Specific Information: </w:t>
      </w:r>
      <w:r>
        <w:t>Dat</w:t>
      </w:r>
      <w:r w:rsidR="00ED760F">
        <w:t>e</w:t>
      </w:r>
      <w:r>
        <w:t xml:space="preserve"> Range FFS </w:t>
      </w:r>
      <w:r w:rsidR="00B81482">
        <w:t>1</w:t>
      </w:r>
      <w:r>
        <w:t>-1-202</w:t>
      </w:r>
      <w:r w:rsidR="00B81482">
        <w:t>5</w:t>
      </w:r>
      <w:r>
        <w:t xml:space="preserve"> to </w:t>
      </w:r>
      <w:r w:rsidR="00B81482">
        <w:t>12</w:t>
      </w:r>
      <w:r>
        <w:t>-3</w:t>
      </w:r>
      <w:r w:rsidR="00B81482">
        <w:t>1</w:t>
      </w:r>
      <w:r>
        <w:t>-2025</w:t>
      </w:r>
    </w:p>
    <w:tbl>
      <w:tblPr>
        <w:tblW w:w="9810" w:type="dxa"/>
        <w:jc w:val="center"/>
        <w:tblLayout w:type="fixed"/>
        <w:tblLook w:val="04A0" w:firstRow="1" w:lastRow="0" w:firstColumn="1" w:lastColumn="0" w:noHBand="0" w:noVBand="1"/>
      </w:tblPr>
      <w:tblGrid>
        <w:gridCol w:w="3122"/>
        <w:gridCol w:w="1672"/>
        <w:gridCol w:w="1116"/>
        <w:gridCol w:w="1950"/>
        <w:gridCol w:w="1950"/>
      </w:tblGrid>
      <w:tr w:rsidR="00D12BD1" w:rsidRPr="00474CB8" w14:paraId="4685CACD" w14:textId="77777777" w:rsidTr="000D1438">
        <w:trPr>
          <w:trHeight w:val="278"/>
          <w:jc w:val="center"/>
        </w:trPr>
        <w:tc>
          <w:tcPr>
            <w:tcW w:w="312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4C5D3C5" w14:textId="77777777" w:rsidR="00D12BD1" w:rsidRPr="00474CB8" w:rsidRDefault="00D12BD1" w:rsidP="00256BFD">
            <w:pPr>
              <w:jc w:val="center"/>
              <w:rPr>
                <w:rFonts w:cs="Arial"/>
                <w:b/>
                <w:bCs/>
                <w:spacing w:val="-3"/>
                <w:szCs w:val="20"/>
              </w:rPr>
            </w:pPr>
            <w:r w:rsidRPr="00474CB8">
              <w:rPr>
                <w:rFonts w:cs="Arial"/>
                <w:b/>
                <w:bCs/>
                <w:spacing w:val="-3"/>
                <w:szCs w:val="20"/>
              </w:rPr>
              <w:t>Drug</w:t>
            </w:r>
          </w:p>
        </w:tc>
        <w:tc>
          <w:tcPr>
            <w:tcW w:w="167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459FDB7" w14:textId="77777777" w:rsidR="00D12BD1" w:rsidRPr="00474CB8" w:rsidRDefault="00D12BD1" w:rsidP="00256BFD">
            <w:pPr>
              <w:jc w:val="center"/>
              <w:rPr>
                <w:rFonts w:cs="Arial"/>
                <w:b/>
                <w:bCs/>
                <w:spacing w:val="-3"/>
                <w:szCs w:val="20"/>
              </w:rPr>
            </w:pPr>
            <w:r w:rsidRPr="00474CB8">
              <w:rPr>
                <w:rFonts w:cs="Arial"/>
                <w:b/>
                <w:bCs/>
                <w:spacing w:val="-3"/>
                <w:szCs w:val="20"/>
              </w:rPr>
              <w:t>Participants</w:t>
            </w:r>
          </w:p>
        </w:tc>
        <w:tc>
          <w:tcPr>
            <w:tcW w:w="111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B672475" w14:textId="77777777" w:rsidR="00D12BD1" w:rsidRPr="00474CB8" w:rsidRDefault="00D12BD1" w:rsidP="00256BFD">
            <w:pPr>
              <w:jc w:val="center"/>
              <w:rPr>
                <w:rFonts w:cs="Arial"/>
                <w:b/>
                <w:bCs/>
                <w:spacing w:val="-3"/>
                <w:szCs w:val="20"/>
              </w:rPr>
            </w:pPr>
            <w:r w:rsidRPr="00474CB8">
              <w:rPr>
                <w:rFonts w:cs="Arial"/>
                <w:b/>
                <w:bCs/>
                <w:spacing w:val="-3"/>
                <w:szCs w:val="20"/>
              </w:rPr>
              <w:t>Claims</w:t>
            </w:r>
          </w:p>
        </w:tc>
        <w:tc>
          <w:tcPr>
            <w:tcW w:w="19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EEE6137" w14:textId="77777777" w:rsidR="00D12BD1" w:rsidRPr="00474CB8" w:rsidRDefault="00D12BD1" w:rsidP="00256BFD">
            <w:pPr>
              <w:jc w:val="center"/>
              <w:rPr>
                <w:rFonts w:cs="Arial"/>
                <w:b/>
                <w:bCs/>
                <w:spacing w:val="-3"/>
                <w:szCs w:val="20"/>
              </w:rPr>
            </w:pPr>
            <w:r w:rsidRPr="00474CB8">
              <w:rPr>
                <w:rFonts w:cs="Arial"/>
                <w:b/>
                <w:bCs/>
                <w:spacing w:val="-3"/>
                <w:szCs w:val="20"/>
              </w:rPr>
              <w:t>Spend</w:t>
            </w:r>
          </w:p>
        </w:tc>
        <w:tc>
          <w:tcPr>
            <w:tcW w:w="19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A14441D" w14:textId="77777777" w:rsidR="00D12BD1" w:rsidRPr="00474CB8" w:rsidRDefault="00D12BD1" w:rsidP="00256BFD">
            <w:pPr>
              <w:jc w:val="center"/>
              <w:rPr>
                <w:rFonts w:cs="Arial"/>
                <w:b/>
                <w:bCs/>
                <w:spacing w:val="-3"/>
                <w:szCs w:val="20"/>
              </w:rPr>
            </w:pPr>
            <w:r w:rsidRPr="00474CB8">
              <w:rPr>
                <w:rFonts w:cs="Arial"/>
                <w:b/>
                <w:bCs/>
                <w:spacing w:val="-3"/>
                <w:szCs w:val="20"/>
              </w:rPr>
              <w:t>Avg Spend per Claim</w:t>
            </w:r>
          </w:p>
        </w:tc>
      </w:tr>
      <w:tr w:rsidR="000D1438" w:rsidRPr="007B11B7" w14:paraId="1C232EA7" w14:textId="77777777" w:rsidTr="000D1438">
        <w:trPr>
          <w:trHeight w:val="162"/>
          <w:jc w:val="center"/>
        </w:trPr>
        <w:tc>
          <w:tcPr>
            <w:tcW w:w="3122" w:type="dxa"/>
            <w:tcBorders>
              <w:top w:val="single" w:sz="4" w:space="0" w:color="auto"/>
              <w:left w:val="single" w:sz="4" w:space="0" w:color="auto"/>
              <w:bottom w:val="single" w:sz="4" w:space="0" w:color="auto"/>
              <w:right w:val="single" w:sz="4" w:space="0" w:color="auto"/>
            </w:tcBorders>
            <w:vAlign w:val="center"/>
          </w:tcPr>
          <w:p w14:paraId="15C1F224" w14:textId="77777777" w:rsidR="000D1438" w:rsidRPr="00FE4CD8" w:rsidRDefault="000D1438" w:rsidP="000D1438">
            <w:pPr>
              <w:rPr>
                <w:rFonts w:cs="Arial"/>
                <w:spacing w:val="-3"/>
                <w:szCs w:val="20"/>
              </w:rPr>
            </w:pPr>
            <w:r>
              <w:rPr>
                <w:rFonts w:cs="Arial"/>
                <w:spacing w:val="-3"/>
                <w:szCs w:val="20"/>
              </w:rPr>
              <w:t>VOXZOGO 0.4 MG VIAL</w:t>
            </w:r>
          </w:p>
        </w:tc>
        <w:tc>
          <w:tcPr>
            <w:tcW w:w="1672" w:type="dxa"/>
            <w:tcBorders>
              <w:top w:val="single" w:sz="4" w:space="0" w:color="auto"/>
              <w:left w:val="single" w:sz="4" w:space="0" w:color="auto"/>
              <w:bottom w:val="single" w:sz="4" w:space="0" w:color="auto"/>
              <w:right w:val="single" w:sz="4" w:space="0" w:color="auto"/>
            </w:tcBorders>
            <w:vAlign w:val="center"/>
          </w:tcPr>
          <w:p w14:paraId="4C73167C" w14:textId="77777777" w:rsidR="000D1438" w:rsidRPr="00FE4CD8" w:rsidRDefault="000D1438" w:rsidP="000D1438">
            <w:pPr>
              <w:jc w:val="center"/>
              <w:rPr>
                <w:rFonts w:cs="Arial"/>
                <w:spacing w:val="-3"/>
                <w:szCs w:val="20"/>
              </w:rPr>
            </w:pPr>
            <w:r>
              <w:rPr>
                <w:rFonts w:cs="Arial"/>
                <w:spacing w:val="-3"/>
                <w:szCs w:val="20"/>
              </w:rPr>
              <w:t>2</w:t>
            </w:r>
          </w:p>
        </w:tc>
        <w:tc>
          <w:tcPr>
            <w:tcW w:w="1116" w:type="dxa"/>
            <w:tcBorders>
              <w:top w:val="single" w:sz="4" w:space="0" w:color="auto"/>
              <w:left w:val="single" w:sz="4" w:space="0" w:color="auto"/>
              <w:bottom w:val="single" w:sz="4" w:space="0" w:color="auto"/>
              <w:right w:val="single" w:sz="4" w:space="0" w:color="auto"/>
            </w:tcBorders>
            <w:vAlign w:val="bottom"/>
          </w:tcPr>
          <w:p w14:paraId="763270DB" w14:textId="580DBE62" w:rsidR="000D1438" w:rsidRPr="007B11B7" w:rsidRDefault="000D1438" w:rsidP="000D1438">
            <w:pPr>
              <w:jc w:val="center"/>
              <w:rPr>
                <w:rFonts w:cs="Arial"/>
                <w:spacing w:val="-3"/>
                <w:szCs w:val="20"/>
              </w:rPr>
            </w:pPr>
            <w:r>
              <w:rPr>
                <w:rFonts w:cs="Arial"/>
                <w:szCs w:val="20"/>
              </w:rPr>
              <w:t>24</w:t>
            </w:r>
          </w:p>
        </w:tc>
        <w:tc>
          <w:tcPr>
            <w:tcW w:w="1950" w:type="dxa"/>
            <w:tcBorders>
              <w:top w:val="single" w:sz="4" w:space="0" w:color="auto"/>
              <w:left w:val="single" w:sz="4" w:space="0" w:color="auto"/>
              <w:bottom w:val="single" w:sz="4" w:space="0" w:color="auto"/>
              <w:right w:val="single" w:sz="4" w:space="0" w:color="auto"/>
            </w:tcBorders>
            <w:vAlign w:val="bottom"/>
          </w:tcPr>
          <w:p w14:paraId="08206B49" w14:textId="1692BC0F" w:rsidR="000D1438" w:rsidRPr="007B11B7" w:rsidRDefault="000D1438" w:rsidP="000D1438">
            <w:pPr>
              <w:jc w:val="center"/>
              <w:rPr>
                <w:rFonts w:cs="Arial"/>
                <w:spacing w:val="-3"/>
                <w:szCs w:val="20"/>
              </w:rPr>
            </w:pPr>
            <w:r>
              <w:rPr>
                <w:rFonts w:cs="Arial"/>
                <w:szCs w:val="20"/>
              </w:rPr>
              <w:t>$766,392.18</w:t>
            </w:r>
          </w:p>
        </w:tc>
        <w:tc>
          <w:tcPr>
            <w:tcW w:w="1950" w:type="dxa"/>
            <w:tcBorders>
              <w:top w:val="single" w:sz="4" w:space="0" w:color="auto"/>
              <w:left w:val="single" w:sz="4" w:space="0" w:color="auto"/>
              <w:bottom w:val="single" w:sz="4" w:space="0" w:color="auto"/>
              <w:right w:val="single" w:sz="4" w:space="0" w:color="auto"/>
            </w:tcBorders>
            <w:vAlign w:val="bottom"/>
          </w:tcPr>
          <w:p w14:paraId="5EC08E62" w14:textId="7B71A5E9" w:rsidR="000D1438" w:rsidRPr="007B11B7" w:rsidRDefault="000D1438" w:rsidP="000D1438">
            <w:pPr>
              <w:jc w:val="center"/>
              <w:rPr>
                <w:rFonts w:cs="Arial"/>
                <w:spacing w:val="-3"/>
                <w:szCs w:val="20"/>
              </w:rPr>
            </w:pPr>
            <w:r>
              <w:rPr>
                <w:rFonts w:cs="Arial"/>
                <w:szCs w:val="20"/>
              </w:rPr>
              <w:t>$31,933.01</w:t>
            </w:r>
          </w:p>
        </w:tc>
      </w:tr>
      <w:tr w:rsidR="000D1438" w:rsidRPr="00FE4CD8" w14:paraId="5E3CB386" w14:textId="77777777" w:rsidTr="005F3222">
        <w:trPr>
          <w:trHeight w:val="162"/>
          <w:jc w:val="center"/>
        </w:trPr>
        <w:tc>
          <w:tcPr>
            <w:tcW w:w="3122" w:type="dxa"/>
            <w:tcBorders>
              <w:top w:val="single" w:sz="4" w:space="0" w:color="auto"/>
              <w:left w:val="single" w:sz="4" w:space="0" w:color="auto"/>
              <w:bottom w:val="single" w:sz="4" w:space="0" w:color="auto"/>
              <w:right w:val="single" w:sz="4" w:space="0" w:color="auto"/>
            </w:tcBorders>
            <w:vAlign w:val="center"/>
          </w:tcPr>
          <w:p w14:paraId="0CC18979" w14:textId="77777777" w:rsidR="000D1438" w:rsidRPr="00FE4CD8" w:rsidRDefault="000D1438" w:rsidP="000D1438">
            <w:pPr>
              <w:rPr>
                <w:rFonts w:cs="Arial"/>
                <w:spacing w:val="-3"/>
                <w:szCs w:val="20"/>
              </w:rPr>
            </w:pPr>
            <w:r>
              <w:rPr>
                <w:rFonts w:cs="Arial"/>
                <w:spacing w:val="-3"/>
                <w:szCs w:val="20"/>
              </w:rPr>
              <w:t>VOXZOGO 0.56 MG VIAL</w:t>
            </w:r>
          </w:p>
        </w:tc>
        <w:tc>
          <w:tcPr>
            <w:tcW w:w="1672" w:type="dxa"/>
            <w:tcBorders>
              <w:top w:val="single" w:sz="4" w:space="0" w:color="auto"/>
              <w:left w:val="single" w:sz="4" w:space="0" w:color="auto"/>
              <w:bottom w:val="single" w:sz="4" w:space="0" w:color="auto"/>
              <w:right w:val="single" w:sz="4" w:space="0" w:color="auto"/>
            </w:tcBorders>
            <w:vAlign w:val="center"/>
          </w:tcPr>
          <w:p w14:paraId="77C3A166" w14:textId="0087A058" w:rsidR="000D1438" w:rsidRPr="00FE4CD8" w:rsidRDefault="006640AB" w:rsidP="000D1438">
            <w:pPr>
              <w:jc w:val="center"/>
              <w:rPr>
                <w:rFonts w:cs="Arial"/>
                <w:spacing w:val="-3"/>
                <w:szCs w:val="20"/>
              </w:rPr>
            </w:pPr>
            <w:r>
              <w:rPr>
                <w:rFonts w:cs="Arial"/>
                <w:spacing w:val="-3"/>
                <w:szCs w:val="20"/>
              </w:rPr>
              <w:t>3</w:t>
            </w:r>
          </w:p>
        </w:tc>
        <w:tc>
          <w:tcPr>
            <w:tcW w:w="1116" w:type="dxa"/>
            <w:tcBorders>
              <w:top w:val="single" w:sz="4" w:space="0" w:color="auto"/>
              <w:left w:val="single" w:sz="4" w:space="0" w:color="auto"/>
              <w:bottom w:val="single" w:sz="4" w:space="0" w:color="auto"/>
              <w:right w:val="single" w:sz="4" w:space="0" w:color="auto"/>
            </w:tcBorders>
            <w:vAlign w:val="bottom"/>
          </w:tcPr>
          <w:p w14:paraId="2713B9F8" w14:textId="52AF5797" w:rsidR="000D1438" w:rsidRPr="0053193D" w:rsidRDefault="000D1438" w:rsidP="000D1438">
            <w:pPr>
              <w:jc w:val="center"/>
              <w:rPr>
                <w:rFonts w:cs="Arial"/>
                <w:spacing w:val="-3"/>
                <w:szCs w:val="20"/>
              </w:rPr>
            </w:pPr>
            <w:r>
              <w:rPr>
                <w:rFonts w:cs="Arial"/>
                <w:szCs w:val="20"/>
              </w:rPr>
              <w:t>23</w:t>
            </w:r>
          </w:p>
        </w:tc>
        <w:tc>
          <w:tcPr>
            <w:tcW w:w="1950" w:type="dxa"/>
            <w:tcBorders>
              <w:top w:val="single" w:sz="4" w:space="0" w:color="auto"/>
              <w:left w:val="single" w:sz="4" w:space="0" w:color="auto"/>
              <w:bottom w:val="single" w:sz="4" w:space="0" w:color="auto"/>
              <w:right w:val="single" w:sz="4" w:space="0" w:color="auto"/>
            </w:tcBorders>
            <w:vAlign w:val="bottom"/>
          </w:tcPr>
          <w:p w14:paraId="3AD238EF" w14:textId="01C56E15" w:rsidR="000D1438" w:rsidRPr="00FE4CD8" w:rsidRDefault="000D1438" w:rsidP="000D1438">
            <w:pPr>
              <w:jc w:val="center"/>
              <w:rPr>
                <w:rFonts w:cs="Arial"/>
                <w:spacing w:val="-3"/>
                <w:szCs w:val="20"/>
              </w:rPr>
            </w:pPr>
            <w:r>
              <w:rPr>
                <w:rFonts w:cs="Arial"/>
                <w:szCs w:val="20"/>
              </w:rPr>
              <w:t>$738,554.83</w:t>
            </w:r>
          </w:p>
        </w:tc>
        <w:tc>
          <w:tcPr>
            <w:tcW w:w="1950" w:type="dxa"/>
            <w:tcBorders>
              <w:top w:val="single" w:sz="4" w:space="0" w:color="auto"/>
              <w:left w:val="single" w:sz="4" w:space="0" w:color="auto"/>
              <w:bottom w:val="single" w:sz="4" w:space="0" w:color="auto"/>
              <w:right w:val="single" w:sz="4" w:space="0" w:color="auto"/>
            </w:tcBorders>
            <w:vAlign w:val="bottom"/>
          </w:tcPr>
          <w:p w14:paraId="2DDEFA7F" w14:textId="039B00F8" w:rsidR="000D1438" w:rsidRPr="00FE4CD8" w:rsidRDefault="000D1438" w:rsidP="000D1438">
            <w:pPr>
              <w:jc w:val="center"/>
              <w:rPr>
                <w:rFonts w:cs="Arial"/>
                <w:spacing w:val="-3"/>
                <w:szCs w:val="20"/>
              </w:rPr>
            </w:pPr>
            <w:r>
              <w:rPr>
                <w:rFonts w:cs="Arial"/>
                <w:szCs w:val="20"/>
              </w:rPr>
              <w:t>$32,111.08</w:t>
            </w:r>
          </w:p>
        </w:tc>
      </w:tr>
      <w:tr w:rsidR="00D12BD1" w:rsidRPr="00FE4CD8" w14:paraId="08613ABD" w14:textId="77777777" w:rsidTr="000D1438">
        <w:trPr>
          <w:trHeight w:val="162"/>
          <w:jc w:val="center"/>
        </w:trPr>
        <w:tc>
          <w:tcPr>
            <w:tcW w:w="3122" w:type="dxa"/>
            <w:tcBorders>
              <w:top w:val="single" w:sz="4" w:space="0" w:color="auto"/>
              <w:left w:val="single" w:sz="4" w:space="0" w:color="auto"/>
              <w:bottom w:val="single" w:sz="4" w:space="0" w:color="auto"/>
              <w:right w:val="single" w:sz="4" w:space="0" w:color="auto"/>
            </w:tcBorders>
            <w:vAlign w:val="center"/>
          </w:tcPr>
          <w:p w14:paraId="59C01044" w14:textId="77777777" w:rsidR="00D12BD1" w:rsidRPr="00FE4CD8" w:rsidRDefault="00D12BD1" w:rsidP="00256BFD">
            <w:pPr>
              <w:rPr>
                <w:rFonts w:cs="Arial"/>
                <w:spacing w:val="-3"/>
                <w:szCs w:val="20"/>
              </w:rPr>
            </w:pPr>
            <w:r>
              <w:rPr>
                <w:rFonts w:cs="Arial"/>
                <w:spacing w:val="-3"/>
                <w:szCs w:val="20"/>
              </w:rPr>
              <w:t>VOXZOGO 1.2 MG VIAL</w:t>
            </w:r>
          </w:p>
        </w:tc>
        <w:tc>
          <w:tcPr>
            <w:tcW w:w="1672" w:type="dxa"/>
            <w:tcBorders>
              <w:top w:val="single" w:sz="4" w:space="0" w:color="auto"/>
              <w:left w:val="single" w:sz="4" w:space="0" w:color="auto"/>
              <w:bottom w:val="single" w:sz="4" w:space="0" w:color="auto"/>
              <w:right w:val="single" w:sz="4" w:space="0" w:color="auto"/>
            </w:tcBorders>
            <w:vAlign w:val="center"/>
          </w:tcPr>
          <w:p w14:paraId="383CF2D2" w14:textId="77777777" w:rsidR="00D12BD1" w:rsidRPr="00FE4CD8" w:rsidRDefault="00D12BD1" w:rsidP="00256BFD">
            <w:pPr>
              <w:jc w:val="center"/>
              <w:rPr>
                <w:rFonts w:cs="Arial"/>
                <w:spacing w:val="-3"/>
                <w:szCs w:val="20"/>
              </w:rPr>
            </w:pPr>
            <w:r>
              <w:rPr>
                <w:rFonts w:cs="Arial"/>
                <w:spacing w:val="-3"/>
                <w:szCs w:val="20"/>
              </w:rPr>
              <w:t>0</w:t>
            </w:r>
          </w:p>
        </w:tc>
        <w:tc>
          <w:tcPr>
            <w:tcW w:w="1116" w:type="dxa"/>
            <w:tcBorders>
              <w:top w:val="single" w:sz="4" w:space="0" w:color="auto"/>
              <w:left w:val="single" w:sz="4" w:space="0" w:color="auto"/>
              <w:bottom w:val="single" w:sz="4" w:space="0" w:color="auto"/>
              <w:right w:val="single" w:sz="4" w:space="0" w:color="auto"/>
            </w:tcBorders>
            <w:vAlign w:val="center"/>
          </w:tcPr>
          <w:p w14:paraId="153C2E45" w14:textId="77777777" w:rsidR="00D12BD1" w:rsidRPr="00FE4CD8" w:rsidRDefault="00D12BD1" w:rsidP="00256BFD">
            <w:pPr>
              <w:jc w:val="center"/>
              <w:rPr>
                <w:rFonts w:cs="Arial"/>
                <w:spacing w:val="-3"/>
                <w:szCs w:val="20"/>
              </w:rPr>
            </w:pPr>
            <w:r>
              <w:rPr>
                <w:rFonts w:cs="Arial"/>
                <w:spacing w:val="-3"/>
                <w:szCs w:val="20"/>
              </w:rPr>
              <w:t>-</w:t>
            </w:r>
          </w:p>
        </w:tc>
        <w:tc>
          <w:tcPr>
            <w:tcW w:w="1950" w:type="dxa"/>
            <w:tcBorders>
              <w:top w:val="single" w:sz="4" w:space="0" w:color="auto"/>
              <w:left w:val="single" w:sz="4" w:space="0" w:color="auto"/>
              <w:bottom w:val="single" w:sz="4" w:space="0" w:color="auto"/>
              <w:right w:val="single" w:sz="4" w:space="0" w:color="auto"/>
            </w:tcBorders>
            <w:vAlign w:val="center"/>
          </w:tcPr>
          <w:p w14:paraId="40C7C796" w14:textId="77777777" w:rsidR="00D12BD1" w:rsidRPr="00FE4CD8" w:rsidRDefault="00D12BD1" w:rsidP="00256BFD">
            <w:pPr>
              <w:jc w:val="center"/>
              <w:rPr>
                <w:rFonts w:cs="Arial"/>
                <w:spacing w:val="-3"/>
                <w:szCs w:val="20"/>
              </w:rPr>
            </w:pPr>
            <w:r>
              <w:rPr>
                <w:rFonts w:cs="Arial"/>
                <w:spacing w:val="-3"/>
                <w:szCs w:val="20"/>
              </w:rPr>
              <w:t>-</w:t>
            </w:r>
          </w:p>
        </w:tc>
        <w:tc>
          <w:tcPr>
            <w:tcW w:w="1950" w:type="dxa"/>
            <w:tcBorders>
              <w:top w:val="single" w:sz="4" w:space="0" w:color="auto"/>
              <w:left w:val="single" w:sz="4" w:space="0" w:color="auto"/>
              <w:bottom w:val="single" w:sz="4" w:space="0" w:color="auto"/>
              <w:right w:val="single" w:sz="4" w:space="0" w:color="auto"/>
            </w:tcBorders>
            <w:vAlign w:val="center"/>
          </w:tcPr>
          <w:p w14:paraId="4B409A03" w14:textId="77777777" w:rsidR="00D12BD1" w:rsidRPr="00FE4CD8" w:rsidRDefault="00D12BD1" w:rsidP="00256BFD">
            <w:pPr>
              <w:jc w:val="center"/>
              <w:rPr>
                <w:rFonts w:cs="Arial"/>
                <w:spacing w:val="-3"/>
                <w:szCs w:val="20"/>
              </w:rPr>
            </w:pPr>
            <w:r>
              <w:rPr>
                <w:rFonts w:cs="Arial"/>
                <w:spacing w:val="-3"/>
                <w:szCs w:val="20"/>
              </w:rPr>
              <w:t>-</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BBCE89A" w:rsidR="0097028A" w:rsidRPr="0079438F" w:rsidRDefault="0097028A" w:rsidP="00696E3A">
      <w:pPr>
        <w:rPr>
          <w:b/>
        </w:rPr>
      </w:pPr>
      <w:r w:rsidRPr="00696E3A">
        <w:rPr>
          <w:b/>
          <w:bCs/>
        </w:rPr>
        <w:t>Drug class for review:</w:t>
      </w:r>
      <w:r w:rsidR="00FC699A" w:rsidRPr="00FC699A">
        <w:rPr>
          <w:rFonts w:cs="Arial"/>
          <w:szCs w:val="20"/>
        </w:rPr>
        <w:t xml:space="preserve"> </w:t>
      </w:r>
      <w:r w:rsidR="00FC699A">
        <w:rPr>
          <w:rFonts w:cs="Arial"/>
          <w:szCs w:val="20"/>
        </w:rPr>
        <w:t>Voxzogo (vosoritide)</w:t>
      </w:r>
      <w:r w:rsidRPr="00C02553">
        <w:t xml:space="preserve"> </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651C645D" w14:textId="77777777" w:rsidR="005E4E76" w:rsidRDefault="005E4E76" w:rsidP="005328B2">
      <w:pPr>
        <w:rPr>
          <w:rFonts w:cs="Arial"/>
          <w:szCs w:val="20"/>
        </w:rPr>
      </w:pPr>
    </w:p>
    <w:p w14:paraId="66C82746" w14:textId="77777777" w:rsidR="005E4E76" w:rsidRDefault="005E4E76" w:rsidP="005328B2">
      <w:pPr>
        <w:rPr>
          <w:rFonts w:cs="Arial"/>
          <w:szCs w:val="20"/>
        </w:rPr>
      </w:pPr>
    </w:p>
    <w:p w14:paraId="7B701718" w14:textId="77777777" w:rsidR="005E4E76" w:rsidRDefault="005E4E76" w:rsidP="005328B2">
      <w:pPr>
        <w:rPr>
          <w:rFonts w:cs="Arial"/>
          <w:szCs w:val="20"/>
        </w:rPr>
      </w:pPr>
    </w:p>
    <w:p w14:paraId="3D9BE146" w14:textId="77777777" w:rsidR="005E4E76" w:rsidRPr="002C2C41" w:rsidRDefault="005E4E76"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2C090027" w14:textId="77777777" w:rsidR="00CD4CA0" w:rsidRPr="00156159" w:rsidRDefault="00CD4CA0" w:rsidP="00CD4CA0">
      <w:pPr>
        <w:pStyle w:val="ListParagraph"/>
        <w:numPr>
          <w:ilvl w:val="0"/>
          <w:numId w:val="17"/>
        </w:numPr>
        <w:rPr>
          <w:rFonts w:cs="Arial"/>
          <w:bCs/>
          <w:szCs w:val="20"/>
        </w:rPr>
      </w:pPr>
      <w:r w:rsidRPr="00156159">
        <w:rPr>
          <w:rFonts w:cs="Arial"/>
          <w:bCs/>
          <w:szCs w:val="20"/>
        </w:rPr>
        <w:t xml:space="preserve">Must meet </w:t>
      </w:r>
      <w:proofErr w:type="gramStart"/>
      <w:r w:rsidRPr="00156159">
        <w:rPr>
          <w:rFonts w:cs="Arial"/>
          <w:bCs/>
          <w:szCs w:val="20"/>
        </w:rPr>
        <w:t>all of</w:t>
      </w:r>
      <w:proofErr w:type="gramEnd"/>
      <w:r w:rsidRPr="00156159">
        <w:rPr>
          <w:rFonts w:cs="Arial"/>
          <w:bCs/>
          <w:szCs w:val="20"/>
        </w:rPr>
        <w:t xml:space="preserve"> the following:</w:t>
      </w:r>
    </w:p>
    <w:p w14:paraId="7057AF15" w14:textId="77777777" w:rsidR="00CD4CA0" w:rsidRDefault="00CD4CA0" w:rsidP="00CD4CA0">
      <w:pPr>
        <w:pStyle w:val="ListParagraph"/>
        <w:numPr>
          <w:ilvl w:val="1"/>
          <w:numId w:val="16"/>
        </w:numPr>
        <w:ind w:left="720"/>
        <w:rPr>
          <w:rFonts w:cs="Arial"/>
          <w:bCs/>
          <w:szCs w:val="20"/>
        </w:rPr>
      </w:pPr>
      <w:r>
        <w:rPr>
          <w:rFonts w:cs="Arial"/>
          <w:bCs/>
          <w:szCs w:val="20"/>
        </w:rPr>
        <w:t xml:space="preserve">Prescribed by or in consultation with a geneticist, skeletal dysplasia specialist, pediatric endocrinologist, or other specialist in the treated disease </w:t>
      </w:r>
      <w:proofErr w:type="gramStart"/>
      <w:r>
        <w:rPr>
          <w:rFonts w:cs="Arial"/>
          <w:bCs/>
          <w:szCs w:val="20"/>
        </w:rPr>
        <w:t>state;</w:t>
      </w:r>
      <w:proofErr w:type="gramEnd"/>
    </w:p>
    <w:p w14:paraId="6EE4AD71" w14:textId="77777777" w:rsidR="00CD4CA0" w:rsidRPr="00991D6F" w:rsidRDefault="00CD4CA0" w:rsidP="00CD4CA0">
      <w:pPr>
        <w:pStyle w:val="ListParagraph"/>
        <w:numPr>
          <w:ilvl w:val="1"/>
          <w:numId w:val="16"/>
        </w:numPr>
        <w:ind w:left="720"/>
        <w:rPr>
          <w:rFonts w:cs="Arial"/>
          <w:bCs/>
          <w:szCs w:val="20"/>
        </w:rPr>
      </w:pPr>
      <w:r>
        <w:rPr>
          <w:rFonts w:cs="Arial"/>
          <w:bCs/>
          <w:szCs w:val="20"/>
        </w:rPr>
        <w:t xml:space="preserve">Documented diagnosis of ACH confirmed by genetic </w:t>
      </w:r>
      <w:proofErr w:type="gramStart"/>
      <w:r>
        <w:rPr>
          <w:rFonts w:cs="Arial"/>
          <w:bCs/>
          <w:szCs w:val="20"/>
        </w:rPr>
        <w:t>testing;</w:t>
      </w:r>
      <w:proofErr w:type="gramEnd"/>
    </w:p>
    <w:p w14:paraId="55DEA8C8" w14:textId="77777777" w:rsidR="00CD4CA0" w:rsidRDefault="00CD4CA0" w:rsidP="00CD4CA0">
      <w:pPr>
        <w:pStyle w:val="ListParagraph"/>
        <w:numPr>
          <w:ilvl w:val="1"/>
          <w:numId w:val="16"/>
        </w:numPr>
        <w:ind w:left="720"/>
        <w:rPr>
          <w:rFonts w:cs="Arial"/>
          <w:bCs/>
          <w:szCs w:val="20"/>
        </w:rPr>
      </w:pPr>
      <w:r>
        <w:rPr>
          <w:rFonts w:cs="Arial"/>
          <w:bCs/>
          <w:szCs w:val="20"/>
        </w:rPr>
        <w:t xml:space="preserve">Documented baseline average growth velocity (AGV) within last 90 days; </w:t>
      </w:r>
      <w:r w:rsidRPr="00156159">
        <w:rPr>
          <w:rFonts w:cs="Arial"/>
          <w:b/>
          <w:szCs w:val="20"/>
        </w:rPr>
        <w:t>AND</w:t>
      </w:r>
    </w:p>
    <w:p w14:paraId="59FDEDAD" w14:textId="77777777" w:rsidR="00CD4CA0" w:rsidRDefault="00CD4CA0" w:rsidP="00CD4CA0">
      <w:pPr>
        <w:pStyle w:val="ListParagraph"/>
        <w:numPr>
          <w:ilvl w:val="1"/>
          <w:numId w:val="16"/>
        </w:numPr>
        <w:ind w:left="720"/>
        <w:rPr>
          <w:rFonts w:cs="Arial"/>
          <w:bCs/>
          <w:szCs w:val="20"/>
        </w:rPr>
      </w:pPr>
      <w:r>
        <w:rPr>
          <w:rFonts w:cs="Arial"/>
          <w:bCs/>
          <w:szCs w:val="20"/>
        </w:rPr>
        <w:t>Must meet one of the following:</w:t>
      </w:r>
    </w:p>
    <w:p w14:paraId="7D93EAB3" w14:textId="77777777" w:rsidR="00CD4CA0" w:rsidRDefault="00CD4CA0" w:rsidP="00CD4CA0">
      <w:pPr>
        <w:pStyle w:val="ListParagraph"/>
        <w:numPr>
          <w:ilvl w:val="2"/>
          <w:numId w:val="16"/>
        </w:numPr>
        <w:ind w:left="1080"/>
        <w:rPr>
          <w:rFonts w:cs="Arial"/>
          <w:bCs/>
          <w:szCs w:val="20"/>
        </w:rPr>
      </w:pPr>
      <w:r>
        <w:rPr>
          <w:rFonts w:cs="Arial"/>
          <w:bCs/>
          <w:szCs w:val="20"/>
        </w:rPr>
        <w:t xml:space="preserve">Male participants aged 15 years or older have recent confirmatory X-ray showing open epiphyses; </w:t>
      </w:r>
      <w:r w:rsidRPr="000A690D">
        <w:rPr>
          <w:rFonts w:cs="Arial"/>
          <w:b/>
          <w:szCs w:val="20"/>
        </w:rPr>
        <w:t>OR</w:t>
      </w:r>
    </w:p>
    <w:p w14:paraId="2E9FC19A" w14:textId="77777777" w:rsidR="00CD4CA0" w:rsidRDefault="00CD4CA0" w:rsidP="00CD4CA0">
      <w:pPr>
        <w:pStyle w:val="ListParagraph"/>
        <w:numPr>
          <w:ilvl w:val="2"/>
          <w:numId w:val="16"/>
        </w:numPr>
        <w:ind w:left="1080"/>
        <w:rPr>
          <w:rFonts w:cs="Arial"/>
          <w:bCs/>
          <w:szCs w:val="20"/>
        </w:rPr>
      </w:pPr>
      <w:r>
        <w:rPr>
          <w:rFonts w:cs="Arial"/>
          <w:bCs/>
          <w:szCs w:val="20"/>
        </w:rPr>
        <w:t>Female participants aged 13 years or older have recent confirmatory X-ray showing open epiphyses.</w:t>
      </w:r>
    </w:p>
    <w:p w14:paraId="41D2EC10" w14:textId="77777777" w:rsidR="00CD4CA0" w:rsidRDefault="00CD4CA0" w:rsidP="00CD4CA0">
      <w:pPr>
        <w:pStyle w:val="ListParagraph"/>
        <w:numPr>
          <w:ilvl w:val="0"/>
          <w:numId w:val="16"/>
        </w:numPr>
        <w:rPr>
          <w:rFonts w:cs="Arial"/>
          <w:bCs/>
          <w:szCs w:val="20"/>
        </w:rPr>
      </w:pPr>
      <w:r>
        <w:rPr>
          <w:rFonts w:cs="Arial"/>
          <w:bCs/>
          <w:szCs w:val="20"/>
        </w:rPr>
        <w:t>Initial approval for 1 year</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40EE3E81" w14:textId="77777777" w:rsidR="00A36949" w:rsidRPr="00EA5563" w:rsidRDefault="00A36949" w:rsidP="00A36949">
      <w:pPr>
        <w:pStyle w:val="ListParagraph"/>
        <w:numPr>
          <w:ilvl w:val="0"/>
          <w:numId w:val="18"/>
        </w:numPr>
        <w:rPr>
          <w:rFonts w:cs="Arial"/>
          <w:bCs/>
          <w:szCs w:val="20"/>
        </w:rPr>
      </w:pPr>
      <w:r w:rsidRPr="00EA5563">
        <w:rPr>
          <w:rFonts w:cs="Arial"/>
          <w:bCs/>
          <w:szCs w:val="20"/>
        </w:rPr>
        <w:t xml:space="preserve">Must meet </w:t>
      </w:r>
      <w:proofErr w:type="gramStart"/>
      <w:r w:rsidRPr="00EA5563">
        <w:rPr>
          <w:rFonts w:cs="Arial"/>
          <w:bCs/>
          <w:szCs w:val="20"/>
        </w:rPr>
        <w:t>all of</w:t>
      </w:r>
      <w:proofErr w:type="gramEnd"/>
      <w:r w:rsidRPr="00EA5563">
        <w:rPr>
          <w:rFonts w:cs="Arial"/>
          <w:bCs/>
          <w:szCs w:val="20"/>
        </w:rPr>
        <w:t xml:space="preserve"> the following:</w:t>
      </w:r>
    </w:p>
    <w:p w14:paraId="0EE0AE69" w14:textId="77777777" w:rsidR="00A36949" w:rsidRPr="00EA5563" w:rsidRDefault="00A36949" w:rsidP="00A36949">
      <w:pPr>
        <w:pStyle w:val="ListParagraph"/>
        <w:numPr>
          <w:ilvl w:val="1"/>
          <w:numId w:val="16"/>
        </w:numPr>
        <w:ind w:left="720"/>
        <w:rPr>
          <w:rFonts w:cs="Arial"/>
          <w:bCs/>
          <w:szCs w:val="20"/>
        </w:rPr>
      </w:pPr>
      <w:r>
        <w:rPr>
          <w:rFonts w:cs="Arial"/>
          <w:bCs/>
          <w:szCs w:val="20"/>
        </w:rPr>
        <w:t xml:space="preserve">Documentation of increase in AGV ≥ 1.0 cm/year from baseline; </w:t>
      </w:r>
      <w:r w:rsidRPr="00EA5563">
        <w:rPr>
          <w:rFonts w:cs="Arial"/>
          <w:b/>
          <w:szCs w:val="20"/>
        </w:rPr>
        <w:t>AND</w:t>
      </w:r>
    </w:p>
    <w:p w14:paraId="5C8FB9ED" w14:textId="77777777" w:rsidR="00A36949" w:rsidRPr="00EA5563" w:rsidRDefault="00A36949" w:rsidP="00A36949">
      <w:pPr>
        <w:pStyle w:val="ListParagraph"/>
        <w:numPr>
          <w:ilvl w:val="1"/>
          <w:numId w:val="16"/>
        </w:numPr>
        <w:ind w:left="720"/>
        <w:rPr>
          <w:rFonts w:cs="Arial"/>
          <w:bCs/>
          <w:szCs w:val="20"/>
        </w:rPr>
      </w:pPr>
      <w:r>
        <w:rPr>
          <w:rFonts w:cs="Arial"/>
          <w:bCs/>
          <w:szCs w:val="20"/>
        </w:rPr>
        <w:t>Must meet o</w:t>
      </w:r>
      <w:r w:rsidRPr="00EA5563">
        <w:rPr>
          <w:rFonts w:cs="Arial"/>
          <w:bCs/>
          <w:szCs w:val="20"/>
        </w:rPr>
        <w:t>ne of the following:</w:t>
      </w:r>
    </w:p>
    <w:p w14:paraId="10DC9364" w14:textId="77777777" w:rsidR="00A36949" w:rsidRDefault="00A36949" w:rsidP="00A36949">
      <w:pPr>
        <w:pStyle w:val="ListParagraph"/>
        <w:numPr>
          <w:ilvl w:val="2"/>
          <w:numId w:val="16"/>
        </w:numPr>
        <w:ind w:left="1080"/>
        <w:rPr>
          <w:rFonts w:cs="Arial"/>
          <w:bCs/>
          <w:szCs w:val="20"/>
        </w:rPr>
      </w:pPr>
      <w:r>
        <w:rPr>
          <w:rFonts w:cs="Arial"/>
          <w:bCs/>
          <w:szCs w:val="20"/>
        </w:rPr>
        <w:t xml:space="preserve">Male participants aged 15 years or older have recent confirmatory X-ray showing open epiphyses; </w:t>
      </w:r>
      <w:r w:rsidRPr="00510187">
        <w:rPr>
          <w:rFonts w:cs="Arial"/>
          <w:b/>
          <w:szCs w:val="20"/>
        </w:rPr>
        <w:t>OR</w:t>
      </w:r>
    </w:p>
    <w:p w14:paraId="790F1215" w14:textId="77777777" w:rsidR="00A36949" w:rsidRDefault="00A36949" w:rsidP="00A36949">
      <w:pPr>
        <w:pStyle w:val="ListParagraph"/>
        <w:numPr>
          <w:ilvl w:val="2"/>
          <w:numId w:val="16"/>
        </w:numPr>
        <w:ind w:left="1080"/>
        <w:rPr>
          <w:rFonts w:cs="Arial"/>
          <w:bCs/>
          <w:szCs w:val="20"/>
        </w:rPr>
      </w:pPr>
      <w:r>
        <w:rPr>
          <w:rFonts w:cs="Arial"/>
          <w:bCs/>
          <w:szCs w:val="20"/>
        </w:rPr>
        <w:t>Female participants aged 13 years or older have recent confirmatory X-ray showing open epiphyses.</w:t>
      </w:r>
    </w:p>
    <w:p w14:paraId="0B0C0D72" w14:textId="56265AB9" w:rsidR="005328B2" w:rsidRDefault="00A36949" w:rsidP="0064149A">
      <w:pPr>
        <w:pStyle w:val="ListParagraph"/>
        <w:numPr>
          <w:ilvl w:val="0"/>
          <w:numId w:val="16"/>
        </w:numPr>
        <w:rPr>
          <w:rFonts w:cs="Arial"/>
          <w:bCs/>
          <w:szCs w:val="20"/>
        </w:rPr>
      </w:pPr>
      <w:r>
        <w:rPr>
          <w:rFonts w:cs="Arial"/>
          <w:bCs/>
          <w:szCs w:val="20"/>
        </w:rPr>
        <w:t>Continued approval for 1 year</w:t>
      </w:r>
    </w:p>
    <w:p w14:paraId="19382E84" w14:textId="77777777" w:rsidR="00A36949" w:rsidRPr="00A36949" w:rsidRDefault="00A36949" w:rsidP="00A36949">
      <w:pPr>
        <w:pStyle w:val="ListParagraph"/>
        <w:numPr>
          <w:ilvl w:val="0"/>
          <w:numId w:val="0"/>
        </w:numPr>
        <w:ind w:left="360"/>
        <w:rPr>
          <w:rFonts w:cs="Arial"/>
          <w:bCs/>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7694448A" w14:textId="77777777" w:rsidR="006407A0" w:rsidRDefault="006407A0" w:rsidP="006407A0">
      <w:pPr>
        <w:pStyle w:val="ListParagraph"/>
        <w:numPr>
          <w:ilvl w:val="1"/>
          <w:numId w:val="6"/>
        </w:numPr>
        <w:rPr>
          <w:rFonts w:cs="Arial"/>
          <w:noProof/>
          <w:szCs w:val="20"/>
        </w:rPr>
      </w:pPr>
      <w:r>
        <w:rPr>
          <w:rFonts w:cs="Arial"/>
          <w:noProof/>
          <w:szCs w:val="20"/>
        </w:rPr>
        <w:t>Any approval criteria are not met;</w:t>
      </w:r>
    </w:p>
    <w:p w14:paraId="31164DBB" w14:textId="77777777" w:rsidR="006407A0" w:rsidRDefault="006407A0" w:rsidP="006407A0">
      <w:pPr>
        <w:pStyle w:val="ListParagraph"/>
        <w:numPr>
          <w:ilvl w:val="1"/>
          <w:numId w:val="6"/>
        </w:numPr>
        <w:rPr>
          <w:rFonts w:cs="Arial"/>
          <w:noProof/>
          <w:szCs w:val="20"/>
        </w:rPr>
      </w:pPr>
      <w:r>
        <w:rPr>
          <w:rFonts w:cs="Arial"/>
          <w:noProof/>
          <w:szCs w:val="20"/>
        </w:rPr>
        <w:t>Participant has documented Chronic Kidney Disease (CKD) Stage 3, 4, or 5 or End-Stage Renal Disease;</w:t>
      </w:r>
    </w:p>
    <w:p w14:paraId="3FB0D27B" w14:textId="77777777" w:rsidR="006407A0" w:rsidRDefault="006407A0" w:rsidP="006407A0">
      <w:pPr>
        <w:pStyle w:val="ListParagraph"/>
        <w:numPr>
          <w:ilvl w:val="1"/>
          <w:numId w:val="6"/>
        </w:numPr>
        <w:rPr>
          <w:rFonts w:cs="Arial"/>
          <w:noProof/>
          <w:szCs w:val="20"/>
        </w:rPr>
      </w:pPr>
      <w:r>
        <w:rPr>
          <w:rFonts w:cs="Arial"/>
          <w:noProof/>
          <w:szCs w:val="20"/>
        </w:rPr>
        <w:t xml:space="preserve">Participant is currently pregnant; </w:t>
      </w:r>
      <w:r w:rsidRPr="00751C00">
        <w:rPr>
          <w:rFonts w:cs="Arial"/>
          <w:b/>
          <w:bCs/>
          <w:noProof/>
          <w:szCs w:val="20"/>
        </w:rPr>
        <w:t>OR</w:t>
      </w:r>
    </w:p>
    <w:p w14:paraId="7D878076" w14:textId="77777777" w:rsidR="006407A0" w:rsidRPr="006919D7" w:rsidRDefault="006407A0" w:rsidP="006407A0">
      <w:pPr>
        <w:pStyle w:val="ListParagraph"/>
        <w:numPr>
          <w:ilvl w:val="1"/>
          <w:numId w:val="6"/>
        </w:numPr>
        <w:tabs>
          <w:tab w:val="left" w:pos="5195"/>
        </w:tabs>
        <w:rPr>
          <w:rFonts w:cs="Arial"/>
          <w:noProof/>
          <w:szCs w:val="20"/>
        </w:rPr>
      </w:pPr>
      <w:r w:rsidRPr="006919D7">
        <w:rPr>
          <w:rFonts w:cs="Arial"/>
        </w:rPr>
        <w:t>Claim exceeds maximum dosing limitation for the following:</w:t>
      </w:r>
    </w:p>
    <w:tbl>
      <w:tblPr>
        <w:tblStyle w:val="TableGrid"/>
        <w:tblW w:w="8365" w:type="dxa"/>
        <w:jc w:val="center"/>
        <w:tblLook w:val="04A0" w:firstRow="1" w:lastRow="0" w:firstColumn="1" w:lastColumn="0" w:noHBand="0" w:noVBand="1"/>
      </w:tblPr>
      <w:tblGrid>
        <w:gridCol w:w="3716"/>
        <w:gridCol w:w="2224"/>
        <w:gridCol w:w="2425"/>
      </w:tblGrid>
      <w:tr w:rsidR="006407A0" w:rsidRPr="00BE5FF0" w14:paraId="7C92820E" w14:textId="77777777" w:rsidTr="00256BFD">
        <w:trPr>
          <w:jc w:val="center"/>
        </w:trPr>
        <w:tc>
          <w:tcPr>
            <w:tcW w:w="3716" w:type="dxa"/>
            <w:shd w:val="clear" w:color="auto" w:fill="FABF8F" w:themeFill="accent6" w:themeFillTint="99"/>
            <w:vAlign w:val="bottom"/>
          </w:tcPr>
          <w:p w14:paraId="52582F85" w14:textId="77777777" w:rsidR="006407A0" w:rsidRPr="00CC6CAE" w:rsidRDefault="006407A0" w:rsidP="00256BFD">
            <w:pPr>
              <w:rPr>
                <w:rFonts w:cs="Arial"/>
                <w:b/>
                <w:szCs w:val="20"/>
              </w:rPr>
            </w:pPr>
            <w:r w:rsidRPr="00CC6CAE">
              <w:rPr>
                <w:rFonts w:cs="Arial"/>
                <w:b/>
                <w:szCs w:val="20"/>
              </w:rPr>
              <w:t>Drug Description</w:t>
            </w:r>
          </w:p>
        </w:tc>
        <w:tc>
          <w:tcPr>
            <w:tcW w:w="2224" w:type="dxa"/>
            <w:shd w:val="clear" w:color="auto" w:fill="FABF8F" w:themeFill="accent6" w:themeFillTint="99"/>
            <w:vAlign w:val="bottom"/>
          </w:tcPr>
          <w:p w14:paraId="1C23D683" w14:textId="77777777" w:rsidR="006407A0" w:rsidRPr="00CC6CAE" w:rsidRDefault="006407A0" w:rsidP="00256BFD">
            <w:pPr>
              <w:rPr>
                <w:rFonts w:cs="Arial"/>
                <w:b/>
                <w:szCs w:val="20"/>
              </w:rPr>
            </w:pPr>
            <w:r w:rsidRPr="00CC6CAE">
              <w:rPr>
                <w:rFonts w:cs="Arial"/>
                <w:b/>
                <w:szCs w:val="20"/>
              </w:rPr>
              <w:t>Generic Equivalent</w:t>
            </w:r>
          </w:p>
        </w:tc>
        <w:tc>
          <w:tcPr>
            <w:tcW w:w="2425" w:type="dxa"/>
            <w:shd w:val="clear" w:color="auto" w:fill="FABF8F" w:themeFill="accent6" w:themeFillTint="99"/>
          </w:tcPr>
          <w:p w14:paraId="25E92739" w14:textId="77777777" w:rsidR="006407A0" w:rsidRPr="00CC6CAE" w:rsidRDefault="006407A0" w:rsidP="00256BFD">
            <w:pPr>
              <w:rPr>
                <w:rFonts w:cs="Arial"/>
                <w:b/>
                <w:szCs w:val="20"/>
              </w:rPr>
            </w:pPr>
            <w:r w:rsidRPr="00CC6CAE">
              <w:rPr>
                <w:rFonts w:cs="Arial"/>
                <w:b/>
                <w:szCs w:val="20"/>
              </w:rPr>
              <w:t>Max Dosing Limitation</w:t>
            </w:r>
          </w:p>
        </w:tc>
      </w:tr>
      <w:tr w:rsidR="006407A0" w:rsidRPr="00BE5FF0" w14:paraId="56B2395B" w14:textId="77777777" w:rsidTr="00256BFD">
        <w:trPr>
          <w:jc w:val="center"/>
        </w:trPr>
        <w:tc>
          <w:tcPr>
            <w:tcW w:w="3716" w:type="dxa"/>
            <w:tcBorders>
              <w:top w:val="single" w:sz="4" w:space="0" w:color="auto"/>
              <w:left w:val="single" w:sz="4" w:space="0" w:color="auto"/>
              <w:bottom w:val="single" w:sz="4" w:space="0" w:color="auto"/>
              <w:right w:val="single" w:sz="4" w:space="0" w:color="auto"/>
            </w:tcBorders>
            <w:vAlign w:val="center"/>
          </w:tcPr>
          <w:p w14:paraId="1B9456D0" w14:textId="77777777" w:rsidR="006407A0" w:rsidRPr="0004224C" w:rsidRDefault="006407A0" w:rsidP="00256BFD">
            <w:pPr>
              <w:rPr>
                <w:rFonts w:cs="Arial"/>
                <w:szCs w:val="20"/>
              </w:rPr>
            </w:pPr>
            <w:r>
              <w:rPr>
                <w:rFonts w:cs="Arial"/>
                <w:spacing w:val="-3"/>
                <w:szCs w:val="20"/>
              </w:rPr>
              <w:t>VOXZOGO 0.4 MG VIAL</w:t>
            </w:r>
          </w:p>
        </w:tc>
        <w:tc>
          <w:tcPr>
            <w:tcW w:w="2224" w:type="dxa"/>
            <w:vAlign w:val="bottom"/>
          </w:tcPr>
          <w:p w14:paraId="24D329A1" w14:textId="77777777" w:rsidR="006407A0" w:rsidRPr="0004224C" w:rsidRDefault="006407A0" w:rsidP="00256BFD">
            <w:pPr>
              <w:rPr>
                <w:rFonts w:cs="Arial"/>
                <w:caps/>
                <w:szCs w:val="20"/>
              </w:rPr>
            </w:pPr>
            <w:r>
              <w:rPr>
                <w:rFonts w:cs="Arial"/>
                <w:caps/>
                <w:szCs w:val="20"/>
              </w:rPr>
              <w:t>VOSORITIDE</w:t>
            </w:r>
          </w:p>
        </w:tc>
        <w:tc>
          <w:tcPr>
            <w:tcW w:w="2425" w:type="dxa"/>
            <w:vAlign w:val="bottom"/>
          </w:tcPr>
          <w:p w14:paraId="53F0C494" w14:textId="77777777" w:rsidR="006407A0" w:rsidRPr="0004224C" w:rsidRDefault="006407A0" w:rsidP="00256BFD">
            <w:pPr>
              <w:rPr>
                <w:rFonts w:cs="Arial"/>
                <w:szCs w:val="20"/>
              </w:rPr>
            </w:pPr>
            <w:r>
              <w:rPr>
                <w:rFonts w:cs="Arial"/>
                <w:szCs w:val="20"/>
              </w:rPr>
              <w:t>1 vial per day</w:t>
            </w:r>
          </w:p>
        </w:tc>
      </w:tr>
      <w:tr w:rsidR="006407A0" w:rsidRPr="00BE5FF0" w14:paraId="1FD9182C" w14:textId="77777777" w:rsidTr="00256BFD">
        <w:trPr>
          <w:jc w:val="center"/>
        </w:trPr>
        <w:tc>
          <w:tcPr>
            <w:tcW w:w="3716" w:type="dxa"/>
            <w:tcBorders>
              <w:top w:val="single" w:sz="4" w:space="0" w:color="auto"/>
              <w:left w:val="single" w:sz="4" w:space="0" w:color="auto"/>
              <w:bottom w:val="single" w:sz="4" w:space="0" w:color="auto"/>
              <w:right w:val="single" w:sz="4" w:space="0" w:color="auto"/>
            </w:tcBorders>
            <w:vAlign w:val="center"/>
          </w:tcPr>
          <w:p w14:paraId="0E4F3EDD" w14:textId="77777777" w:rsidR="006407A0" w:rsidRPr="0004224C" w:rsidRDefault="006407A0" w:rsidP="00256BFD">
            <w:pPr>
              <w:rPr>
                <w:rFonts w:cs="Arial"/>
                <w:szCs w:val="20"/>
              </w:rPr>
            </w:pPr>
            <w:r>
              <w:rPr>
                <w:rFonts w:cs="Arial"/>
                <w:spacing w:val="-3"/>
                <w:szCs w:val="20"/>
              </w:rPr>
              <w:t>VOXZOGO 0.56 MG VIAL</w:t>
            </w:r>
          </w:p>
        </w:tc>
        <w:tc>
          <w:tcPr>
            <w:tcW w:w="2224" w:type="dxa"/>
          </w:tcPr>
          <w:p w14:paraId="112B5FDB" w14:textId="77777777" w:rsidR="006407A0" w:rsidRPr="0004224C" w:rsidRDefault="006407A0" w:rsidP="00256BFD">
            <w:pPr>
              <w:rPr>
                <w:rFonts w:cs="Arial"/>
                <w:caps/>
                <w:szCs w:val="20"/>
              </w:rPr>
            </w:pPr>
            <w:r w:rsidRPr="000E1C0E">
              <w:rPr>
                <w:rFonts w:cs="Arial"/>
                <w:caps/>
                <w:szCs w:val="20"/>
              </w:rPr>
              <w:t>VOSORITIDE</w:t>
            </w:r>
          </w:p>
        </w:tc>
        <w:tc>
          <w:tcPr>
            <w:tcW w:w="2425" w:type="dxa"/>
          </w:tcPr>
          <w:p w14:paraId="4809178B" w14:textId="77777777" w:rsidR="006407A0" w:rsidRPr="0004224C" w:rsidRDefault="006407A0" w:rsidP="00256BFD">
            <w:pPr>
              <w:rPr>
                <w:rFonts w:cs="Arial"/>
                <w:szCs w:val="20"/>
              </w:rPr>
            </w:pPr>
            <w:r w:rsidRPr="00AD2649">
              <w:rPr>
                <w:rFonts w:cs="Arial"/>
                <w:szCs w:val="20"/>
              </w:rPr>
              <w:t>1 vial per day</w:t>
            </w:r>
          </w:p>
        </w:tc>
      </w:tr>
      <w:tr w:rsidR="006407A0" w:rsidRPr="00BE5FF0" w14:paraId="796D1AF8" w14:textId="77777777" w:rsidTr="00256BFD">
        <w:trPr>
          <w:jc w:val="center"/>
        </w:trPr>
        <w:tc>
          <w:tcPr>
            <w:tcW w:w="3716" w:type="dxa"/>
            <w:tcBorders>
              <w:top w:val="single" w:sz="4" w:space="0" w:color="auto"/>
              <w:left w:val="single" w:sz="4" w:space="0" w:color="auto"/>
              <w:bottom w:val="single" w:sz="4" w:space="0" w:color="auto"/>
              <w:right w:val="single" w:sz="4" w:space="0" w:color="auto"/>
            </w:tcBorders>
            <w:vAlign w:val="center"/>
          </w:tcPr>
          <w:p w14:paraId="6681204E" w14:textId="77777777" w:rsidR="006407A0" w:rsidRPr="0004224C" w:rsidRDefault="006407A0" w:rsidP="00256BFD">
            <w:pPr>
              <w:rPr>
                <w:rFonts w:cs="Arial"/>
                <w:szCs w:val="20"/>
              </w:rPr>
            </w:pPr>
            <w:r>
              <w:rPr>
                <w:rFonts w:cs="Arial"/>
                <w:spacing w:val="-3"/>
                <w:szCs w:val="20"/>
              </w:rPr>
              <w:t>VOXZOGO 1.2 MG VIAL</w:t>
            </w:r>
          </w:p>
        </w:tc>
        <w:tc>
          <w:tcPr>
            <w:tcW w:w="2224" w:type="dxa"/>
          </w:tcPr>
          <w:p w14:paraId="02C145C1" w14:textId="77777777" w:rsidR="006407A0" w:rsidRPr="0004224C" w:rsidRDefault="006407A0" w:rsidP="00256BFD">
            <w:pPr>
              <w:rPr>
                <w:rFonts w:cs="Arial"/>
                <w:caps/>
                <w:szCs w:val="20"/>
              </w:rPr>
            </w:pPr>
            <w:r w:rsidRPr="000E1C0E">
              <w:rPr>
                <w:rFonts w:cs="Arial"/>
                <w:caps/>
                <w:szCs w:val="20"/>
              </w:rPr>
              <w:t>VOSORITIDE</w:t>
            </w:r>
          </w:p>
        </w:tc>
        <w:tc>
          <w:tcPr>
            <w:tcW w:w="2425" w:type="dxa"/>
          </w:tcPr>
          <w:p w14:paraId="4B9DA26D" w14:textId="77777777" w:rsidR="006407A0" w:rsidRPr="0004224C" w:rsidRDefault="006407A0" w:rsidP="00256BFD">
            <w:pPr>
              <w:rPr>
                <w:rFonts w:cs="Arial"/>
                <w:szCs w:val="20"/>
              </w:rPr>
            </w:pPr>
            <w:r w:rsidRPr="00AD2649">
              <w:rPr>
                <w:rFonts w:cs="Arial"/>
                <w:szCs w:val="20"/>
              </w:rPr>
              <w:t>1 vial per day</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4EC0BC7" w14:textId="77777777" w:rsidR="00C455F6" w:rsidRDefault="00C455F6" w:rsidP="00C455F6">
      <w:pPr>
        <w:pStyle w:val="ListParagraph"/>
      </w:pPr>
      <w:r>
        <w:t>Voxzogo (vosoritide) [prescribing information]. Novato, CA: BioMarin Pharmaceutical Inc; November 2024.</w:t>
      </w:r>
    </w:p>
    <w:p w14:paraId="4E8CB59F" w14:textId="77777777" w:rsidR="00C455F6" w:rsidRDefault="00C455F6" w:rsidP="00C455F6">
      <w:pPr>
        <w:pStyle w:val="ListParagraph"/>
      </w:pPr>
      <w:r>
        <w:t>IPD Analytics: New Drug Review: Voxzogo (vosoritide). Accessed December 8, 2021.</w:t>
      </w:r>
    </w:p>
    <w:p w14:paraId="072076EC" w14:textId="39737793" w:rsidR="00C455F6" w:rsidRDefault="00C455F6" w:rsidP="00C455F6">
      <w:pPr>
        <w:pStyle w:val="ListParagraph"/>
      </w:pPr>
      <w:r>
        <w:t xml:space="preserve">National Institute of Health (NIH). Genetic and Rare Diseases Information Center (GARD): Achondroplasia. https://rarediseases.info.nih.gov/diseases/8173/achondroplasia. Accessed: </w:t>
      </w:r>
      <w:r w:rsidR="00BA0A1E">
        <w:t>March 3, 2026</w:t>
      </w:r>
      <w:r>
        <w:t>.</w:t>
      </w:r>
    </w:p>
    <w:p w14:paraId="037EED44" w14:textId="691388AB" w:rsidR="00C455F6" w:rsidRDefault="00C455F6" w:rsidP="00BA0A1E">
      <w:pPr>
        <w:pStyle w:val="ListParagraph"/>
      </w:pPr>
      <w:r>
        <w:lastRenderedPageBreak/>
        <w:t>Zhou S, Pauli R M. Achondroplasia. National Organization for Rare Disorders (NORD). https://rarediseases.org/rare-diseases/achondroplasia/. Updated 20</w:t>
      </w:r>
      <w:r w:rsidR="00FA4EBB">
        <w:t>23</w:t>
      </w:r>
      <w:r>
        <w:t xml:space="preserve">. </w:t>
      </w:r>
      <w:r w:rsidR="00BA0A1E">
        <w:t>Accessed: March 3, 2026.</w:t>
      </w:r>
    </w:p>
    <w:p w14:paraId="3760FFA7" w14:textId="191EAE2F" w:rsidR="00C455F6" w:rsidRDefault="00C455F6" w:rsidP="00C455F6">
      <w:pPr>
        <w:pStyle w:val="ListParagraph"/>
      </w:pPr>
      <w:r>
        <w:t xml:space="preserve">MedlinePlus. Achondroplasia. https://medlineplus.gov/genetics/condition/achondroplasia/. Accessed </w:t>
      </w:r>
      <w:r w:rsidR="00FA4EBB">
        <w:t>March 3, 2026</w:t>
      </w:r>
      <w:r>
        <w:t>.</w:t>
      </w:r>
    </w:p>
    <w:p w14:paraId="1F3C7B1E" w14:textId="14C9EF12" w:rsidR="00C455F6" w:rsidRDefault="00C455F6" w:rsidP="00C455F6">
      <w:pPr>
        <w:pStyle w:val="ListParagraph"/>
      </w:pPr>
      <w:r>
        <w:t xml:space="preserve">NIH. A study to Evaluate the Efficacy and Safety of BMN 111 in Children with Achondroplasia. https://clinicaltrials.gov/ct2/show/study/NCT03197766. Accessed: </w:t>
      </w:r>
      <w:r w:rsidR="00905DB4">
        <w:t>March 3, 2026</w:t>
      </w:r>
      <w:r>
        <w:t>.</w:t>
      </w:r>
    </w:p>
    <w:p w14:paraId="3FA1E7DB" w14:textId="3CA6F140" w:rsidR="00777CA4" w:rsidRDefault="00C455F6" w:rsidP="00C455F6">
      <w:pPr>
        <w:pStyle w:val="ListParagraph"/>
      </w:pPr>
      <w:r>
        <w:t>Johns Hopkins Medicine. Growth Plate Fractures. https://www.hopkinsallchildrens.org/Patients-Families/Health-Library/HealthDocNew/Growth-Plate-Injuries. Accessed January 24, 2023.</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1BEF" w14:textId="77777777" w:rsidR="00CA139E" w:rsidRPr="00C02553" w:rsidRDefault="00CA139E" w:rsidP="00AE77DB">
      <w:r w:rsidRPr="00C02553">
        <w:separator/>
      </w:r>
    </w:p>
  </w:endnote>
  <w:endnote w:type="continuationSeparator" w:id="0">
    <w:p w14:paraId="7D8E12FA" w14:textId="77777777" w:rsidR="00CA139E" w:rsidRPr="00C02553" w:rsidRDefault="00CA139E" w:rsidP="00AE77DB">
      <w:r w:rsidRPr="00C02553">
        <w:continuationSeparator/>
      </w:r>
    </w:p>
  </w:endnote>
  <w:endnote w:type="continuationNotice" w:id="1">
    <w:p w14:paraId="61F11D55" w14:textId="77777777" w:rsidR="00CA139E" w:rsidRPr="00C02553" w:rsidRDefault="00CA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46B5" w14:textId="77777777" w:rsidR="00CA139E" w:rsidRPr="00C02553" w:rsidRDefault="00CA139E" w:rsidP="00AE77DB">
      <w:r w:rsidRPr="00C02553">
        <w:separator/>
      </w:r>
    </w:p>
  </w:footnote>
  <w:footnote w:type="continuationSeparator" w:id="0">
    <w:p w14:paraId="1D0BBD7C" w14:textId="77777777" w:rsidR="00CA139E" w:rsidRPr="00C02553" w:rsidRDefault="00CA139E" w:rsidP="00AE77DB">
      <w:r w:rsidRPr="00C02553">
        <w:continuationSeparator/>
      </w:r>
    </w:p>
  </w:footnote>
  <w:footnote w:type="continuationNotice" w:id="1">
    <w:p w14:paraId="166A0DCB" w14:textId="77777777" w:rsidR="00CA139E" w:rsidRPr="00C02553" w:rsidRDefault="00CA1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F80B6E">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F80B6E">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F80B6E">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2761E"/>
    <w:multiLevelType w:val="hybridMultilevel"/>
    <w:tmpl w:val="53706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346226"/>
    <w:multiLevelType w:val="hybridMultilevel"/>
    <w:tmpl w:val="2C6EE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6E52BF"/>
    <w:multiLevelType w:val="hybridMultilevel"/>
    <w:tmpl w:val="7742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9"/>
  </w:num>
  <w:num w:numId="11" w16cid:durableId="1894998475">
    <w:abstractNumId w:val="1"/>
  </w:num>
  <w:num w:numId="12" w16cid:durableId="1418215296">
    <w:abstractNumId w:val="16"/>
  </w:num>
  <w:num w:numId="13" w16cid:durableId="604729665">
    <w:abstractNumId w:val="5"/>
  </w:num>
  <w:num w:numId="14" w16cid:durableId="1805081292">
    <w:abstractNumId w:val="13"/>
  </w:num>
  <w:num w:numId="15" w16cid:durableId="1911186802">
    <w:abstractNumId w:val="6"/>
  </w:num>
  <w:num w:numId="16" w16cid:durableId="957640221">
    <w:abstractNumId w:val="11"/>
  </w:num>
  <w:num w:numId="17" w16cid:durableId="749886191">
    <w:abstractNumId w:val="10"/>
  </w:num>
  <w:num w:numId="18" w16cid:durableId="2089568112">
    <w:abstractNumId w:val="15"/>
  </w:num>
  <w:num w:numId="19" w16cid:durableId="84444302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V+cUGS7uiOt2Lw9ZRgZy4CLuyfDXsAPBvAHK9NJWrZU4B6E3t7K5C4RIxyhe2jtXXiWTMAqyOkKH59PxG3z5DA==" w:salt="Cg8YD+fyi7fIjb9fREVrk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6DD0"/>
    <w:rsid w:val="00017CBA"/>
    <w:rsid w:val="000276D9"/>
    <w:rsid w:val="000344C5"/>
    <w:rsid w:val="00040AD3"/>
    <w:rsid w:val="0004444F"/>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D1438"/>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275B5"/>
    <w:rsid w:val="00246564"/>
    <w:rsid w:val="00246A3B"/>
    <w:rsid w:val="0024723F"/>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28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B7EBB"/>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21B9"/>
    <w:rsid w:val="004D5322"/>
    <w:rsid w:val="004D78B0"/>
    <w:rsid w:val="004E52F4"/>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04D9"/>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E4E76"/>
    <w:rsid w:val="005F0A81"/>
    <w:rsid w:val="005F0FCF"/>
    <w:rsid w:val="005F6104"/>
    <w:rsid w:val="0060042F"/>
    <w:rsid w:val="006008BC"/>
    <w:rsid w:val="00602CFD"/>
    <w:rsid w:val="00606B55"/>
    <w:rsid w:val="00611E4A"/>
    <w:rsid w:val="00612A7B"/>
    <w:rsid w:val="00616E5E"/>
    <w:rsid w:val="006173A4"/>
    <w:rsid w:val="006205AD"/>
    <w:rsid w:val="00625C3A"/>
    <w:rsid w:val="00635DDB"/>
    <w:rsid w:val="006407A0"/>
    <w:rsid w:val="0064149A"/>
    <w:rsid w:val="00646DFE"/>
    <w:rsid w:val="00650530"/>
    <w:rsid w:val="00650C96"/>
    <w:rsid w:val="00653788"/>
    <w:rsid w:val="0065477F"/>
    <w:rsid w:val="00656896"/>
    <w:rsid w:val="00661656"/>
    <w:rsid w:val="0066374F"/>
    <w:rsid w:val="006640AB"/>
    <w:rsid w:val="00677C65"/>
    <w:rsid w:val="00693152"/>
    <w:rsid w:val="00694FAE"/>
    <w:rsid w:val="00696E3A"/>
    <w:rsid w:val="006A0834"/>
    <w:rsid w:val="006A4BBD"/>
    <w:rsid w:val="006A52F1"/>
    <w:rsid w:val="006B561D"/>
    <w:rsid w:val="006B6D5D"/>
    <w:rsid w:val="006D086E"/>
    <w:rsid w:val="006D2330"/>
    <w:rsid w:val="006E0F8B"/>
    <w:rsid w:val="006E12F7"/>
    <w:rsid w:val="006E29D7"/>
    <w:rsid w:val="007068A4"/>
    <w:rsid w:val="00706D67"/>
    <w:rsid w:val="00713052"/>
    <w:rsid w:val="00716E8D"/>
    <w:rsid w:val="00721367"/>
    <w:rsid w:val="00721591"/>
    <w:rsid w:val="007231FA"/>
    <w:rsid w:val="007319D6"/>
    <w:rsid w:val="00732C67"/>
    <w:rsid w:val="00734418"/>
    <w:rsid w:val="007560DC"/>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36CD1"/>
    <w:rsid w:val="00846FA4"/>
    <w:rsid w:val="008524BA"/>
    <w:rsid w:val="00852B74"/>
    <w:rsid w:val="00856928"/>
    <w:rsid w:val="00865538"/>
    <w:rsid w:val="00870875"/>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05DB4"/>
    <w:rsid w:val="00915332"/>
    <w:rsid w:val="009204BB"/>
    <w:rsid w:val="00935918"/>
    <w:rsid w:val="00935EC3"/>
    <w:rsid w:val="00951097"/>
    <w:rsid w:val="00953C1E"/>
    <w:rsid w:val="00956C41"/>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28FE"/>
    <w:rsid w:val="00A13266"/>
    <w:rsid w:val="00A14FA6"/>
    <w:rsid w:val="00A15D64"/>
    <w:rsid w:val="00A20575"/>
    <w:rsid w:val="00A32452"/>
    <w:rsid w:val="00A325CC"/>
    <w:rsid w:val="00A32BBF"/>
    <w:rsid w:val="00A36949"/>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EDC"/>
    <w:rsid w:val="00B00FFF"/>
    <w:rsid w:val="00B06084"/>
    <w:rsid w:val="00B16735"/>
    <w:rsid w:val="00B17EDE"/>
    <w:rsid w:val="00B2165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1482"/>
    <w:rsid w:val="00B86372"/>
    <w:rsid w:val="00BA0A1E"/>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455F6"/>
    <w:rsid w:val="00C56B1F"/>
    <w:rsid w:val="00C61B52"/>
    <w:rsid w:val="00C62745"/>
    <w:rsid w:val="00C654CA"/>
    <w:rsid w:val="00C763BD"/>
    <w:rsid w:val="00C779A8"/>
    <w:rsid w:val="00C82E19"/>
    <w:rsid w:val="00C96873"/>
    <w:rsid w:val="00CA139E"/>
    <w:rsid w:val="00CA1735"/>
    <w:rsid w:val="00CA207E"/>
    <w:rsid w:val="00CA3C4B"/>
    <w:rsid w:val="00CA7252"/>
    <w:rsid w:val="00CB2C5A"/>
    <w:rsid w:val="00CB6680"/>
    <w:rsid w:val="00CD4CA0"/>
    <w:rsid w:val="00CE0C1C"/>
    <w:rsid w:val="00CE34AF"/>
    <w:rsid w:val="00CF00A4"/>
    <w:rsid w:val="00CF25FB"/>
    <w:rsid w:val="00CF614C"/>
    <w:rsid w:val="00D016B1"/>
    <w:rsid w:val="00D02F34"/>
    <w:rsid w:val="00D12BD1"/>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95E68"/>
    <w:rsid w:val="00DA3A0F"/>
    <w:rsid w:val="00DA4E62"/>
    <w:rsid w:val="00DA6990"/>
    <w:rsid w:val="00DB27BA"/>
    <w:rsid w:val="00DB3009"/>
    <w:rsid w:val="00DB337A"/>
    <w:rsid w:val="00DC034A"/>
    <w:rsid w:val="00DC0D5A"/>
    <w:rsid w:val="00DC51CB"/>
    <w:rsid w:val="00DD4819"/>
    <w:rsid w:val="00DD4B8A"/>
    <w:rsid w:val="00DD5403"/>
    <w:rsid w:val="00DE1388"/>
    <w:rsid w:val="00DE7501"/>
    <w:rsid w:val="00DF3146"/>
    <w:rsid w:val="00DF57C3"/>
    <w:rsid w:val="00E008D9"/>
    <w:rsid w:val="00E02FE0"/>
    <w:rsid w:val="00E07ABE"/>
    <w:rsid w:val="00E11A3F"/>
    <w:rsid w:val="00E1386E"/>
    <w:rsid w:val="00E14FE6"/>
    <w:rsid w:val="00E2369B"/>
    <w:rsid w:val="00E23EC0"/>
    <w:rsid w:val="00E354AA"/>
    <w:rsid w:val="00E43D54"/>
    <w:rsid w:val="00E442FB"/>
    <w:rsid w:val="00E529DB"/>
    <w:rsid w:val="00E53A5E"/>
    <w:rsid w:val="00E620B2"/>
    <w:rsid w:val="00E6466A"/>
    <w:rsid w:val="00E72221"/>
    <w:rsid w:val="00E81B96"/>
    <w:rsid w:val="00E83428"/>
    <w:rsid w:val="00E84C58"/>
    <w:rsid w:val="00E873A5"/>
    <w:rsid w:val="00E90D11"/>
    <w:rsid w:val="00E915E5"/>
    <w:rsid w:val="00EA1606"/>
    <w:rsid w:val="00EB0367"/>
    <w:rsid w:val="00EB4FB9"/>
    <w:rsid w:val="00EB5BC8"/>
    <w:rsid w:val="00EC2738"/>
    <w:rsid w:val="00ED0709"/>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377"/>
    <w:rsid w:val="00F50C4B"/>
    <w:rsid w:val="00F54C08"/>
    <w:rsid w:val="00F553A2"/>
    <w:rsid w:val="00F6068C"/>
    <w:rsid w:val="00F62F33"/>
    <w:rsid w:val="00F634C1"/>
    <w:rsid w:val="00F63A52"/>
    <w:rsid w:val="00F730BA"/>
    <w:rsid w:val="00F80B6E"/>
    <w:rsid w:val="00F87CCE"/>
    <w:rsid w:val="00F903BE"/>
    <w:rsid w:val="00F95D04"/>
    <w:rsid w:val="00FA16EC"/>
    <w:rsid w:val="00FA2811"/>
    <w:rsid w:val="00FA4837"/>
    <w:rsid w:val="00FA4EBB"/>
    <w:rsid w:val="00FB1D33"/>
    <w:rsid w:val="00FB5E96"/>
    <w:rsid w:val="00FC05A0"/>
    <w:rsid w:val="00FC6758"/>
    <w:rsid w:val="00FC699A"/>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2275B5"/>
    <w:rPr>
      <w:sz w:val="16"/>
      <w:szCs w:val="16"/>
    </w:rPr>
  </w:style>
  <w:style w:type="paragraph" w:styleId="CommentSubject">
    <w:name w:val="annotation subject"/>
    <w:basedOn w:val="CommentText"/>
    <w:next w:val="CommentText"/>
    <w:link w:val="CommentSubjectChar"/>
    <w:uiPriority w:val="99"/>
    <w:semiHidden/>
    <w:unhideWhenUsed/>
    <w:rsid w:val="002275B5"/>
    <w:rPr>
      <w:b/>
      <w:bCs/>
    </w:rPr>
  </w:style>
  <w:style w:type="character" w:customStyle="1" w:styleId="CommentTextChar">
    <w:name w:val="Comment Text Char"/>
    <w:basedOn w:val="DefaultParagraphFont"/>
    <w:link w:val="CommentText"/>
    <w:semiHidden/>
    <w:rsid w:val="002275B5"/>
    <w:rPr>
      <w:rFonts w:ascii="Arial" w:hAnsi="Arial"/>
    </w:rPr>
  </w:style>
  <w:style w:type="character" w:customStyle="1" w:styleId="CommentSubjectChar">
    <w:name w:val="Comment Subject Char"/>
    <w:basedOn w:val="CommentTextChar"/>
    <w:link w:val="CommentSubject"/>
    <w:uiPriority w:val="99"/>
    <w:semiHidden/>
    <w:rsid w:val="002275B5"/>
    <w:rPr>
      <w:rFonts w:ascii="Arial" w:hAnsi="Arial"/>
      <w:b/>
      <w:bCs/>
    </w:rPr>
  </w:style>
  <w:style w:type="paragraph" w:styleId="Revision">
    <w:name w:val="Revision"/>
    <w:hidden/>
    <w:uiPriority w:val="99"/>
    <w:semiHidden/>
    <w:rsid w:val="00B216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2107DB3A-F128-4F0E-83F2-C29C4EAB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637</Words>
  <Characters>3982</Characters>
  <Application>Microsoft Office Word</Application>
  <DocSecurity>10</DocSecurity>
  <Lines>33</Lines>
  <Paragraphs>9</Paragraphs>
  <ScaleCrop>false</ScaleCrop>
  <HeadingPairs>
    <vt:vector size="2" baseType="variant">
      <vt:variant>
        <vt:lpstr>Title</vt:lpstr>
      </vt:variant>
      <vt:variant>
        <vt:i4>1</vt:i4>
      </vt:variant>
    </vt:vector>
  </HeadingPairs>
  <TitlesOfParts>
    <vt:vector size="1" baseType="lpstr">
      <vt:lpstr>Voxzogo CE</vt:lpstr>
    </vt:vector>
  </TitlesOfParts>
  <Company>DSS</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Voxzogo CE</dc:title>
  <dc:subject/>
  <dc:creator>DMS</dc:creator>
  <cp:keywords/>
  <cp:lastModifiedBy>Heriford, Katherine</cp:lastModifiedBy>
  <cp:revision>47</cp:revision>
  <cp:lastPrinted>2018-10-31T18:17:00Z</cp:lastPrinted>
  <dcterms:created xsi:type="dcterms:W3CDTF">2025-11-19T15:39:00Z</dcterms:created>
  <dcterms:modified xsi:type="dcterms:W3CDTF">2026-04-02T22:26:00Z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