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0DD5" w14:textId="77777777" w:rsidR="007C660E" w:rsidRDefault="007C660E" w:rsidP="007C660E">
      <w:pPr>
        <w:pStyle w:val="Heading1"/>
        <w:sectPr w:rsidR="007C660E" w:rsidSect="004C1EC6">
          <w:headerReference w:type="default" r:id="rId8"/>
          <w:footerReference w:type="default" r:id="rId9"/>
          <w:pgSz w:w="12240" w:h="15840" w:code="1"/>
          <w:pgMar w:top="1080" w:right="1080" w:bottom="1080" w:left="1080" w:header="720" w:footer="720" w:gutter="0"/>
          <w:pgNumType w:fmt="lowerRoman" w:start="1"/>
          <w:cols w:space="720"/>
          <w:docGrid w:linePitch="360"/>
        </w:sectPr>
      </w:pPr>
      <w:bookmarkStart w:id="0" w:name="_Toc521916532"/>
      <w:r>
        <w:rPr>
          <w:noProof/>
        </w:rPr>
        <w:drawing>
          <wp:anchor distT="0" distB="0" distL="114300" distR="114300" simplePos="0" relativeHeight="251658240" behindDoc="1" locked="0" layoutInCell="1" allowOverlap="1" wp14:anchorId="6C6C5476" wp14:editId="5CC78B96">
            <wp:simplePos x="0" y="0"/>
            <wp:positionH relativeFrom="column">
              <wp:posOffset>-733425</wp:posOffset>
            </wp:positionH>
            <wp:positionV relativeFrom="page">
              <wp:posOffset>-57150</wp:posOffset>
            </wp:positionV>
            <wp:extent cx="7817485" cy="10120075"/>
            <wp:effectExtent l="0" t="0" r="0" b="0"/>
            <wp:wrapNone/>
            <wp:docPr id="260378103"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78103" name="Picture 1" descr="MO HealthNet"/>
                    <pic:cNvPicPr/>
                  </pic:nvPicPr>
                  <pic:blipFill>
                    <a:blip r:embed="rId10">
                      <a:extLst>
                        <a:ext uri="{28A0092B-C50C-407E-A947-70E740481C1C}">
                          <a14:useLocalDpi xmlns:a14="http://schemas.microsoft.com/office/drawing/2010/main" val="0"/>
                        </a:ext>
                      </a:extLst>
                    </a:blip>
                    <a:stretch>
                      <a:fillRect/>
                    </a:stretch>
                  </pic:blipFill>
                  <pic:spPr>
                    <a:xfrm>
                      <a:off x="0" y="0"/>
                      <a:ext cx="7817485" cy="10120075"/>
                    </a:xfrm>
                    <a:prstGeom prst="rect">
                      <a:avLst/>
                    </a:prstGeom>
                  </pic:spPr>
                </pic:pic>
              </a:graphicData>
            </a:graphic>
            <wp14:sizeRelH relativeFrom="margin">
              <wp14:pctWidth>0</wp14:pctWidth>
            </wp14:sizeRelH>
            <wp14:sizeRelV relativeFrom="margin">
              <wp14:pctHeight>0</wp14:pctHeight>
            </wp14:sizeRelV>
          </wp:anchor>
        </w:drawing>
      </w:r>
      <w:r w:rsidR="00741328" w:rsidRPr="008D60B3">
        <w:t>T</w:t>
      </w:r>
      <w:r w:rsidR="004C1EC6">
        <w:t xml:space="preserve">argeted Case Management for </w:t>
      </w:r>
      <w:r w:rsidR="00741328" w:rsidRPr="00741328">
        <w:t>I</w:t>
      </w:r>
      <w:r w:rsidR="004C1EC6">
        <w:t>ndividuals</w:t>
      </w:r>
      <w:r w:rsidR="00741328" w:rsidRPr="00741328">
        <w:t xml:space="preserve"> </w:t>
      </w:r>
      <w:r w:rsidR="004C1EC6">
        <w:t>with</w:t>
      </w:r>
      <w:r w:rsidR="00741328" w:rsidRPr="00741328">
        <w:t xml:space="preserve"> D</w:t>
      </w:r>
      <w:r w:rsidR="004C1EC6">
        <w:t>evelopmental</w:t>
      </w:r>
      <w:r w:rsidR="00741328" w:rsidRPr="00741328">
        <w:t xml:space="preserve"> D</w:t>
      </w:r>
      <w:r w:rsidR="004C1EC6">
        <w:t>isabilities</w:t>
      </w:r>
    </w:p>
    <w:sdt>
      <w:sdtPr>
        <w:rPr>
          <w:rFonts w:eastAsiaTheme="minorHAnsi" w:cstheme="minorBidi"/>
          <w:b w:val="0"/>
          <w:bCs w:val="0"/>
          <w:color w:val="000000" w:themeColor="text1"/>
          <w:kern w:val="2"/>
          <w:sz w:val="23"/>
          <w:szCs w:val="22"/>
          <w:lang w:eastAsia="zh-CN"/>
          <w14:ligatures w14:val="standardContextual"/>
        </w:rPr>
        <w:id w:val="-575977097"/>
        <w:docPartObj>
          <w:docPartGallery w:val="Table of Contents"/>
          <w:docPartUnique/>
        </w:docPartObj>
      </w:sdtPr>
      <w:sdtEndPr>
        <w:rPr>
          <w:rFonts w:eastAsiaTheme="minorEastAsia" w:cs="Tahoma"/>
          <w:noProof/>
          <w:szCs w:val="23"/>
        </w:rPr>
      </w:sdtEndPr>
      <w:sdtContent>
        <w:p w14:paraId="4776213C" w14:textId="1D77DBBB" w:rsidR="00AB6CB7" w:rsidRPr="007C660E" w:rsidRDefault="00AB6CB7" w:rsidP="007C660E">
          <w:pPr>
            <w:pStyle w:val="TOCHeading"/>
          </w:pPr>
          <w:r w:rsidRPr="00AB6CB7">
            <w:t>Table of Contents</w:t>
          </w:r>
        </w:p>
        <w:p w14:paraId="29F499E9" w14:textId="612583E4" w:rsidR="00C953E4" w:rsidRDefault="00DF557E">
          <w:pPr>
            <w:pStyle w:val="TOC1"/>
            <w:tabs>
              <w:tab w:val="right" w:leader="dot" w:pos="10070"/>
            </w:tabs>
            <w:rPr>
              <w:rFonts w:asciiTheme="minorHAnsi" w:hAnsiTheme="minorHAnsi" w:cstheme="minorBidi"/>
              <w:b w:val="0"/>
              <w:bCs w:val="0"/>
              <w:noProof/>
              <w:color w:val="auto"/>
              <w:sz w:val="24"/>
              <w:szCs w:val="24"/>
              <w:lang w:eastAsia="en-US"/>
            </w:rPr>
          </w:pPr>
          <w:r>
            <w:rPr>
              <w:b w:val="0"/>
              <w:bCs w:val="0"/>
              <w:noProof/>
            </w:rPr>
            <w:fldChar w:fldCharType="begin"/>
          </w:r>
          <w:r>
            <w:rPr>
              <w:b w:val="0"/>
              <w:bCs w:val="0"/>
              <w:noProof/>
            </w:rPr>
            <w:instrText xml:space="preserve"> TOC \h \z \t "Heading 2,1,Heading 3,2,Heading 4,3" </w:instrText>
          </w:r>
          <w:r>
            <w:rPr>
              <w:b w:val="0"/>
              <w:bCs w:val="0"/>
              <w:noProof/>
            </w:rPr>
            <w:fldChar w:fldCharType="separate"/>
          </w:r>
          <w:hyperlink w:anchor="_Toc226444426" w:history="1">
            <w:r w:rsidR="00C953E4" w:rsidRPr="00A35CEB">
              <w:rPr>
                <w:rStyle w:val="Hyperlink"/>
                <w:rFonts w:eastAsia="Times New Roman"/>
                <w:noProof/>
              </w:rPr>
              <w:t>Section 1:  Participant Eligibility</w:t>
            </w:r>
            <w:r w:rsidR="00C953E4">
              <w:rPr>
                <w:noProof/>
                <w:webHidden/>
              </w:rPr>
              <w:tab/>
            </w:r>
            <w:r w:rsidR="00C953E4">
              <w:rPr>
                <w:noProof/>
                <w:webHidden/>
              </w:rPr>
              <w:fldChar w:fldCharType="begin"/>
            </w:r>
            <w:r w:rsidR="00C953E4">
              <w:rPr>
                <w:noProof/>
                <w:webHidden/>
              </w:rPr>
              <w:instrText xml:space="preserve"> PAGEREF _Toc226444426 \h </w:instrText>
            </w:r>
            <w:r w:rsidR="00C953E4">
              <w:rPr>
                <w:noProof/>
                <w:webHidden/>
              </w:rPr>
            </w:r>
            <w:r w:rsidR="00C953E4">
              <w:rPr>
                <w:noProof/>
                <w:webHidden/>
              </w:rPr>
              <w:fldChar w:fldCharType="separate"/>
            </w:r>
            <w:r w:rsidR="00C953E4">
              <w:rPr>
                <w:noProof/>
                <w:webHidden/>
              </w:rPr>
              <w:t>2</w:t>
            </w:r>
            <w:r w:rsidR="00C953E4">
              <w:rPr>
                <w:noProof/>
                <w:webHidden/>
              </w:rPr>
              <w:fldChar w:fldCharType="end"/>
            </w:r>
          </w:hyperlink>
        </w:p>
        <w:p w14:paraId="27C14B40" w14:textId="67B53E02"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27" w:history="1">
            <w:r w:rsidRPr="00A35CEB">
              <w:rPr>
                <w:rStyle w:val="Hyperlink"/>
                <w:rFonts w:eastAsia="Times New Roman"/>
                <w:noProof/>
              </w:rPr>
              <w:t>Section 2:  Provider Participation</w:t>
            </w:r>
            <w:r>
              <w:rPr>
                <w:noProof/>
                <w:webHidden/>
              </w:rPr>
              <w:tab/>
            </w:r>
            <w:r>
              <w:rPr>
                <w:noProof/>
                <w:webHidden/>
              </w:rPr>
              <w:fldChar w:fldCharType="begin"/>
            </w:r>
            <w:r>
              <w:rPr>
                <w:noProof/>
                <w:webHidden/>
              </w:rPr>
              <w:instrText xml:space="preserve"> PAGEREF _Toc226444427 \h </w:instrText>
            </w:r>
            <w:r>
              <w:rPr>
                <w:noProof/>
                <w:webHidden/>
              </w:rPr>
            </w:r>
            <w:r>
              <w:rPr>
                <w:noProof/>
                <w:webHidden/>
              </w:rPr>
              <w:fldChar w:fldCharType="separate"/>
            </w:r>
            <w:r>
              <w:rPr>
                <w:noProof/>
                <w:webHidden/>
              </w:rPr>
              <w:t>3</w:t>
            </w:r>
            <w:r>
              <w:rPr>
                <w:noProof/>
                <w:webHidden/>
              </w:rPr>
              <w:fldChar w:fldCharType="end"/>
            </w:r>
          </w:hyperlink>
        </w:p>
        <w:p w14:paraId="3D70944B" w14:textId="4D84255D" w:rsidR="00C953E4" w:rsidRDefault="00C953E4">
          <w:pPr>
            <w:pStyle w:val="TOC2"/>
            <w:rPr>
              <w:rFonts w:asciiTheme="minorHAnsi" w:hAnsiTheme="minorHAnsi" w:cstheme="minorBidi"/>
              <w:b w:val="0"/>
              <w:bCs w:val="0"/>
              <w:noProof/>
              <w:color w:val="auto"/>
              <w:sz w:val="24"/>
              <w:szCs w:val="24"/>
              <w:lang w:eastAsia="en-US"/>
            </w:rPr>
          </w:pPr>
          <w:hyperlink w:anchor="_Toc226444428" w:history="1">
            <w:r w:rsidRPr="00A35CEB">
              <w:rPr>
                <w:rStyle w:val="Hyperlink"/>
                <w:noProof/>
              </w:rPr>
              <w:t>2.1 Qualifications of Targeted Case Management Support Coordinators</w:t>
            </w:r>
            <w:r>
              <w:rPr>
                <w:noProof/>
                <w:webHidden/>
              </w:rPr>
              <w:tab/>
            </w:r>
            <w:r>
              <w:rPr>
                <w:noProof/>
                <w:webHidden/>
              </w:rPr>
              <w:fldChar w:fldCharType="begin"/>
            </w:r>
            <w:r>
              <w:rPr>
                <w:noProof/>
                <w:webHidden/>
              </w:rPr>
              <w:instrText xml:space="preserve"> PAGEREF _Toc226444428 \h </w:instrText>
            </w:r>
            <w:r>
              <w:rPr>
                <w:noProof/>
                <w:webHidden/>
              </w:rPr>
            </w:r>
            <w:r>
              <w:rPr>
                <w:noProof/>
                <w:webHidden/>
              </w:rPr>
              <w:fldChar w:fldCharType="separate"/>
            </w:r>
            <w:r>
              <w:rPr>
                <w:noProof/>
                <w:webHidden/>
              </w:rPr>
              <w:t>4</w:t>
            </w:r>
            <w:r>
              <w:rPr>
                <w:noProof/>
                <w:webHidden/>
              </w:rPr>
              <w:fldChar w:fldCharType="end"/>
            </w:r>
          </w:hyperlink>
        </w:p>
        <w:p w14:paraId="22F5C402" w14:textId="3D23D694" w:rsidR="00C953E4" w:rsidRDefault="00C953E4">
          <w:pPr>
            <w:pStyle w:val="TOC2"/>
            <w:rPr>
              <w:rFonts w:asciiTheme="minorHAnsi" w:hAnsiTheme="minorHAnsi" w:cstheme="minorBidi"/>
              <w:b w:val="0"/>
              <w:bCs w:val="0"/>
              <w:noProof/>
              <w:color w:val="auto"/>
              <w:sz w:val="24"/>
              <w:szCs w:val="24"/>
              <w:lang w:eastAsia="en-US"/>
            </w:rPr>
          </w:pPr>
          <w:hyperlink w:anchor="_Toc226444429" w:history="1">
            <w:r w:rsidRPr="00A35CEB">
              <w:rPr>
                <w:rStyle w:val="Hyperlink"/>
                <w:noProof/>
              </w:rPr>
              <w:t>2.2 Division of Developmental Disabilities Targeted Case Management Monitoring</w:t>
            </w:r>
            <w:r>
              <w:rPr>
                <w:noProof/>
                <w:webHidden/>
              </w:rPr>
              <w:tab/>
            </w:r>
            <w:r>
              <w:rPr>
                <w:noProof/>
                <w:webHidden/>
              </w:rPr>
              <w:fldChar w:fldCharType="begin"/>
            </w:r>
            <w:r>
              <w:rPr>
                <w:noProof/>
                <w:webHidden/>
              </w:rPr>
              <w:instrText xml:space="preserve"> PAGEREF _Toc226444429 \h </w:instrText>
            </w:r>
            <w:r>
              <w:rPr>
                <w:noProof/>
                <w:webHidden/>
              </w:rPr>
            </w:r>
            <w:r>
              <w:rPr>
                <w:noProof/>
                <w:webHidden/>
              </w:rPr>
              <w:fldChar w:fldCharType="separate"/>
            </w:r>
            <w:r>
              <w:rPr>
                <w:noProof/>
                <w:webHidden/>
              </w:rPr>
              <w:t>4</w:t>
            </w:r>
            <w:r>
              <w:rPr>
                <w:noProof/>
                <w:webHidden/>
              </w:rPr>
              <w:fldChar w:fldCharType="end"/>
            </w:r>
          </w:hyperlink>
        </w:p>
        <w:p w14:paraId="496D547F" w14:textId="75327CC5" w:rsidR="00C953E4" w:rsidRDefault="00C953E4">
          <w:pPr>
            <w:pStyle w:val="TOC2"/>
            <w:rPr>
              <w:rFonts w:asciiTheme="minorHAnsi" w:hAnsiTheme="minorHAnsi" w:cstheme="minorBidi"/>
              <w:b w:val="0"/>
              <w:bCs w:val="0"/>
              <w:noProof/>
              <w:color w:val="auto"/>
              <w:sz w:val="24"/>
              <w:szCs w:val="24"/>
              <w:lang w:eastAsia="en-US"/>
            </w:rPr>
          </w:pPr>
          <w:hyperlink w:anchor="_Toc226444430" w:history="1">
            <w:r w:rsidRPr="00A35CEB">
              <w:rPr>
                <w:rStyle w:val="Hyperlink"/>
                <w:noProof/>
              </w:rPr>
              <w:t>2.3 Training</w:t>
            </w:r>
            <w:r>
              <w:rPr>
                <w:noProof/>
                <w:webHidden/>
              </w:rPr>
              <w:tab/>
            </w:r>
            <w:r>
              <w:rPr>
                <w:noProof/>
                <w:webHidden/>
              </w:rPr>
              <w:fldChar w:fldCharType="begin"/>
            </w:r>
            <w:r>
              <w:rPr>
                <w:noProof/>
                <w:webHidden/>
              </w:rPr>
              <w:instrText xml:space="preserve"> PAGEREF _Toc226444430 \h </w:instrText>
            </w:r>
            <w:r>
              <w:rPr>
                <w:noProof/>
                <w:webHidden/>
              </w:rPr>
            </w:r>
            <w:r>
              <w:rPr>
                <w:noProof/>
                <w:webHidden/>
              </w:rPr>
              <w:fldChar w:fldCharType="separate"/>
            </w:r>
            <w:r>
              <w:rPr>
                <w:noProof/>
                <w:webHidden/>
              </w:rPr>
              <w:t>6</w:t>
            </w:r>
            <w:r>
              <w:rPr>
                <w:noProof/>
                <w:webHidden/>
              </w:rPr>
              <w:fldChar w:fldCharType="end"/>
            </w:r>
          </w:hyperlink>
        </w:p>
        <w:p w14:paraId="024F68D4" w14:textId="1B901751"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31" w:history="1">
            <w:r w:rsidRPr="00A35CEB">
              <w:rPr>
                <w:rStyle w:val="Hyperlink"/>
                <w:noProof/>
              </w:rPr>
              <w:t>Section 3:  Billable Services</w:t>
            </w:r>
            <w:r>
              <w:rPr>
                <w:noProof/>
                <w:webHidden/>
              </w:rPr>
              <w:tab/>
            </w:r>
            <w:r>
              <w:rPr>
                <w:noProof/>
                <w:webHidden/>
              </w:rPr>
              <w:fldChar w:fldCharType="begin"/>
            </w:r>
            <w:r>
              <w:rPr>
                <w:noProof/>
                <w:webHidden/>
              </w:rPr>
              <w:instrText xml:space="preserve"> PAGEREF _Toc226444431 \h </w:instrText>
            </w:r>
            <w:r>
              <w:rPr>
                <w:noProof/>
                <w:webHidden/>
              </w:rPr>
            </w:r>
            <w:r>
              <w:rPr>
                <w:noProof/>
                <w:webHidden/>
              </w:rPr>
              <w:fldChar w:fldCharType="separate"/>
            </w:r>
            <w:r>
              <w:rPr>
                <w:noProof/>
                <w:webHidden/>
              </w:rPr>
              <w:t>6</w:t>
            </w:r>
            <w:r>
              <w:rPr>
                <w:noProof/>
                <w:webHidden/>
              </w:rPr>
              <w:fldChar w:fldCharType="end"/>
            </w:r>
          </w:hyperlink>
        </w:p>
        <w:p w14:paraId="3B753494" w14:textId="6C5666C2" w:rsidR="00C953E4" w:rsidRDefault="00C953E4">
          <w:pPr>
            <w:pStyle w:val="TOC2"/>
            <w:rPr>
              <w:rFonts w:asciiTheme="minorHAnsi" w:hAnsiTheme="minorHAnsi" w:cstheme="minorBidi"/>
              <w:b w:val="0"/>
              <w:bCs w:val="0"/>
              <w:noProof/>
              <w:color w:val="auto"/>
              <w:sz w:val="24"/>
              <w:szCs w:val="24"/>
              <w:lang w:eastAsia="en-US"/>
            </w:rPr>
          </w:pPr>
          <w:hyperlink w:anchor="_Toc226444432" w:history="1">
            <w:r w:rsidRPr="00A35CEB">
              <w:rPr>
                <w:rStyle w:val="Hyperlink"/>
                <w:noProof/>
              </w:rPr>
              <w:t>3.1 Developmental Disabilities Case Management Services</w:t>
            </w:r>
            <w:r>
              <w:rPr>
                <w:noProof/>
                <w:webHidden/>
              </w:rPr>
              <w:tab/>
            </w:r>
            <w:r>
              <w:rPr>
                <w:noProof/>
                <w:webHidden/>
              </w:rPr>
              <w:fldChar w:fldCharType="begin"/>
            </w:r>
            <w:r>
              <w:rPr>
                <w:noProof/>
                <w:webHidden/>
              </w:rPr>
              <w:instrText xml:space="preserve"> PAGEREF _Toc226444432 \h </w:instrText>
            </w:r>
            <w:r>
              <w:rPr>
                <w:noProof/>
                <w:webHidden/>
              </w:rPr>
            </w:r>
            <w:r>
              <w:rPr>
                <w:noProof/>
                <w:webHidden/>
              </w:rPr>
              <w:fldChar w:fldCharType="separate"/>
            </w:r>
            <w:r>
              <w:rPr>
                <w:noProof/>
                <w:webHidden/>
              </w:rPr>
              <w:t>6</w:t>
            </w:r>
            <w:r>
              <w:rPr>
                <w:noProof/>
                <w:webHidden/>
              </w:rPr>
              <w:fldChar w:fldCharType="end"/>
            </w:r>
          </w:hyperlink>
        </w:p>
        <w:p w14:paraId="1A6EE803" w14:textId="516FED38" w:rsidR="00C953E4" w:rsidRDefault="00C953E4">
          <w:pPr>
            <w:pStyle w:val="TOC3"/>
            <w:rPr>
              <w:rFonts w:asciiTheme="minorHAnsi" w:hAnsiTheme="minorHAnsi" w:cstheme="minorBidi"/>
              <w:noProof/>
              <w:color w:val="auto"/>
              <w:sz w:val="24"/>
              <w:szCs w:val="24"/>
              <w:lang w:eastAsia="en-US"/>
            </w:rPr>
          </w:pPr>
          <w:hyperlink w:anchor="_Toc226444433" w:history="1">
            <w:r w:rsidRPr="00A35CEB">
              <w:rPr>
                <w:rStyle w:val="Hyperlink"/>
                <w:noProof/>
              </w:rPr>
              <w:t>Assessment</w:t>
            </w:r>
            <w:r>
              <w:rPr>
                <w:noProof/>
                <w:webHidden/>
              </w:rPr>
              <w:tab/>
            </w:r>
            <w:r>
              <w:rPr>
                <w:noProof/>
                <w:webHidden/>
              </w:rPr>
              <w:fldChar w:fldCharType="begin"/>
            </w:r>
            <w:r>
              <w:rPr>
                <w:noProof/>
                <w:webHidden/>
              </w:rPr>
              <w:instrText xml:space="preserve"> PAGEREF _Toc226444433 \h </w:instrText>
            </w:r>
            <w:r>
              <w:rPr>
                <w:noProof/>
                <w:webHidden/>
              </w:rPr>
            </w:r>
            <w:r>
              <w:rPr>
                <w:noProof/>
                <w:webHidden/>
              </w:rPr>
              <w:fldChar w:fldCharType="separate"/>
            </w:r>
            <w:r>
              <w:rPr>
                <w:noProof/>
                <w:webHidden/>
              </w:rPr>
              <w:t>6</w:t>
            </w:r>
            <w:r>
              <w:rPr>
                <w:noProof/>
                <w:webHidden/>
              </w:rPr>
              <w:fldChar w:fldCharType="end"/>
            </w:r>
          </w:hyperlink>
        </w:p>
        <w:p w14:paraId="2BC78831" w14:textId="1F14A820" w:rsidR="00C953E4" w:rsidRDefault="00C953E4">
          <w:pPr>
            <w:pStyle w:val="TOC3"/>
            <w:rPr>
              <w:rFonts w:asciiTheme="minorHAnsi" w:hAnsiTheme="minorHAnsi" w:cstheme="minorBidi"/>
              <w:noProof/>
              <w:color w:val="auto"/>
              <w:sz w:val="24"/>
              <w:szCs w:val="24"/>
              <w:lang w:eastAsia="en-US"/>
            </w:rPr>
          </w:pPr>
          <w:hyperlink w:anchor="_Toc226444434" w:history="1">
            <w:r w:rsidRPr="00A35CEB">
              <w:rPr>
                <w:rStyle w:val="Hyperlink"/>
                <w:noProof/>
              </w:rPr>
              <w:t>Health Risk Screening Tool</w:t>
            </w:r>
            <w:r>
              <w:rPr>
                <w:noProof/>
                <w:webHidden/>
              </w:rPr>
              <w:tab/>
            </w:r>
            <w:r>
              <w:rPr>
                <w:noProof/>
                <w:webHidden/>
              </w:rPr>
              <w:fldChar w:fldCharType="begin"/>
            </w:r>
            <w:r>
              <w:rPr>
                <w:noProof/>
                <w:webHidden/>
              </w:rPr>
              <w:instrText xml:space="preserve"> PAGEREF _Toc226444434 \h </w:instrText>
            </w:r>
            <w:r>
              <w:rPr>
                <w:noProof/>
                <w:webHidden/>
              </w:rPr>
            </w:r>
            <w:r>
              <w:rPr>
                <w:noProof/>
                <w:webHidden/>
              </w:rPr>
              <w:fldChar w:fldCharType="separate"/>
            </w:r>
            <w:r>
              <w:rPr>
                <w:noProof/>
                <w:webHidden/>
              </w:rPr>
              <w:t>7</w:t>
            </w:r>
            <w:r>
              <w:rPr>
                <w:noProof/>
                <w:webHidden/>
              </w:rPr>
              <w:fldChar w:fldCharType="end"/>
            </w:r>
          </w:hyperlink>
        </w:p>
        <w:p w14:paraId="20C0961F" w14:textId="7C5DE501" w:rsidR="00C953E4" w:rsidRDefault="00C953E4">
          <w:pPr>
            <w:pStyle w:val="TOC3"/>
            <w:rPr>
              <w:rFonts w:asciiTheme="minorHAnsi" w:hAnsiTheme="minorHAnsi" w:cstheme="minorBidi"/>
              <w:noProof/>
              <w:color w:val="auto"/>
              <w:sz w:val="24"/>
              <w:szCs w:val="24"/>
              <w:lang w:eastAsia="en-US"/>
            </w:rPr>
          </w:pPr>
          <w:hyperlink w:anchor="_Toc226444435" w:history="1">
            <w:r w:rsidRPr="00A35CEB">
              <w:rPr>
                <w:rStyle w:val="Hyperlink"/>
                <w:noProof/>
              </w:rPr>
              <w:t>Planning for Services</w:t>
            </w:r>
            <w:r>
              <w:rPr>
                <w:noProof/>
                <w:webHidden/>
              </w:rPr>
              <w:tab/>
            </w:r>
            <w:r>
              <w:rPr>
                <w:noProof/>
                <w:webHidden/>
              </w:rPr>
              <w:fldChar w:fldCharType="begin"/>
            </w:r>
            <w:r>
              <w:rPr>
                <w:noProof/>
                <w:webHidden/>
              </w:rPr>
              <w:instrText xml:space="preserve"> PAGEREF _Toc226444435 \h </w:instrText>
            </w:r>
            <w:r>
              <w:rPr>
                <w:noProof/>
                <w:webHidden/>
              </w:rPr>
            </w:r>
            <w:r>
              <w:rPr>
                <w:noProof/>
                <w:webHidden/>
              </w:rPr>
              <w:fldChar w:fldCharType="separate"/>
            </w:r>
            <w:r>
              <w:rPr>
                <w:noProof/>
                <w:webHidden/>
              </w:rPr>
              <w:t>8</w:t>
            </w:r>
            <w:r>
              <w:rPr>
                <w:noProof/>
                <w:webHidden/>
              </w:rPr>
              <w:fldChar w:fldCharType="end"/>
            </w:r>
          </w:hyperlink>
        </w:p>
        <w:p w14:paraId="174BE055" w14:textId="51FFB9E2" w:rsidR="00C953E4" w:rsidRDefault="00C953E4">
          <w:pPr>
            <w:pStyle w:val="TOC3"/>
            <w:rPr>
              <w:rFonts w:asciiTheme="minorHAnsi" w:hAnsiTheme="minorHAnsi" w:cstheme="minorBidi"/>
              <w:noProof/>
              <w:color w:val="auto"/>
              <w:sz w:val="24"/>
              <w:szCs w:val="24"/>
              <w:lang w:eastAsia="en-US"/>
            </w:rPr>
          </w:pPr>
          <w:hyperlink w:anchor="_Toc226444436" w:history="1">
            <w:r w:rsidRPr="00A35CEB">
              <w:rPr>
                <w:rStyle w:val="Hyperlink"/>
                <w:noProof/>
              </w:rPr>
              <w:t>Case Coordination</w:t>
            </w:r>
            <w:r>
              <w:rPr>
                <w:noProof/>
                <w:webHidden/>
              </w:rPr>
              <w:tab/>
            </w:r>
            <w:r>
              <w:rPr>
                <w:noProof/>
                <w:webHidden/>
              </w:rPr>
              <w:fldChar w:fldCharType="begin"/>
            </w:r>
            <w:r>
              <w:rPr>
                <w:noProof/>
                <w:webHidden/>
              </w:rPr>
              <w:instrText xml:space="preserve"> PAGEREF _Toc226444436 \h </w:instrText>
            </w:r>
            <w:r>
              <w:rPr>
                <w:noProof/>
                <w:webHidden/>
              </w:rPr>
            </w:r>
            <w:r>
              <w:rPr>
                <w:noProof/>
                <w:webHidden/>
              </w:rPr>
              <w:fldChar w:fldCharType="separate"/>
            </w:r>
            <w:r>
              <w:rPr>
                <w:noProof/>
                <w:webHidden/>
              </w:rPr>
              <w:t>8</w:t>
            </w:r>
            <w:r>
              <w:rPr>
                <w:noProof/>
                <w:webHidden/>
              </w:rPr>
              <w:fldChar w:fldCharType="end"/>
            </w:r>
          </w:hyperlink>
        </w:p>
        <w:p w14:paraId="54E9D1C7" w14:textId="60B4CB32" w:rsidR="00C953E4" w:rsidRDefault="00C953E4">
          <w:pPr>
            <w:pStyle w:val="TOC3"/>
            <w:rPr>
              <w:rFonts w:asciiTheme="minorHAnsi" w:hAnsiTheme="minorHAnsi" w:cstheme="minorBidi"/>
              <w:noProof/>
              <w:color w:val="auto"/>
              <w:sz w:val="24"/>
              <w:szCs w:val="24"/>
              <w:lang w:eastAsia="en-US"/>
            </w:rPr>
          </w:pPr>
          <w:hyperlink w:anchor="_Toc226444437" w:history="1">
            <w:r w:rsidRPr="00A35CEB">
              <w:rPr>
                <w:rStyle w:val="Hyperlink"/>
                <w:noProof/>
              </w:rPr>
              <w:t>Support Monitoring</w:t>
            </w:r>
            <w:r>
              <w:rPr>
                <w:noProof/>
                <w:webHidden/>
              </w:rPr>
              <w:tab/>
            </w:r>
            <w:r>
              <w:rPr>
                <w:noProof/>
                <w:webHidden/>
              </w:rPr>
              <w:fldChar w:fldCharType="begin"/>
            </w:r>
            <w:r>
              <w:rPr>
                <w:noProof/>
                <w:webHidden/>
              </w:rPr>
              <w:instrText xml:space="preserve"> PAGEREF _Toc226444437 \h </w:instrText>
            </w:r>
            <w:r>
              <w:rPr>
                <w:noProof/>
                <w:webHidden/>
              </w:rPr>
            </w:r>
            <w:r>
              <w:rPr>
                <w:noProof/>
                <w:webHidden/>
              </w:rPr>
              <w:fldChar w:fldCharType="separate"/>
            </w:r>
            <w:r>
              <w:rPr>
                <w:noProof/>
                <w:webHidden/>
              </w:rPr>
              <w:t>9</w:t>
            </w:r>
            <w:r>
              <w:rPr>
                <w:noProof/>
                <w:webHidden/>
              </w:rPr>
              <w:fldChar w:fldCharType="end"/>
            </w:r>
          </w:hyperlink>
        </w:p>
        <w:p w14:paraId="2921A246" w14:textId="6B7BDD16" w:rsidR="00C953E4" w:rsidRDefault="00C953E4">
          <w:pPr>
            <w:pStyle w:val="TOC3"/>
            <w:rPr>
              <w:rFonts w:asciiTheme="minorHAnsi" w:hAnsiTheme="minorHAnsi" w:cstheme="minorBidi"/>
              <w:noProof/>
              <w:color w:val="auto"/>
              <w:sz w:val="24"/>
              <w:szCs w:val="24"/>
              <w:lang w:eastAsia="en-US"/>
            </w:rPr>
          </w:pPr>
          <w:hyperlink w:anchor="_Toc226444438" w:history="1">
            <w:r w:rsidRPr="00A35CEB">
              <w:rPr>
                <w:rStyle w:val="Hyperlink"/>
                <w:noProof/>
              </w:rPr>
              <w:t>Quarterly Reviews</w:t>
            </w:r>
            <w:r>
              <w:rPr>
                <w:noProof/>
                <w:webHidden/>
              </w:rPr>
              <w:tab/>
            </w:r>
            <w:r>
              <w:rPr>
                <w:noProof/>
                <w:webHidden/>
              </w:rPr>
              <w:fldChar w:fldCharType="begin"/>
            </w:r>
            <w:r>
              <w:rPr>
                <w:noProof/>
                <w:webHidden/>
              </w:rPr>
              <w:instrText xml:space="preserve"> PAGEREF _Toc226444438 \h </w:instrText>
            </w:r>
            <w:r>
              <w:rPr>
                <w:noProof/>
                <w:webHidden/>
              </w:rPr>
            </w:r>
            <w:r>
              <w:rPr>
                <w:noProof/>
                <w:webHidden/>
              </w:rPr>
              <w:fldChar w:fldCharType="separate"/>
            </w:r>
            <w:r>
              <w:rPr>
                <w:noProof/>
                <w:webHidden/>
              </w:rPr>
              <w:t>9</w:t>
            </w:r>
            <w:r>
              <w:rPr>
                <w:noProof/>
                <w:webHidden/>
              </w:rPr>
              <w:fldChar w:fldCharType="end"/>
            </w:r>
          </w:hyperlink>
        </w:p>
        <w:p w14:paraId="0A5B2F40" w14:textId="782C5F10" w:rsidR="00C953E4" w:rsidRDefault="00C953E4">
          <w:pPr>
            <w:pStyle w:val="TOC3"/>
            <w:rPr>
              <w:rFonts w:asciiTheme="minorHAnsi" w:hAnsiTheme="minorHAnsi" w:cstheme="minorBidi"/>
              <w:noProof/>
              <w:color w:val="auto"/>
              <w:sz w:val="24"/>
              <w:szCs w:val="24"/>
              <w:lang w:eastAsia="en-US"/>
            </w:rPr>
          </w:pPr>
          <w:hyperlink w:anchor="_Toc226444439" w:history="1">
            <w:r w:rsidRPr="00A35CEB">
              <w:rPr>
                <w:rStyle w:val="Hyperlink"/>
                <w:noProof/>
              </w:rPr>
              <w:t>Case Documentation</w:t>
            </w:r>
            <w:r>
              <w:rPr>
                <w:noProof/>
                <w:webHidden/>
              </w:rPr>
              <w:tab/>
            </w:r>
            <w:r>
              <w:rPr>
                <w:noProof/>
                <w:webHidden/>
              </w:rPr>
              <w:fldChar w:fldCharType="begin"/>
            </w:r>
            <w:r>
              <w:rPr>
                <w:noProof/>
                <w:webHidden/>
              </w:rPr>
              <w:instrText xml:space="preserve"> PAGEREF _Toc226444439 \h </w:instrText>
            </w:r>
            <w:r>
              <w:rPr>
                <w:noProof/>
                <w:webHidden/>
              </w:rPr>
            </w:r>
            <w:r>
              <w:rPr>
                <w:noProof/>
                <w:webHidden/>
              </w:rPr>
              <w:fldChar w:fldCharType="separate"/>
            </w:r>
            <w:r>
              <w:rPr>
                <w:noProof/>
                <w:webHidden/>
              </w:rPr>
              <w:t>9</w:t>
            </w:r>
            <w:r>
              <w:rPr>
                <w:noProof/>
                <w:webHidden/>
              </w:rPr>
              <w:fldChar w:fldCharType="end"/>
            </w:r>
          </w:hyperlink>
        </w:p>
        <w:p w14:paraId="6730593A" w14:textId="0810EC2B" w:rsidR="00C953E4" w:rsidRDefault="00C953E4">
          <w:pPr>
            <w:pStyle w:val="TOC2"/>
            <w:rPr>
              <w:rFonts w:asciiTheme="minorHAnsi" w:hAnsiTheme="minorHAnsi" w:cstheme="minorBidi"/>
              <w:b w:val="0"/>
              <w:bCs w:val="0"/>
              <w:noProof/>
              <w:color w:val="auto"/>
              <w:sz w:val="24"/>
              <w:szCs w:val="24"/>
              <w:lang w:eastAsia="en-US"/>
            </w:rPr>
          </w:pPr>
          <w:hyperlink w:anchor="_Toc226444440" w:history="1">
            <w:r w:rsidRPr="00A35CEB">
              <w:rPr>
                <w:rStyle w:val="Hyperlink"/>
                <w:noProof/>
              </w:rPr>
              <w:t>3.2 Transition and Transfer of Case Responsibility</w:t>
            </w:r>
            <w:r>
              <w:rPr>
                <w:noProof/>
                <w:webHidden/>
              </w:rPr>
              <w:tab/>
            </w:r>
            <w:r>
              <w:rPr>
                <w:noProof/>
                <w:webHidden/>
              </w:rPr>
              <w:fldChar w:fldCharType="begin"/>
            </w:r>
            <w:r>
              <w:rPr>
                <w:noProof/>
                <w:webHidden/>
              </w:rPr>
              <w:instrText xml:space="preserve"> PAGEREF _Toc226444440 \h </w:instrText>
            </w:r>
            <w:r>
              <w:rPr>
                <w:noProof/>
                <w:webHidden/>
              </w:rPr>
            </w:r>
            <w:r>
              <w:rPr>
                <w:noProof/>
                <w:webHidden/>
              </w:rPr>
              <w:fldChar w:fldCharType="separate"/>
            </w:r>
            <w:r>
              <w:rPr>
                <w:noProof/>
                <w:webHidden/>
              </w:rPr>
              <w:t>10</w:t>
            </w:r>
            <w:r>
              <w:rPr>
                <w:noProof/>
                <w:webHidden/>
              </w:rPr>
              <w:fldChar w:fldCharType="end"/>
            </w:r>
          </w:hyperlink>
        </w:p>
        <w:p w14:paraId="44DC0200" w14:textId="436A9DE2" w:rsidR="00C953E4" w:rsidRDefault="00C953E4">
          <w:pPr>
            <w:pStyle w:val="TOC3"/>
            <w:rPr>
              <w:rFonts w:asciiTheme="minorHAnsi" w:hAnsiTheme="minorHAnsi" w:cstheme="minorBidi"/>
              <w:noProof/>
              <w:color w:val="auto"/>
              <w:sz w:val="24"/>
              <w:szCs w:val="24"/>
              <w:lang w:eastAsia="en-US"/>
            </w:rPr>
          </w:pPr>
          <w:hyperlink w:anchor="_Toc226444441" w:history="1">
            <w:r w:rsidRPr="00A35CEB">
              <w:rPr>
                <w:rStyle w:val="Hyperlink"/>
                <w:noProof/>
              </w:rPr>
              <w:t>Transfers When Only One Entity Uses CIMOR for Billing Purposes</w:t>
            </w:r>
            <w:r>
              <w:rPr>
                <w:noProof/>
                <w:webHidden/>
              </w:rPr>
              <w:tab/>
            </w:r>
            <w:r>
              <w:rPr>
                <w:noProof/>
                <w:webHidden/>
              </w:rPr>
              <w:fldChar w:fldCharType="begin"/>
            </w:r>
            <w:r>
              <w:rPr>
                <w:noProof/>
                <w:webHidden/>
              </w:rPr>
              <w:instrText xml:space="preserve"> PAGEREF _Toc226444441 \h </w:instrText>
            </w:r>
            <w:r>
              <w:rPr>
                <w:noProof/>
                <w:webHidden/>
              </w:rPr>
            </w:r>
            <w:r>
              <w:rPr>
                <w:noProof/>
                <w:webHidden/>
              </w:rPr>
              <w:fldChar w:fldCharType="separate"/>
            </w:r>
            <w:r>
              <w:rPr>
                <w:noProof/>
                <w:webHidden/>
              </w:rPr>
              <w:t>11</w:t>
            </w:r>
            <w:r>
              <w:rPr>
                <w:noProof/>
                <w:webHidden/>
              </w:rPr>
              <w:fldChar w:fldCharType="end"/>
            </w:r>
          </w:hyperlink>
        </w:p>
        <w:p w14:paraId="4745A479" w14:textId="2F706F01" w:rsidR="00C953E4" w:rsidRDefault="00C953E4">
          <w:pPr>
            <w:pStyle w:val="TOC3"/>
            <w:rPr>
              <w:rFonts w:asciiTheme="minorHAnsi" w:hAnsiTheme="minorHAnsi" w:cstheme="minorBidi"/>
              <w:noProof/>
              <w:color w:val="auto"/>
              <w:sz w:val="24"/>
              <w:szCs w:val="24"/>
              <w:lang w:eastAsia="en-US"/>
            </w:rPr>
          </w:pPr>
          <w:hyperlink w:anchor="_Toc226444442" w:history="1">
            <w:r w:rsidRPr="00A35CEB">
              <w:rPr>
                <w:rStyle w:val="Hyperlink"/>
                <w:noProof/>
              </w:rPr>
              <w:t>Transfers When Both Entities Use CIMOR for Billing Purposes</w:t>
            </w:r>
            <w:r>
              <w:rPr>
                <w:noProof/>
                <w:webHidden/>
              </w:rPr>
              <w:tab/>
            </w:r>
            <w:r>
              <w:rPr>
                <w:noProof/>
                <w:webHidden/>
              </w:rPr>
              <w:fldChar w:fldCharType="begin"/>
            </w:r>
            <w:r>
              <w:rPr>
                <w:noProof/>
                <w:webHidden/>
              </w:rPr>
              <w:instrText xml:space="preserve"> PAGEREF _Toc226444442 \h </w:instrText>
            </w:r>
            <w:r>
              <w:rPr>
                <w:noProof/>
                <w:webHidden/>
              </w:rPr>
            </w:r>
            <w:r>
              <w:rPr>
                <w:noProof/>
                <w:webHidden/>
              </w:rPr>
              <w:fldChar w:fldCharType="separate"/>
            </w:r>
            <w:r>
              <w:rPr>
                <w:noProof/>
                <w:webHidden/>
              </w:rPr>
              <w:t>11</w:t>
            </w:r>
            <w:r>
              <w:rPr>
                <w:noProof/>
                <w:webHidden/>
              </w:rPr>
              <w:fldChar w:fldCharType="end"/>
            </w:r>
          </w:hyperlink>
        </w:p>
        <w:p w14:paraId="55C39411" w14:textId="23EB2E9F" w:rsidR="00C953E4" w:rsidRDefault="00C953E4">
          <w:pPr>
            <w:pStyle w:val="TOC3"/>
            <w:rPr>
              <w:rFonts w:asciiTheme="minorHAnsi" w:hAnsiTheme="minorHAnsi" w:cstheme="minorBidi"/>
              <w:noProof/>
              <w:color w:val="auto"/>
              <w:sz w:val="24"/>
              <w:szCs w:val="24"/>
              <w:lang w:eastAsia="en-US"/>
            </w:rPr>
          </w:pPr>
          <w:hyperlink w:anchor="_Toc226444443" w:history="1">
            <w:r w:rsidRPr="00A35CEB">
              <w:rPr>
                <w:rStyle w:val="Hyperlink"/>
                <w:noProof/>
              </w:rPr>
              <w:t>Transfers When Neither Entity Uses CIMOR for Billing Purposes</w:t>
            </w:r>
            <w:r>
              <w:rPr>
                <w:noProof/>
                <w:webHidden/>
              </w:rPr>
              <w:tab/>
            </w:r>
            <w:r>
              <w:rPr>
                <w:noProof/>
                <w:webHidden/>
              </w:rPr>
              <w:fldChar w:fldCharType="begin"/>
            </w:r>
            <w:r>
              <w:rPr>
                <w:noProof/>
                <w:webHidden/>
              </w:rPr>
              <w:instrText xml:space="preserve"> PAGEREF _Toc226444443 \h </w:instrText>
            </w:r>
            <w:r>
              <w:rPr>
                <w:noProof/>
                <w:webHidden/>
              </w:rPr>
            </w:r>
            <w:r>
              <w:rPr>
                <w:noProof/>
                <w:webHidden/>
              </w:rPr>
              <w:fldChar w:fldCharType="separate"/>
            </w:r>
            <w:r>
              <w:rPr>
                <w:noProof/>
                <w:webHidden/>
              </w:rPr>
              <w:t>11</w:t>
            </w:r>
            <w:r>
              <w:rPr>
                <w:noProof/>
                <w:webHidden/>
              </w:rPr>
              <w:fldChar w:fldCharType="end"/>
            </w:r>
          </w:hyperlink>
        </w:p>
        <w:p w14:paraId="4B142F69" w14:textId="1F83AF58" w:rsidR="00C953E4" w:rsidRDefault="00C953E4">
          <w:pPr>
            <w:pStyle w:val="TOC3"/>
            <w:rPr>
              <w:rFonts w:asciiTheme="minorHAnsi" w:hAnsiTheme="minorHAnsi" w:cstheme="minorBidi"/>
              <w:noProof/>
              <w:color w:val="auto"/>
              <w:sz w:val="24"/>
              <w:szCs w:val="24"/>
              <w:lang w:eastAsia="en-US"/>
            </w:rPr>
          </w:pPr>
          <w:hyperlink w:anchor="_Toc226444444" w:history="1">
            <w:r w:rsidRPr="00A35CEB">
              <w:rPr>
                <w:rStyle w:val="Hyperlink"/>
                <w:noProof/>
              </w:rPr>
              <w:t>Transition and Transfer Case Documentation</w:t>
            </w:r>
            <w:r>
              <w:rPr>
                <w:noProof/>
                <w:webHidden/>
              </w:rPr>
              <w:tab/>
            </w:r>
            <w:r>
              <w:rPr>
                <w:noProof/>
                <w:webHidden/>
              </w:rPr>
              <w:fldChar w:fldCharType="begin"/>
            </w:r>
            <w:r>
              <w:rPr>
                <w:noProof/>
                <w:webHidden/>
              </w:rPr>
              <w:instrText xml:space="preserve"> PAGEREF _Toc226444444 \h </w:instrText>
            </w:r>
            <w:r>
              <w:rPr>
                <w:noProof/>
                <w:webHidden/>
              </w:rPr>
            </w:r>
            <w:r>
              <w:rPr>
                <w:noProof/>
                <w:webHidden/>
              </w:rPr>
              <w:fldChar w:fldCharType="separate"/>
            </w:r>
            <w:r>
              <w:rPr>
                <w:noProof/>
                <w:webHidden/>
              </w:rPr>
              <w:t>11</w:t>
            </w:r>
            <w:r>
              <w:rPr>
                <w:noProof/>
                <w:webHidden/>
              </w:rPr>
              <w:fldChar w:fldCharType="end"/>
            </w:r>
          </w:hyperlink>
        </w:p>
        <w:p w14:paraId="606BA3D0" w14:textId="58B8202A" w:rsidR="00C953E4" w:rsidRDefault="00C953E4">
          <w:pPr>
            <w:pStyle w:val="TOC2"/>
            <w:rPr>
              <w:rFonts w:asciiTheme="minorHAnsi" w:hAnsiTheme="minorHAnsi" w:cstheme="minorBidi"/>
              <w:b w:val="0"/>
              <w:bCs w:val="0"/>
              <w:noProof/>
              <w:color w:val="auto"/>
              <w:sz w:val="24"/>
              <w:szCs w:val="24"/>
              <w:lang w:eastAsia="en-US"/>
            </w:rPr>
          </w:pPr>
          <w:hyperlink w:anchor="_Toc226444445" w:history="1">
            <w:r w:rsidRPr="00A35CEB">
              <w:rPr>
                <w:rStyle w:val="Hyperlink"/>
                <w:noProof/>
              </w:rPr>
              <w:t>3.3 Conflict Free Transition</w:t>
            </w:r>
            <w:r>
              <w:rPr>
                <w:noProof/>
                <w:webHidden/>
              </w:rPr>
              <w:tab/>
            </w:r>
            <w:r>
              <w:rPr>
                <w:noProof/>
                <w:webHidden/>
              </w:rPr>
              <w:fldChar w:fldCharType="begin"/>
            </w:r>
            <w:r>
              <w:rPr>
                <w:noProof/>
                <w:webHidden/>
              </w:rPr>
              <w:instrText xml:space="preserve"> PAGEREF _Toc226444445 \h </w:instrText>
            </w:r>
            <w:r>
              <w:rPr>
                <w:noProof/>
                <w:webHidden/>
              </w:rPr>
            </w:r>
            <w:r>
              <w:rPr>
                <w:noProof/>
                <w:webHidden/>
              </w:rPr>
              <w:fldChar w:fldCharType="separate"/>
            </w:r>
            <w:r>
              <w:rPr>
                <w:noProof/>
                <w:webHidden/>
              </w:rPr>
              <w:t>11</w:t>
            </w:r>
            <w:r>
              <w:rPr>
                <w:noProof/>
                <w:webHidden/>
              </w:rPr>
              <w:fldChar w:fldCharType="end"/>
            </w:r>
          </w:hyperlink>
        </w:p>
        <w:p w14:paraId="1C784625" w14:textId="360C9649" w:rsidR="00C953E4" w:rsidRDefault="00C953E4">
          <w:pPr>
            <w:pStyle w:val="TOC2"/>
            <w:rPr>
              <w:rFonts w:asciiTheme="minorHAnsi" w:hAnsiTheme="minorHAnsi" w:cstheme="minorBidi"/>
              <w:b w:val="0"/>
              <w:bCs w:val="0"/>
              <w:noProof/>
              <w:color w:val="auto"/>
              <w:sz w:val="24"/>
              <w:szCs w:val="24"/>
              <w:lang w:eastAsia="en-US"/>
            </w:rPr>
          </w:pPr>
          <w:hyperlink w:anchor="_Toc226444446" w:history="1">
            <w:r w:rsidRPr="00A35CEB">
              <w:rPr>
                <w:rStyle w:val="Hyperlink"/>
                <w:noProof/>
              </w:rPr>
              <w:t>3.4 Individual Transition from an Institution</w:t>
            </w:r>
            <w:r>
              <w:rPr>
                <w:noProof/>
                <w:webHidden/>
              </w:rPr>
              <w:tab/>
            </w:r>
            <w:r>
              <w:rPr>
                <w:noProof/>
                <w:webHidden/>
              </w:rPr>
              <w:fldChar w:fldCharType="begin"/>
            </w:r>
            <w:r>
              <w:rPr>
                <w:noProof/>
                <w:webHidden/>
              </w:rPr>
              <w:instrText xml:space="preserve"> PAGEREF _Toc226444446 \h </w:instrText>
            </w:r>
            <w:r>
              <w:rPr>
                <w:noProof/>
                <w:webHidden/>
              </w:rPr>
            </w:r>
            <w:r>
              <w:rPr>
                <w:noProof/>
                <w:webHidden/>
              </w:rPr>
              <w:fldChar w:fldCharType="separate"/>
            </w:r>
            <w:r>
              <w:rPr>
                <w:noProof/>
                <w:webHidden/>
              </w:rPr>
              <w:t>12</w:t>
            </w:r>
            <w:r>
              <w:rPr>
                <w:noProof/>
                <w:webHidden/>
              </w:rPr>
              <w:fldChar w:fldCharType="end"/>
            </w:r>
          </w:hyperlink>
        </w:p>
        <w:p w14:paraId="4D27BC47" w14:textId="02194EF7" w:rsidR="00C953E4" w:rsidRDefault="00C953E4">
          <w:pPr>
            <w:pStyle w:val="TOC2"/>
            <w:rPr>
              <w:rFonts w:asciiTheme="minorHAnsi" w:hAnsiTheme="minorHAnsi" w:cstheme="minorBidi"/>
              <w:b w:val="0"/>
              <w:bCs w:val="0"/>
              <w:noProof/>
              <w:color w:val="auto"/>
              <w:sz w:val="24"/>
              <w:szCs w:val="24"/>
              <w:lang w:eastAsia="en-US"/>
            </w:rPr>
          </w:pPr>
          <w:hyperlink w:anchor="_Toc226444447" w:history="1">
            <w:r w:rsidRPr="00A35CEB">
              <w:rPr>
                <w:rStyle w:val="Hyperlink"/>
                <w:noProof/>
              </w:rPr>
              <w:t>3.5 Billing an Activity for Individuals Not on Caseload</w:t>
            </w:r>
            <w:r>
              <w:rPr>
                <w:noProof/>
                <w:webHidden/>
              </w:rPr>
              <w:tab/>
            </w:r>
            <w:r>
              <w:rPr>
                <w:noProof/>
                <w:webHidden/>
              </w:rPr>
              <w:fldChar w:fldCharType="begin"/>
            </w:r>
            <w:r>
              <w:rPr>
                <w:noProof/>
                <w:webHidden/>
              </w:rPr>
              <w:instrText xml:space="preserve"> PAGEREF _Toc226444447 \h </w:instrText>
            </w:r>
            <w:r>
              <w:rPr>
                <w:noProof/>
                <w:webHidden/>
              </w:rPr>
            </w:r>
            <w:r>
              <w:rPr>
                <w:noProof/>
                <w:webHidden/>
              </w:rPr>
              <w:fldChar w:fldCharType="separate"/>
            </w:r>
            <w:r>
              <w:rPr>
                <w:noProof/>
                <w:webHidden/>
              </w:rPr>
              <w:t>12</w:t>
            </w:r>
            <w:r>
              <w:rPr>
                <w:noProof/>
                <w:webHidden/>
              </w:rPr>
              <w:fldChar w:fldCharType="end"/>
            </w:r>
          </w:hyperlink>
        </w:p>
        <w:p w14:paraId="086ECA89" w14:textId="3EB4B3BF" w:rsidR="00C953E4" w:rsidRDefault="00C953E4">
          <w:pPr>
            <w:pStyle w:val="TOC2"/>
            <w:rPr>
              <w:rFonts w:asciiTheme="minorHAnsi" w:hAnsiTheme="minorHAnsi" w:cstheme="minorBidi"/>
              <w:b w:val="0"/>
              <w:bCs w:val="0"/>
              <w:noProof/>
              <w:color w:val="auto"/>
              <w:sz w:val="24"/>
              <w:szCs w:val="24"/>
              <w:lang w:eastAsia="en-US"/>
            </w:rPr>
          </w:pPr>
          <w:hyperlink w:anchor="_Toc226444448" w:history="1">
            <w:r w:rsidRPr="00A35CEB">
              <w:rPr>
                <w:rStyle w:val="Hyperlink"/>
                <w:noProof/>
              </w:rPr>
              <w:t>3.6 Case Closure</w:t>
            </w:r>
            <w:r>
              <w:rPr>
                <w:noProof/>
                <w:webHidden/>
              </w:rPr>
              <w:tab/>
            </w:r>
            <w:r>
              <w:rPr>
                <w:noProof/>
                <w:webHidden/>
              </w:rPr>
              <w:fldChar w:fldCharType="begin"/>
            </w:r>
            <w:r>
              <w:rPr>
                <w:noProof/>
                <w:webHidden/>
              </w:rPr>
              <w:instrText xml:space="preserve"> PAGEREF _Toc226444448 \h </w:instrText>
            </w:r>
            <w:r>
              <w:rPr>
                <w:noProof/>
                <w:webHidden/>
              </w:rPr>
            </w:r>
            <w:r>
              <w:rPr>
                <w:noProof/>
                <w:webHidden/>
              </w:rPr>
              <w:fldChar w:fldCharType="separate"/>
            </w:r>
            <w:r>
              <w:rPr>
                <w:noProof/>
                <w:webHidden/>
              </w:rPr>
              <w:t>12</w:t>
            </w:r>
            <w:r>
              <w:rPr>
                <w:noProof/>
                <w:webHidden/>
              </w:rPr>
              <w:fldChar w:fldCharType="end"/>
            </w:r>
          </w:hyperlink>
        </w:p>
        <w:p w14:paraId="1D5C9BF9" w14:textId="7FD5EBD8"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49" w:history="1">
            <w:r w:rsidRPr="00A35CEB">
              <w:rPr>
                <w:rStyle w:val="Hyperlink"/>
                <w:noProof/>
              </w:rPr>
              <w:t xml:space="preserve">Section 4:  </w:t>
            </w:r>
            <w:r w:rsidRPr="00A35CEB">
              <w:rPr>
                <w:rStyle w:val="Hyperlink"/>
                <w:rFonts w:eastAsia="Times New Roman"/>
                <w:noProof/>
              </w:rPr>
              <w:t>Administration</w:t>
            </w:r>
            <w:r>
              <w:rPr>
                <w:noProof/>
                <w:webHidden/>
              </w:rPr>
              <w:tab/>
            </w:r>
            <w:r>
              <w:rPr>
                <w:noProof/>
                <w:webHidden/>
              </w:rPr>
              <w:fldChar w:fldCharType="begin"/>
            </w:r>
            <w:r>
              <w:rPr>
                <w:noProof/>
                <w:webHidden/>
              </w:rPr>
              <w:instrText xml:space="preserve"> PAGEREF _Toc226444449 \h </w:instrText>
            </w:r>
            <w:r>
              <w:rPr>
                <w:noProof/>
                <w:webHidden/>
              </w:rPr>
            </w:r>
            <w:r>
              <w:rPr>
                <w:noProof/>
                <w:webHidden/>
              </w:rPr>
              <w:fldChar w:fldCharType="separate"/>
            </w:r>
            <w:r>
              <w:rPr>
                <w:noProof/>
                <w:webHidden/>
              </w:rPr>
              <w:t>13</w:t>
            </w:r>
            <w:r>
              <w:rPr>
                <w:noProof/>
                <w:webHidden/>
              </w:rPr>
              <w:fldChar w:fldCharType="end"/>
            </w:r>
          </w:hyperlink>
        </w:p>
        <w:p w14:paraId="04D86DC3" w14:textId="4C1F7D10" w:rsidR="00C953E4" w:rsidRDefault="00C953E4">
          <w:pPr>
            <w:pStyle w:val="TOC2"/>
            <w:rPr>
              <w:rFonts w:asciiTheme="minorHAnsi" w:hAnsiTheme="minorHAnsi" w:cstheme="minorBidi"/>
              <w:b w:val="0"/>
              <w:bCs w:val="0"/>
              <w:noProof/>
              <w:color w:val="auto"/>
              <w:sz w:val="24"/>
              <w:szCs w:val="24"/>
              <w:lang w:eastAsia="en-US"/>
            </w:rPr>
          </w:pPr>
          <w:hyperlink w:anchor="_Toc226444450" w:history="1">
            <w:r w:rsidRPr="00A35CEB">
              <w:rPr>
                <w:rStyle w:val="Hyperlink"/>
                <w:noProof/>
              </w:rPr>
              <w:t>4.1 System Edits Prior to Billing</w:t>
            </w:r>
            <w:r>
              <w:rPr>
                <w:noProof/>
                <w:webHidden/>
              </w:rPr>
              <w:tab/>
            </w:r>
            <w:r>
              <w:rPr>
                <w:noProof/>
                <w:webHidden/>
              </w:rPr>
              <w:fldChar w:fldCharType="begin"/>
            </w:r>
            <w:r>
              <w:rPr>
                <w:noProof/>
                <w:webHidden/>
              </w:rPr>
              <w:instrText xml:space="preserve"> PAGEREF _Toc226444450 \h </w:instrText>
            </w:r>
            <w:r>
              <w:rPr>
                <w:noProof/>
                <w:webHidden/>
              </w:rPr>
            </w:r>
            <w:r>
              <w:rPr>
                <w:noProof/>
                <w:webHidden/>
              </w:rPr>
              <w:fldChar w:fldCharType="separate"/>
            </w:r>
            <w:r>
              <w:rPr>
                <w:noProof/>
                <w:webHidden/>
              </w:rPr>
              <w:t>13</w:t>
            </w:r>
            <w:r>
              <w:rPr>
                <w:noProof/>
                <w:webHidden/>
              </w:rPr>
              <w:fldChar w:fldCharType="end"/>
            </w:r>
          </w:hyperlink>
        </w:p>
        <w:p w14:paraId="7DF77E32" w14:textId="0D694EA7"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51" w:history="1">
            <w:r w:rsidRPr="00A35CEB">
              <w:rPr>
                <w:rStyle w:val="Hyperlink"/>
                <w:rFonts w:eastAsia="Times New Roman"/>
                <w:noProof/>
                <w:lang w:val="fr-FR"/>
              </w:rPr>
              <w:t>Section 5:  Service Limitations and Non-Billable Activities</w:t>
            </w:r>
            <w:r>
              <w:rPr>
                <w:noProof/>
                <w:webHidden/>
              </w:rPr>
              <w:tab/>
            </w:r>
            <w:r>
              <w:rPr>
                <w:noProof/>
                <w:webHidden/>
              </w:rPr>
              <w:fldChar w:fldCharType="begin"/>
            </w:r>
            <w:r>
              <w:rPr>
                <w:noProof/>
                <w:webHidden/>
              </w:rPr>
              <w:instrText xml:space="preserve"> PAGEREF _Toc226444451 \h </w:instrText>
            </w:r>
            <w:r>
              <w:rPr>
                <w:noProof/>
                <w:webHidden/>
              </w:rPr>
            </w:r>
            <w:r>
              <w:rPr>
                <w:noProof/>
                <w:webHidden/>
              </w:rPr>
              <w:fldChar w:fldCharType="separate"/>
            </w:r>
            <w:r>
              <w:rPr>
                <w:noProof/>
                <w:webHidden/>
              </w:rPr>
              <w:t>13</w:t>
            </w:r>
            <w:r>
              <w:rPr>
                <w:noProof/>
                <w:webHidden/>
              </w:rPr>
              <w:fldChar w:fldCharType="end"/>
            </w:r>
          </w:hyperlink>
        </w:p>
        <w:p w14:paraId="1AB13263" w14:textId="5FADDA0C" w:rsidR="00C953E4" w:rsidRDefault="00C953E4">
          <w:pPr>
            <w:pStyle w:val="TOC2"/>
            <w:rPr>
              <w:rFonts w:asciiTheme="minorHAnsi" w:hAnsiTheme="minorHAnsi" w:cstheme="minorBidi"/>
              <w:b w:val="0"/>
              <w:bCs w:val="0"/>
              <w:noProof/>
              <w:color w:val="auto"/>
              <w:sz w:val="24"/>
              <w:szCs w:val="24"/>
              <w:lang w:eastAsia="en-US"/>
            </w:rPr>
          </w:pPr>
          <w:hyperlink w:anchor="_Toc226444452" w:history="1">
            <w:r w:rsidRPr="00A35CEB">
              <w:rPr>
                <w:rStyle w:val="Hyperlink"/>
                <w:noProof/>
                <w:lang w:val="fr-FR"/>
              </w:rPr>
              <w:t>5.1 Service Limitations</w:t>
            </w:r>
            <w:r>
              <w:rPr>
                <w:noProof/>
                <w:webHidden/>
              </w:rPr>
              <w:tab/>
            </w:r>
            <w:r>
              <w:rPr>
                <w:noProof/>
                <w:webHidden/>
              </w:rPr>
              <w:fldChar w:fldCharType="begin"/>
            </w:r>
            <w:r>
              <w:rPr>
                <w:noProof/>
                <w:webHidden/>
              </w:rPr>
              <w:instrText xml:space="preserve"> PAGEREF _Toc226444452 \h </w:instrText>
            </w:r>
            <w:r>
              <w:rPr>
                <w:noProof/>
                <w:webHidden/>
              </w:rPr>
            </w:r>
            <w:r>
              <w:rPr>
                <w:noProof/>
                <w:webHidden/>
              </w:rPr>
              <w:fldChar w:fldCharType="separate"/>
            </w:r>
            <w:r>
              <w:rPr>
                <w:noProof/>
                <w:webHidden/>
              </w:rPr>
              <w:t>13</w:t>
            </w:r>
            <w:r>
              <w:rPr>
                <w:noProof/>
                <w:webHidden/>
              </w:rPr>
              <w:fldChar w:fldCharType="end"/>
            </w:r>
          </w:hyperlink>
        </w:p>
        <w:p w14:paraId="1AE6BAF0" w14:textId="45FD2A83" w:rsidR="00C953E4" w:rsidRDefault="00C953E4">
          <w:pPr>
            <w:pStyle w:val="TOC2"/>
            <w:rPr>
              <w:rFonts w:asciiTheme="minorHAnsi" w:hAnsiTheme="minorHAnsi" w:cstheme="minorBidi"/>
              <w:b w:val="0"/>
              <w:bCs w:val="0"/>
              <w:noProof/>
              <w:color w:val="auto"/>
              <w:sz w:val="24"/>
              <w:szCs w:val="24"/>
              <w:lang w:eastAsia="en-US"/>
            </w:rPr>
          </w:pPr>
          <w:hyperlink w:anchor="_Toc226444453" w:history="1">
            <w:r w:rsidRPr="00A35CEB">
              <w:rPr>
                <w:rStyle w:val="Hyperlink"/>
                <w:noProof/>
              </w:rPr>
              <w:t>5.2 Accompanying an Individual</w:t>
            </w:r>
            <w:r>
              <w:rPr>
                <w:noProof/>
                <w:webHidden/>
              </w:rPr>
              <w:tab/>
            </w:r>
            <w:r>
              <w:rPr>
                <w:noProof/>
                <w:webHidden/>
              </w:rPr>
              <w:fldChar w:fldCharType="begin"/>
            </w:r>
            <w:r>
              <w:rPr>
                <w:noProof/>
                <w:webHidden/>
              </w:rPr>
              <w:instrText xml:space="preserve"> PAGEREF _Toc226444453 \h </w:instrText>
            </w:r>
            <w:r>
              <w:rPr>
                <w:noProof/>
                <w:webHidden/>
              </w:rPr>
            </w:r>
            <w:r>
              <w:rPr>
                <w:noProof/>
                <w:webHidden/>
              </w:rPr>
              <w:fldChar w:fldCharType="separate"/>
            </w:r>
            <w:r>
              <w:rPr>
                <w:noProof/>
                <w:webHidden/>
              </w:rPr>
              <w:t>15</w:t>
            </w:r>
            <w:r>
              <w:rPr>
                <w:noProof/>
                <w:webHidden/>
              </w:rPr>
              <w:fldChar w:fldCharType="end"/>
            </w:r>
          </w:hyperlink>
        </w:p>
        <w:p w14:paraId="209E3ACB" w14:textId="37535214" w:rsidR="00C953E4" w:rsidRDefault="00C953E4">
          <w:pPr>
            <w:pStyle w:val="TOC2"/>
            <w:rPr>
              <w:rFonts w:asciiTheme="minorHAnsi" w:hAnsiTheme="minorHAnsi" w:cstheme="minorBidi"/>
              <w:b w:val="0"/>
              <w:bCs w:val="0"/>
              <w:noProof/>
              <w:color w:val="auto"/>
              <w:sz w:val="24"/>
              <w:szCs w:val="24"/>
              <w:lang w:eastAsia="en-US"/>
            </w:rPr>
          </w:pPr>
          <w:hyperlink w:anchor="_Toc226444454" w:history="1">
            <w:r w:rsidRPr="00A35CEB">
              <w:rPr>
                <w:rStyle w:val="Hyperlink"/>
                <w:noProof/>
              </w:rPr>
              <w:t>5.3 Multiple Agencies</w:t>
            </w:r>
            <w:r>
              <w:rPr>
                <w:noProof/>
                <w:webHidden/>
              </w:rPr>
              <w:tab/>
            </w:r>
            <w:r>
              <w:rPr>
                <w:noProof/>
                <w:webHidden/>
              </w:rPr>
              <w:fldChar w:fldCharType="begin"/>
            </w:r>
            <w:r>
              <w:rPr>
                <w:noProof/>
                <w:webHidden/>
              </w:rPr>
              <w:instrText xml:space="preserve"> PAGEREF _Toc226444454 \h </w:instrText>
            </w:r>
            <w:r>
              <w:rPr>
                <w:noProof/>
                <w:webHidden/>
              </w:rPr>
            </w:r>
            <w:r>
              <w:rPr>
                <w:noProof/>
                <w:webHidden/>
              </w:rPr>
              <w:fldChar w:fldCharType="separate"/>
            </w:r>
            <w:r>
              <w:rPr>
                <w:noProof/>
                <w:webHidden/>
              </w:rPr>
              <w:t>15</w:t>
            </w:r>
            <w:r>
              <w:rPr>
                <w:noProof/>
                <w:webHidden/>
              </w:rPr>
              <w:fldChar w:fldCharType="end"/>
            </w:r>
          </w:hyperlink>
        </w:p>
        <w:p w14:paraId="71423AA9" w14:textId="48E18C20" w:rsidR="00C953E4" w:rsidRDefault="00C953E4">
          <w:pPr>
            <w:pStyle w:val="TOC2"/>
            <w:rPr>
              <w:rFonts w:asciiTheme="minorHAnsi" w:hAnsiTheme="minorHAnsi" w:cstheme="minorBidi"/>
              <w:b w:val="0"/>
              <w:bCs w:val="0"/>
              <w:noProof/>
              <w:color w:val="auto"/>
              <w:sz w:val="24"/>
              <w:szCs w:val="24"/>
              <w:lang w:eastAsia="en-US"/>
            </w:rPr>
          </w:pPr>
          <w:hyperlink w:anchor="_Toc226444455" w:history="1">
            <w:r w:rsidRPr="00A35CEB">
              <w:rPr>
                <w:rStyle w:val="Hyperlink"/>
                <w:noProof/>
              </w:rPr>
              <w:t>5.4 Non-Billable Activities</w:t>
            </w:r>
            <w:r>
              <w:rPr>
                <w:noProof/>
                <w:webHidden/>
              </w:rPr>
              <w:tab/>
            </w:r>
            <w:r>
              <w:rPr>
                <w:noProof/>
                <w:webHidden/>
              </w:rPr>
              <w:fldChar w:fldCharType="begin"/>
            </w:r>
            <w:r>
              <w:rPr>
                <w:noProof/>
                <w:webHidden/>
              </w:rPr>
              <w:instrText xml:space="preserve"> PAGEREF _Toc226444455 \h </w:instrText>
            </w:r>
            <w:r>
              <w:rPr>
                <w:noProof/>
                <w:webHidden/>
              </w:rPr>
            </w:r>
            <w:r>
              <w:rPr>
                <w:noProof/>
                <w:webHidden/>
              </w:rPr>
              <w:fldChar w:fldCharType="separate"/>
            </w:r>
            <w:r>
              <w:rPr>
                <w:noProof/>
                <w:webHidden/>
              </w:rPr>
              <w:t>16</w:t>
            </w:r>
            <w:r>
              <w:rPr>
                <w:noProof/>
                <w:webHidden/>
              </w:rPr>
              <w:fldChar w:fldCharType="end"/>
            </w:r>
          </w:hyperlink>
        </w:p>
        <w:p w14:paraId="14D15916" w14:textId="75B34995" w:rsidR="00C953E4" w:rsidRDefault="00C953E4">
          <w:pPr>
            <w:pStyle w:val="TOC3"/>
            <w:rPr>
              <w:rFonts w:asciiTheme="minorHAnsi" w:hAnsiTheme="minorHAnsi" w:cstheme="minorBidi"/>
              <w:noProof/>
              <w:color w:val="auto"/>
              <w:sz w:val="24"/>
              <w:szCs w:val="24"/>
              <w:lang w:eastAsia="en-US"/>
            </w:rPr>
          </w:pPr>
          <w:hyperlink w:anchor="_Toc226444456" w:history="1">
            <w:r w:rsidRPr="00A35CEB">
              <w:rPr>
                <w:rStyle w:val="Hyperlink"/>
                <w:noProof/>
              </w:rPr>
              <w:t>Knowledge Enrichment</w:t>
            </w:r>
            <w:r>
              <w:rPr>
                <w:noProof/>
                <w:webHidden/>
              </w:rPr>
              <w:tab/>
            </w:r>
            <w:r>
              <w:rPr>
                <w:noProof/>
                <w:webHidden/>
              </w:rPr>
              <w:fldChar w:fldCharType="begin"/>
            </w:r>
            <w:r>
              <w:rPr>
                <w:noProof/>
                <w:webHidden/>
              </w:rPr>
              <w:instrText xml:space="preserve"> PAGEREF _Toc226444456 \h </w:instrText>
            </w:r>
            <w:r>
              <w:rPr>
                <w:noProof/>
                <w:webHidden/>
              </w:rPr>
            </w:r>
            <w:r>
              <w:rPr>
                <w:noProof/>
                <w:webHidden/>
              </w:rPr>
              <w:fldChar w:fldCharType="separate"/>
            </w:r>
            <w:r>
              <w:rPr>
                <w:noProof/>
                <w:webHidden/>
              </w:rPr>
              <w:t>16</w:t>
            </w:r>
            <w:r>
              <w:rPr>
                <w:noProof/>
                <w:webHidden/>
              </w:rPr>
              <w:fldChar w:fldCharType="end"/>
            </w:r>
          </w:hyperlink>
        </w:p>
        <w:p w14:paraId="3E5365DA" w14:textId="242084D5" w:rsidR="00C953E4" w:rsidRDefault="00C953E4">
          <w:pPr>
            <w:pStyle w:val="TOC3"/>
            <w:rPr>
              <w:rFonts w:asciiTheme="minorHAnsi" w:hAnsiTheme="minorHAnsi" w:cstheme="minorBidi"/>
              <w:noProof/>
              <w:color w:val="auto"/>
              <w:sz w:val="24"/>
              <w:szCs w:val="24"/>
              <w:lang w:eastAsia="en-US"/>
            </w:rPr>
          </w:pPr>
          <w:hyperlink w:anchor="_Toc226444457" w:history="1">
            <w:r w:rsidRPr="00A35CEB">
              <w:rPr>
                <w:rStyle w:val="Hyperlink"/>
                <w:noProof/>
              </w:rPr>
              <w:t>Networking</w:t>
            </w:r>
            <w:r>
              <w:rPr>
                <w:noProof/>
                <w:webHidden/>
              </w:rPr>
              <w:tab/>
            </w:r>
            <w:r>
              <w:rPr>
                <w:noProof/>
                <w:webHidden/>
              </w:rPr>
              <w:fldChar w:fldCharType="begin"/>
            </w:r>
            <w:r>
              <w:rPr>
                <w:noProof/>
                <w:webHidden/>
              </w:rPr>
              <w:instrText xml:space="preserve"> PAGEREF _Toc226444457 \h </w:instrText>
            </w:r>
            <w:r>
              <w:rPr>
                <w:noProof/>
                <w:webHidden/>
              </w:rPr>
            </w:r>
            <w:r>
              <w:rPr>
                <w:noProof/>
                <w:webHidden/>
              </w:rPr>
              <w:fldChar w:fldCharType="separate"/>
            </w:r>
            <w:r>
              <w:rPr>
                <w:noProof/>
                <w:webHidden/>
              </w:rPr>
              <w:t>16</w:t>
            </w:r>
            <w:r>
              <w:rPr>
                <w:noProof/>
                <w:webHidden/>
              </w:rPr>
              <w:fldChar w:fldCharType="end"/>
            </w:r>
          </w:hyperlink>
        </w:p>
        <w:p w14:paraId="20773344" w14:textId="028C66EC" w:rsidR="00C953E4" w:rsidRDefault="00C953E4">
          <w:pPr>
            <w:pStyle w:val="TOC3"/>
            <w:rPr>
              <w:rFonts w:asciiTheme="minorHAnsi" w:hAnsiTheme="minorHAnsi" w:cstheme="minorBidi"/>
              <w:noProof/>
              <w:color w:val="auto"/>
              <w:sz w:val="24"/>
              <w:szCs w:val="24"/>
              <w:lang w:eastAsia="en-US"/>
            </w:rPr>
          </w:pPr>
          <w:hyperlink w:anchor="_Toc226444458" w:history="1">
            <w:r w:rsidRPr="00A35CEB">
              <w:rPr>
                <w:rStyle w:val="Hyperlink"/>
                <w:noProof/>
              </w:rPr>
              <w:t>Direct Support</w:t>
            </w:r>
            <w:r>
              <w:rPr>
                <w:noProof/>
                <w:webHidden/>
              </w:rPr>
              <w:tab/>
            </w:r>
            <w:r>
              <w:rPr>
                <w:noProof/>
                <w:webHidden/>
              </w:rPr>
              <w:fldChar w:fldCharType="begin"/>
            </w:r>
            <w:r>
              <w:rPr>
                <w:noProof/>
                <w:webHidden/>
              </w:rPr>
              <w:instrText xml:space="preserve"> PAGEREF _Toc226444458 \h </w:instrText>
            </w:r>
            <w:r>
              <w:rPr>
                <w:noProof/>
                <w:webHidden/>
              </w:rPr>
            </w:r>
            <w:r>
              <w:rPr>
                <w:noProof/>
                <w:webHidden/>
              </w:rPr>
              <w:fldChar w:fldCharType="separate"/>
            </w:r>
            <w:r>
              <w:rPr>
                <w:noProof/>
                <w:webHidden/>
              </w:rPr>
              <w:t>16</w:t>
            </w:r>
            <w:r>
              <w:rPr>
                <w:noProof/>
                <w:webHidden/>
              </w:rPr>
              <w:fldChar w:fldCharType="end"/>
            </w:r>
          </w:hyperlink>
        </w:p>
        <w:p w14:paraId="17F66DBB" w14:textId="7EE2A194" w:rsidR="00C953E4" w:rsidRDefault="00C953E4">
          <w:pPr>
            <w:pStyle w:val="TOC3"/>
            <w:rPr>
              <w:rFonts w:asciiTheme="minorHAnsi" w:hAnsiTheme="minorHAnsi" w:cstheme="minorBidi"/>
              <w:noProof/>
              <w:color w:val="auto"/>
              <w:sz w:val="24"/>
              <w:szCs w:val="24"/>
              <w:lang w:eastAsia="en-US"/>
            </w:rPr>
          </w:pPr>
          <w:hyperlink w:anchor="_Toc226444459" w:history="1">
            <w:r w:rsidRPr="00A35CEB">
              <w:rPr>
                <w:rStyle w:val="Hyperlink"/>
                <w:noProof/>
              </w:rPr>
              <w:t>Crisis Intervention</w:t>
            </w:r>
            <w:r>
              <w:rPr>
                <w:noProof/>
                <w:webHidden/>
              </w:rPr>
              <w:tab/>
            </w:r>
            <w:r>
              <w:rPr>
                <w:noProof/>
                <w:webHidden/>
              </w:rPr>
              <w:fldChar w:fldCharType="begin"/>
            </w:r>
            <w:r>
              <w:rPr>
                <w:noProof/>
                <w:webHidden/>
              </w:rPr>
              <w:instrText xml:space="preserve"> PAGEREF _Toc226444459 \h </w:instrText>
            </w:r>
            <w:r>
              <w:rPr>
                <w:noProof/>
                <w:webHidden/>
              </w:rPr>
            </w:r>
            <w:r>
              <w:rPr>
                <w:noProof/>
                <w:webHidden/>
              </w:rPr>
              <w:fldChar w:fldCharType="separate"/>
            </w:r>
            <w:r>
              <w:rPr>
                <w:noProof/>
                <w:webHidden/>
              </w:rPr>
              <w:t>17</w:t>
            </w:r>
            <w:r>
              <w:rPr>
                <w:noProof/>
                <w:webHidden/>
              </w:rPr>
              <w:fldChar w:fldCharType="end"/>
            </w:r>
          </w:hyperlink>
        </w:p>
        <w:p w14:paraId="63DC50FC" w14:textId="51D33F34" w:rsidR="00C953E4" w:rsidRDefault="00C953E4">
          <w:pPr>
            <w:pStyle w:val="TOC3"/>
            <w:rPr>
              <w:rFonts w:asciiTheme="minorHAnsi" w:hAnsiTheme="minorHAnsi" w:cstheme="minorBidi"/>
              <w:noProof/>
              <w:color w:val="auto"/>
              <w:sz w:val="24"/>
              <w:szCs w:val="24"/>
              <w:lang w:eastAsia="en-US"/>
            </w:rPr>
          </w:pPr>
          <w:hyperlink w:anchor="_Toc226444460" w:history="1">
            <w:r w:rsidRPr="00A35CEB">
              <w:rPr>
                <w:rStyle w:val="Hyperlink"/>
                <w:noProof/>
              </w:rPr>
              <w:t>Abuse and Neglect Investigations</w:t>
            </w:r>
            <w:r>
              <w:rPr>
                <w:noProof/>
                <w:webHidden/>
              </w:rPr>
              <w:tab/>
            </w:r>
            <w:r>
              <w:rPr>
                <w:noProof/>
                <w:webHidden/>
              </w:rPr>
              <w:fldChar w:fldCharType="begin"/>
            </w:r>
            <w:r>
              <w:rPr>
                <w:noProof/>
                <w:webHidden/>
              </w:rPr>
              <w:instrText xml:space="preserve"> PAGEREF _Toc226444460 \h </w:instrText>
            </w:r>
            <w:r>
              <w:rPr>
                <w:noProof/>
                <w:webHidden/>
              </w:rPr>
            </w:r>
            <w:r>
              <w:rPr>
                <w:noProof/>
                <w:webHidden/>
              </w:rPr>
              <w:fldChar w:fldCharType="separate"/>
            </w:r>
            <w:r>
              <w:rPr>
                <w:noProof/>
                <w:webHidden/>
              </w:rPr>
              <w:t>17</w:t>
            </w:r>
            <w:r>
              <w:rPr>
                <w:noProof/>
                <w:webHidden/>
              </w:rPr>
              <w:fldChar w:fldCharType="end"/>
            </w:r>
          </w:hyperlink>
        </w:p>
        <w:p w14:paraId="161BBA47" w14:textId="4F2B1D6A" w:rsidR="00C953E4" w:rsidRDefault="00C953E4">
          <w:pPr>
            <w:pStyle w:val="TOC3"/>
            <w:rPr>
              <w:rFonts w:asciiTheme="minorHAnsi" w:hAnsiTheme="minorHAnsi" w:cstheme="minorBidi"/>
              <w:noProof/>
              <w:color w:val="auto"/>
              <w:sz w:val="24"/>
              <w:szCs w:val="24"/>
              <w:lang w:eastAsia="en-US"/>
            </w:rPr>
          </w:pPr>
          <w:hyperlink w:anchor="_Toc226444461" w:history="1">
            <w:r w:rsidRPr="00A35CEB">
              <w:rPr>
                <w:rStyle w:val="Hyperlink"/>
                <w:noProof/>
              </w:rPr>
              <w:t>Certification Survey Function</w:t>
            </w:r>
            <w:r>
              <w:rPr>
                <w:noProof/>
                <w:webHidden/>
              </w:rPr>
              <w:tab/>
            </w:r>
            <w:r>
              <w:rPr>
                <w:noProof/>
                <w:webHidden/>
              </w:rPr>
              <w:fldChar w:fldCharType="begin"/>
            </w:r>
            <w:r>
              <w:rPr>
                <w:noProof/>
                <w:webHidden/>
              </w:rPr>
              <w:instrText xml:space="preserve"> PAGEREF _Toc226444461 \h </w:instrText>
            </w:r>
            <w:r>
              <w:rPr>
                <w:noProof/>
                <w:webHidden/>
              </w:rPr>
            </w:r>
            <w:r>
              <w:rPr>
                <w:noProof/>
                <w:webHidden/>
              </w:rPr>
              <w:fldChar w:fldCharType="separate"/>
            </w:r>
            <w:r>
              <w:rPr>
                <w:noProof/>
                <w:webHidden/>
              </w:rPr>
              <w:t>17</w:t>
            </w:r>
            <w:r>
              <w:rPr>
                <w:noProof/>
                <w:webHidden/>
              </w:rPr>
              <w:fldChar w:fldCharType="end"/>
            </w:r>
          </w:hyperlink>
        </w:p>
        <w:p w14:paraId="40C5EA65" w14:textId="48C80E4E" w:rsidR="00C953E4" w:rsidRDefault="00C953E4">
          <w:pPr>
            <w:pStyle w:val="TOC3"/>
            <w:rPr>
              <w:rFonts w:asciiTheme="minorHAnsi" w:hAnsiTheme="minorHAnsi" w:cstheme="minorBidi"/>
              <w:noProof/>
              <w:color w:val="auto"/>
              <w:sz w:val="24"/>
              <w:szCs w:val="24"/>
              <w:lang w:eastAsia="en-US"/>
            </w:rPr>
          </w:pPr>
          <w:hyperlink w:anchor="_Toc226444462" w:history="1">
            <w:r w:rsidRPr="00A35CEB">
              <w:rPr>
                <w:rStyle w:val="Hyperlink"/>
                <w:noProof/>
              </w:rPr>
              <w:t>Utilization Review</w:t>
            </w:r>
            <w:r>
              <w:rPr>
                <w:noProof/>
                <w:webHidden/>
              </w:rPr>
              <w:tab/>
            </w:r>
            <w:r>
              <w:rPr>
                <w:noProof/>
                <w:webHidden/>
              </w:rPr>
              <w:fldChar w:fldCharType="begin"/>
            </w:r>
            <w:r>
              <w:rPr>
                <w:noProof/>
                <w:webHidden/>
              </w:rPr>
              <w:instrText xml:space="preserve"> PAGEREF _Toc226444462 \h </w:instrText>
            </w:r>
            <w:r>
              <w:rPr>
                <w:noProof/>
                <w:webHidden/>
              </w:rPr>
            </w:r>
            <w:r>
              <w:rPr>
                <w:noProof/>
                <w:webHidden/>
              </w:rPr>
              <w:fldChar w:fldCharType="separate"/>
            </w:r>
            <w:r>
              <w:rPr>
                <w:noProof/>
                <w:webHidden/>
              </w:rPr>
              <w:t>17</w:t>
            </w:r>
            <w:r>
              <w:rPr>
                <w:noProof/>
                <w:webHidden/>
              </w:rPr>
              <w:fldChar w:fldCharType="end"/>
            </w:r>
          </w:hyperlink>
        </w:p>
        <w:p w14:paraId="03BDEBCD" w14:textId="653E63E7"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63" w:history="1">
            <w:r w:rsidRPr="00A35CEB">
              <w:rPr>
                <w:rStyle w:val="Hyperlink"/>
                <w:rFonts w:eastAsia="Times New Roman"/>
                <w:noProof/>
              </w:rPr>
              <w:t>Section 6: Home and Community Based Services Waivers</w:t>
            </w:r>
            <w:r>
              <w:rPr>
                <w:noProof/>
                <w:webHidden/>
              </w:rPr>
              <w:tab/>
            </w:r>
            <w:r>
              <w:rPr>
                <w:noProof/>
                <w:webHidden/>
              </w:rPr>
              <w:fldChar w:fldCharType="begin"/>
            </w:r>
            <w:r>
              <w:rPr>
                <w:noProof/>
                <w:webHidden/>
              </w:rPr>
              <w:instrText xml:space="preserve"> PAGEREF _Toc226444463 \h </w:instrText>
            </w:r>
            <w:r>
              <w:rPr>
                <w:noProof/>
                <w:webHidden/>
              </w:rPr>
            </w:r>
            <w:r>
              <w:rPr>
                <w:noProof/>
                <w:webHidden/>
              </w:rPr>
              <w:fldChar w:fldCharType="separate"/>
            </w:r>
            <w:r>
              <w:rPr>
                <w:noProof/>
                <w:webHidden/>
              </w:rPr>
              <w:t>17</w:t>
            </w:r>
            <w:r>
              <w:rPr>
                <w:noProof/>
                <w:webHidden/>
              </w:rPr>
              <w:fldChar w:fldCharType="end"/>
            </w:r>
          </w:hyperlink>
        </w:p>
        <w:p w14:paraId="280BD969" w14:textId="081A5598" w:rsidR="00C953E4" w:rsidRDefault="00C953E4">
          <w:pPr>
            <w:pStyle w:val="TOC2"/>
            <w:rPr>
              <w:rFonts w:asciiTheme="minorHAnsi" w:hAnsiTheme="minorHAnsi" w:cstheme="minorBidi"/>
              <w:b w:val="0"/>
              <w:bCs w:val="0"/>
              <w:noProof/>
              <w:color w:val="auto"/>
              <w:sz w:val="24"/>
              <w:szCs w:val="24"/>
              <w:lang w:eastAsia="en-US"/>
            </w:rPr>
          </w:pPr>
          <w:hyperlink w:anchor="_Toc226444464" w:history="1">
            <w:r w:rsidRPr="00A35CEB">
              <w:rPr>
                <w:rStyle w:val="Hyperlink"/>
                <w:noProof/>
              </w:rPr>
              <w:t>6.1 Eligibility Determination</w:t>
            </w:r>
            <w:r>
              <w:rPr>
                <w:noProof/>
                <w:webHidden/>
              </w:rPr>
              <w:tab/>
            </w:r>
            <w:r>
              <w:rPr>
                <w:noProof/>
                <w:webHidden/>
              </w:rPr>
              <w:fldChar w:fldCharType="begin"/>
            </w:r>
            <w:r>
              <w:rPr>
                <w:noProof/>
                <w:webHidden/>
              </w:rPr>
              <w:instrText xml:space="preserve"> PAGEREF _Toc226444464 \h </w:instrText>
            </w:r>
            <w:r>
              <w:rPr>
                <w:noProof/>
                <w:webHidden/>
              </w:rPr>
            </w:r>
            <w:r>
              <w:rPr>
                <w:noProof/>
                <w:webHidden/>
              </w:rPr>
              <w:fldChar w:fldCharType="separate"/>
            </w:r>
            <w:r>
              <w:rPr>
                <w:noProof/>
                <w:webHidden/>
              </w:rPr>
              <w:t>18</w:t>
            </w:r>
            <w:r>
              <w:rPr>
                <w:noProof/>
                <w:webHidden/>
              </w:rPr>
              <w:fldChar w:fldCharType="end"/>
            </w:r>
          </w:hyperlink>
        </w:p>
        <w:p w14:paraId="69A064FD" w14:textId="7380DE79" w:rsidR="00C953E4" w:rsidRDefault="00C953E4">
          <w:pPr>
            <w:pStyle w:val="TOC2"/>
            <w:rPr>
              <w:rFonts w:asciiTheme="minorHAnsi" w:hAnsiTheme="minorHAnsi" w:cstheme="minorBidi"/>
              <w:b w:val="0"/>
              <w:bCs w:val="0"/>
              <w:noProof/>
              <w:color w:val="auto"/>
              <w:sz w:val="24"/>
              <w:szCs w:val="24"/>
              <w:lang w:eastAsia="en-US"/>
            </w:rPr>
          </w:pPr>
          <w:hyperlink w:anchor="_Toc226444465" w:history="1">
            <w:r w:rsidRPr="00A35CEB">
              <w:rPr>
                <w:rStyle w:val="Hyperlink"/>
                <w:noProof/>
              </w:rPr>
              <w:t>6.2 Person-Centered Service Plan</w:t>
            </w:r>
            <w:r>
              <w:rPr>
                <w:noProof/>
                <w:webHidden/>
              </w:rPr>
              <w:tab/>
            </w:r>
            <w:r>
              <w:rPr>
                <w:noProof/>
                <w:webHidden/>
              </w:rPr>
              <w:fldChar w:fldCharType="begin"/>
            </w:r>
            <w:r>
              <w:rPr>
                <w:noProof/>
                <w:webHidden/>
              </w:rPr>
              <w:instrText xml:space="preserve"> PAGEREF _Toc226444465 \h </w:instrText>
            </w:r>
            <w:r>
              <w:rPr>
                <w:noProof/>
                <w:webHidden/>
              </w:rPr>
            </w:r>
            <w:r>
              <w:rPr>
                <w:noProof/>
                <w:webHidden/>
              </w:rPr>
              <w:fldChar w:fldCharType="separate"/>
            </w:r>
            <w:r>
              <w:rPr>
                <w:noProof/>
                <w:webHidden/>
              </w:rPr>
              <w:t>18</w:t>
            </w:r>
            <w:r>
              <w:rPr>
                <w:noProof/>
                <w:webHidden/>
              </w:rPr>
              <w:fldChar w:fldCharType="end"/>
            </w:r>
          </w:hyperlink>
        </w:p>
        <w:p w14:paraId="494F2191" w14:textId="07BC11DE" w:rsidR="00C953E4" w:rsidRDefault="00C953E4">
          <w:pPr>
            <w:pStyle w:val="TOC2"/>
            <w:rPr>
              <w:rFonts w:asciiTheme="minorHAnsi" w:hAnsiTheme="minorHAnsi" w:cstheme="minorBidi"/>
              <w:b w:val="0"/>
              <w:bCs w:val="0"/>
              <w:noProof/>
              <w:color w:val="auto"/>
              <w:sz w:val="24"/>
              <w:szCs w:val="24"/>
              <w:lang w:eastAsia="en-US"/>
            </w:rPr>
          </w:pPr>
          <w:hyperlink w:anchor="_Toc226444466" w:history="1">
            <w:r w:rsidRPr="00A35CEB">
              <w:rPr>
                <w:rStyle w:val="Hyperlink"/>
                <w:noProof/>
              </w:rPr>
              <w:t>6.3 Case Management Service Freedom of Choice</w:t>
            </w:r>
            <w:r>
              <w:rPr>
                <w:noProof/>
                <w:webHidden/>
              </w:rPr>
              <w:tab/>
            </w:r>
            <w:r>
              <w:rPr>
                <w:noProof/>
                <w:webHidden/>
              </w:rPr>
              <w:fldChar w:fldCharType="begin"/>
            </w:r>
            <w:r>
              <w:rPr>
                <w:noProof/>
                <w:webHidden/>
              </w:rPr>
              <w:instrText xml:space="preserve"> PAGEREF _Toc226444466 \h </w:instrText>
            </w:r>
            <w:r>
              <w:rPr>
                <w:noProof/>
                <w:webHidden/>
              </w:rPr>
            </w:r>
            <w:r>
              <w:rPr>
                <w:noProof/>
                <w:webHidden/>
              </w:rPr>
              <w:fldChar w:fldCharType="separate"/>
            </w:r>
            <w:r>
              <w:rPr>
                <w:noProof/>
                <w:webHidden/>
              </w:rPr>
              <w:t>18</w:t>
            </w:r>
            <w:r>
              <w:rPr>
                <w:noProof/>
                <w:webHidden/>
              </w:rPr>
              <w:fldChar w:fldCharType="end"/>
            </w:r>
          </w:hyperlink>
        </w:p>
        <w:p w14:paraId="7BC7817A" w14:textId="3B14E5A7" w:rsidR="00C953E4" w:rsidRDefault="00C953E4">
          <w:pPr>
            <w:pStyle w:val="TOC2"/>
            <w:rPr>
              <w:rFonts w:asciiTheme="minorHAnsi" w:hAnsiTheme="minorHAnsi" w:cstheme="minorBidi"/>
              <w:b w:val="0"/>
              <w:bCs w:val="0"/>
              <w:noProof/>
              <w:color w:val="auto"/>
              <w:sz w:val="24"/>
              <w:szCs w:val="24"/>
              <w:lang w:eastAsia="en-US"/>
            </w:rPr>
          </w:pPr>
          <w:hyperlink w:anchor="_Toc226444467" w:history="1">
            <w:r w:rsidRPr="00A35CEB">
              <w:rPr>
                <w:rStyle w:val="Hyperlink"/>
                <w:noProof/>
              </w:rPr>
              <w:t>6.4 Waiver Freedom of Choice</w:t>
            </w:r>
            <w:r>
              <w:rPr>
                <w:noProof/>
                <w:webHidden/>
              </w:rPr>
              <w:tab/>
            </w:r>
            <w:r>
              <w:rPr>
                <w:noProof/>
                <w:webHidden/>
              </w:rPr>
              <w:fldChar w:fldCharType="begin"/>
            </w:r>
            <w:r>
              <w:rPr>
                <w:noProof/>
                <w:webHidden/>
              </w:rPr>
              <w:instrText xml:space="preserve"> PAGEREF _Toc226444467 \h </w:instrText>
            </w:r>
            <w:r>
              <w:rPr>
                <w:noProof/>
                <w:webHidden/>
              </w:rPr>
            </w:r>
            <w:r>
              <w:rPr>
                <w:noProof/>
                <w:webHidden/>
              </w:rPr>
              <w:fldChar w:fldCharType="separate"/>
            </w:r>
            <w:r>
              <w:rPr>
                <w:noProof/>
                <w:webHidden/>
              </w:rPr>
              <w:t>18</w:t>
            </w:r>
            <w:r>
              <w:rPr>
                <w:noProof/>
                <w:webHidden/>
              </w:rPr>
              <w:fldChar w:fldCharType="end"/>
            </w:r>
          </w:hyperlink>
        </w:p>
        <w:p w14:paraId="2FBF224D" w14:textId="0D88CE2C" w:rsidR="00C953E4" w:rsidRDefault="00C953E4">
          <w:pPr>
            <w:pStyle w:val="TOC2"/>
            <w:rPr>
              <w:rFonts w:asciiTheme="minorHAnsi" w:hAnsiTheme="minorHAnsi" w:cstheme="minorBidi"/>
              <w:b w:val="0"/>
              <w:bCs w:val="0"/>
              <w:noProof/>
              <w:color w:val="auto"/>
              <w:sz w:val="24"/>
              <w:szCs w:val="24"/>
              <w:lang w:eastAsia="en-US"/>
            </w:rPr>
          </w:pPr>
          <w:hyperlink w:anchor="_Toc226444468" w:history="1">
            <w:r w:rsidRPr="00A35CEB">
              <w:rPr>
                <w:rStyle w:val="Hyperlink"/>
                <w:noProof/>
              </w:rPr>
              <w:t>6.5 Due Process and Appeals</w:t>
            </w:r>
            <w:r>
              <w:rPr>
                <w:noProof/>
                <w:webHidden/>
              </w:rPr>
              <w:tab/>
            </w:r>
            <w:r>
              <w:rPr>
                <w:noProof/>
                <w:webHidden/>
              </w:rPr>
              <w:fldChar w:fldCharType="begin"/>
            </w:r>
            <w:r>
              <w:rPr>
                <w:noProof/>
                <w:webHidden/>
              </w:rPr>
              <w:instrText xml:space="preserve"> PAGEREF _Toc226444468 \h </w:instrText>
            </w:r>
            <w:r>
              <w:rPr>
                <w:noProof/>
                <w:webHidden/>
              </w:rPr>
            </w:r>
            <w:r>
              <w:rPr>
                <w:noProof/>
                <w:webHidden/>
              </w:rPr>
              <w:fldChar w:fldCharType="separate"/>
            </w:r>
            <w:r>
              <w:rPr>
                <w:noProof/>
                <w:webHidden/>
              </w:rPr>
              <w:t>19</w:t>
            </w:r>
            <w:r>
              <w:rPr>
                <w:noProof/>
                <w:webHidden/>
              </w:rPr>
              <w:fldChar w:fldCharType="end"/>
            </w:r>
          </w:hyperlink>
        </w:p>
        <w:p w14:paraId="5293BCE9" w14:textId="1DBAD4A5" w:rsidR="00C953E4" w:rsidRDefault="00C953E4">
          <w:pPr>
            <w:pStyle w:val="TOC2"/>
            <w:rPr>
              <w:rFonts w:asciiTheme="minorHAnsi" w:hAnsiTheme="minorHAnsi" w:cstheme="minorBidi"/>
              <w:b w:val="0"/>
              <w:bCs w:val="0"/>
              <w:noProof/>
              <w:color w:val="auto"/>
              <w:sz w:val="24"/>
              <w:szCs w:val="24"/>
              <w:lang w:eastAsia="en-US"/>
            </w:rPr>
          </w:pPr>
          <w:hyperlink w:anchor="_Toc226444469" w:history="1">
            <w:r w:rsidRPr="00A35CEB">
              <w:rPr>
                <w:rStyle w:val="Hyperlink"/>
                <w:noProof/>
              </w:rPr>
              <w:t>6.6 Responsibility of the Support Coordinator in Appeal Process</w:t>
            </w:r>
            <w:r>
              <w:rPr>
                <w:noProof/>
                <w:webHidden/>
              </w:rPr>
              <w:tab/>
            </w:r>
            <w:r>
              <w:rPr>
                <w:noProof/>
                <w:webHidden/>
              </w:rPr>
              <w:fldChar w:fldCharType="begin"/>
            </w:r>
            <w:r>
              <w:rPr>
                <w:noProof/>
                <w:webHidden/>
              </w:rPr>
              <w:instrText xml:space="preserve"> PAGEREF _Toc226444469 \h </w:instrText>
            </w:r>
            <w:r>
              <w:rPr>
                <w:noProof/>
                <w:webHidden/>
              </w:rPr>
            </w:r>
            <w:r>
              <w:rPr>
                <w:noProof/>
                <w:webHidden/>
              </w:rPr>
              <w:fldChar w:fldCharType="separate"/>
            </w:r>
            <w:r>
              <w:rPr>
                <w:noProof/>
                <w:webHidden/>
              </w:rPr>
              <w:t>20</w:t>
            </w:r>
            <w:r>
              <w:rPr>
                <w:noProof/>
                <w:webHidden/>
              </w:rPr>
              <w:fldChar w:fldCharType="end"/>
            </w:r>
          </w:hyperlink>
        </w:p>
        <w:p w14:paraId="08C327CA" w14:textId="50138076" w:rsidR="00C953E4" w:rsidRDefault="00C953E4">
          <w:pPr>
            <w:pStyle w:val="TOC2"/>
            <w:rPr>
              <w:rFonts w:asciiTheme="minorHAnsi" w:hAnsiTheme="minorHAnsi" w:cstheme="minorBidi"/>
              <w:b w:val="0"/>
              <w:bCs w:val="0"/>
              <w:noProof/>
              <w:color w:val="auto"/>
              <w:sz w:val="24"/>
              <w:szCs w:val="24"/>
              <w:lang w:eastAsia="en-US"/>
            </w:rPr>
          </w:pPr>
          <w:hyperlink w:anchor="_Toc226444470" w:history="1">
            <w:r w:rsidRPr="00A35CEB">
              <w:rPr>
                <w:rStyle w:val="Hyperlink"/>
                <w:noProof/>
              </w:rPr>
              <w:t>6.7 Value-Based Payment</w:t>
            </w:r>
            <w:r>
              <w:rPr>
                <w:noProof/>
                <w:webHidden/>
              </w:rPr>
              <w:tab/>
            </w:r>
            <w:r>
              <w:rPr>
                <w:noProof/>
                <w:webHidden/>
              </w:rPr>
              <w:fldChar w:fldCharType="begin"/>
            </w:r>
            <w:r>
              <w:rPr>
                <w:noProof/>
                <w:webHidden/>
              </w:rPr>
              <w:instrText xml:space="preserve"> PAGEREF _Toc226444470 \h </w:instrText>
            </w:r>
            <w:r>
              <w:rPr>
                <w:noProof/>
                <w:webHidden/>
              </w:rPr>
            </w:r>
            <w:r>
              <w:rPr>
                <w:noProof/>
                <w:webHidden/>
              </w:rPr>
              <w:fldChar w:fldCharType="separate"/>
            </w:r>
            <w:r>
              <w:rPr>
                <w:noProof/>
                <w:webHidden/>
              </w:rPr>
              <w:t>20</w:t>
            </w:r>
            <w:r>
              <w:rPr>
                <w:noProof/>
                <w:webHidden/>
              </w:rPr>
              <w:fldChar w:fldCharType="end"/>
            </w:r>
          </w:hyperlink>
        </w:p>
        <w:p w14:paraId="41DA2E80" w14:textId="4CC3089E"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71" w:history="1">
            <w:r w:rsidRPr="00A35CEB">
              <w:rPr>
                <w:rStyle w:val="Hyperlink"/>
                <w:rFonts w:eastAsia="Times New Roman"/>
                <w:noProof/>
              </w:rPr>
              <w:t>Section 7:  Adequate Documentation</w:t>
            </w:r>
            <w:r>
              <w:rPr>
                <w:noProof/>
                <w:webHidden/>
              </w:rPr>
              <w:tab/>
            </w:r>
            <w:r>
              <w:rPr>
                <w:noProof/>
                <w:webHidden/>
              </w:rPr>
              <w:fldChar w:fldCharType="begin"/>
            </w:r>
            <w:r>
              <w:rPr>
                <w:noProof/>
                <w:webHidden/>
              </w:rPr>
              <w:instrText xml:space="preserve"> PAGEREF _Toc226444471 \h </w:instrText>
            </w:r>
            <w:r>
              <w:rPr>
                <w:noProof/>
                <w:webHidden/>
              </w:rPr>
            </w:r>
            <w:r>
              <w:rPr>
                <w:noProof/>
                <w:webHidden/>
              </w:rPr>
              <w:fldChar w:fldCharType="separate"/>
            </w:r>
            <w:r>
              <w:rPr>
                <w:noProof/>
                <w:webHidden/>
              </w:rPr>
              <w:t>21</w:t>
            </w:r>
            <w:r>
              <w:rPr>
                <w:noProof/>
                <w:webHidden/>
              </w:rPr>
              <w:fldChar w:fldCharType="end"/>
            </w:r>
          </w:hyperlink>
        </w:p>
        <w:p w14:paraId="6A36AE3A" w14:textId="587E1EEA" w:rsidR="00C953E4" w:rsidRDefault="00C953E4">
          <w:pPr>
            <w:pStyle w:val="TOC2"/>
            <w:rPr>
              <w:rFonts w:asciiTheme="minorHAnsi" w:hAnsiTheme="minorHAnsi" w:cstheme="minorBidi"/>
              <w:b w:val="0"/>
              <w:bCs w:val="0"/>
              <w:noProof/>
              <w:color w:val="auto"/>
              <w:sz w:val="24"/>
              <w:szCs w:val="24"/>
              <w:lang w:eastAsia="en-US"/>
            </w:rPr>
          </w:pPr>
          <w:hyperlink w:anchor="_Toc226444472" w:history="1">
            <w:r w:rsidRPr="00A35CEB">
              <w:rPr>
                <w:rStyle w:val="Hyperlink"/>
                <w:noProof/>
              </w:rPr>
              <w:t>7.1 Required Information</w:t>
            </w:r>
            <w:r>
              <w:rPr>
                <w:noProof/>
                <w:webHidden/>
              </w:rPr>
              <w:tab/>
            </w:r>
            <w:r>
              <w:rPr>
                <w:noProof/>
                <w:webHidden/>
              </w:rPr>
              <w:fldChar w:fldCharType="begin"/>
            </w:r>
            <w:r>
              <w:rPr>
                <w:noProof/>
                <w:webHidden/>
              </w:rPr>
              <w:instrText xml:space="preserve"> PAGEREF _Toc226444472 \h </w:instrText>
            </w:r>
            <w:r>
              <w:rPr>
                <w:noProof/>
                <w:webHidden/>
              </w:rPr>
            </w:r>
            <w:r>
              <w:rPr>
                <w:noProof/>
                <w:webHidden/>
              </w:rPr>
              <w:fldChar w:fldCharType="separate"/>
            </w:r>
            <w:r>
              <w:rPr>
                <w:noProof/>
                <w:webHidden/>
              </w:rPr>
              <w:t>21</w:t>
            </w:r>
            <w:r>
              <w:rPr>
                <w:noProof/>
                <w:webHidden/>
              </w:rPr>
              <w:fldChar w:fldCharType="end"/>
            </w:r>
          </w:hyperlink>
        </w:p>
        <w:p w14:paraId="4EC6DD15" w14:textId="4813A182" w:rsidR="00C953E4" w:rsidRDefault="00C953E4">
          <w:pPr>
            <w:pStyle w:val="TOC3"/>
            <w:rPr>
              <w:rFonts w:asciiTheme="minorHAnsi" w:hAnsiTheme="minorHAnsi" w:cstheme="minorBidi"/>
              <w:noProof/>
              <w:color w:val="auto"/>
              <w:sz w:val="24"/>
              <w:szCs w:val="24"/>
              <w:lang w:eastAsia="en-US"/>
            </w:rPr>
          </w:pPr>
          <w:hyperlink w:anchor="_Toc226444473" w:history="1">
            <w:r w:rsidRPr="00A35CEB">
              <w:rPr>
                <w:rStyle w:val="Hyperlink"/>
                <w:noProof/>
              </w:rPr>
              <w:t>Travel Time</w:t>
            </w:r>
            <w:r>
              <w:rPr>
                <w:noProof/>
                <w:webHidden/>
              </w:rPr>
              <w:tab/>
            </w:r>
            <w:r>
              <w:rPr>
                <w:noProof/>
                <w:webHidden/>
              </w:rPr>
              <w:fldChar w:fldCharType="begin"/>
            </w:r>
            <w:r>
              <w:rPr>
                <w:noProof/>
                <w:webHidden/>
              </w:rPr>
              <w:instrText xml:space="preserve"> PAGEREF _Toc226444473 \h </w:instrText>
            </w:r>
            <w:r>
              <w:rPr>
                <w:noProof/>
                <w:webHidden/>
              </w:rPr>
            </w:r>
            <w:r>
              <w:rPr>
                <w:noProof/>
                <w:webHidden/>
              </w:rPr>
              <w:fldChar w:fldCharType="separate"/>
            </w:r>
            <w:r>
              <w:rPr>
                <w:noProof/>
                <w:webHidden/>
              </w:rPr>
              <w:t>23</w:t>
            </w:r>
            <w:r>
              <w:rPr>
                <w:noProof/>
                <w:webHidden/>
              </w:rPr>
              <w:fldChar w:fldCharType="end"/>
            </w:r>
          </w:hyperlink>
        </w:p>
        <w:p w14:paraId="3E1C4BB1" w14:textId="5A584DDD" w:rsidR="00C953E4" w:rsidRDefault="00C953E4">
          <w:pPr>
            <w:pStyle w:val="TOC2"/>
            <w:rPr>
              <w:rFonts w:asciiTheme="minorHAnsi" w:hAnsiTheme="minorHAnsi" w:cstheme="minorBidi"/>
              <w:b w:val="0"/>
              <w:bCs w:val="0"/>
              <w:noProof/>
              <w:color w:val="auto"/>
              <w:sz w:val="24"/>
              <w:szCs w:val="24"/>
              <w:lang w:eastAsia="en-US"/>
            </w:rPr>
          </w:pPr>
          <w:hyperlink w:anchor="_Toc226444474" w:history="1">
            <w:r w:rsidRPr="00A35CEB">
              <w:rPr>
                <w:rStyle w:val="Hyperlink"/>
                <w:noProof/>
              </w:rPr>
              <w:t>7.2 Audit Requirements</w:t>
            </w:r>
            <w:r>
              <w:rPr>
                <w:noProof/>
                <w:webHidden/>
              </w:rPr>
              <w:tab/>
            </w:r>
            <w:r>
              <w:rPr>
                <w:noProof/>
                <w:webHidden/>
              </w:rPr>
              <w:fldChar w:fldCharType="begin"/>
            </w:r>
            <w:r>
              <w:rPr>
                <w:noProof/>
                <w:webHidden/>
              </w:rPr>
              <w:instrText xml:space="preserve"> PAGEREF _Toc226444474 \h </w:instrText>
            </w:r>
            <w:r>
              <w:rPr>
                <w:noProof/>
                <w:webHidden/>
              </w:rPr>
            </w:r>
            <w:r>
              <w:rPr>
                <w:noProof/>
                <w:webHidden/>
              </w:rPr>
              <w:fldChar w:fldCharType="separate"/>
            </w:r>
            <w:r>
              <w:rPr>
                <w:noProof/>
                <w:webHidden/>
              </w:rPr>
              <w:t>23</w:t>
            </w:r>
            <w:r>
              <w:rPr>
                <w:noProof/>
                <w:webHidden/>
              </w:rPr>
              <w:fldChar w:fldCharType="end"/>
            </w:r>
          </w:hyperlink>
        </w:p>
        <w:p w14:paraId="5E908FB4" w14:textId="352B8CF1" w:rsidR="00C953E4" w:rsidRDefault="00C953E4">
          <w:pPr>
            <w:pStyle w:val="TOC2"/>
            <w:rPr>
              <w:rFonts w:asciiTheme="minorHAnsi" w:hAnsiTheme="minorHAnsi" w:cstheme="minorBidi"/>
              <w:b w:val="0"/>
              <w:bCs w:val="0"/>
              <w:noProof/>
              <w:color w:val="auto"/>
              <w:sz w:val="24"/>
              <w:szCs w:val="24"/>
              <w:lang w:eastAsia="en-US"/>
            </w:rPr>
          </w:pPr>
          <w:hyperlink w:anchor="_Toc226444475" w:history="1">
            <w:r w:rsidRPr="00A35CEB">
              <w:rPr>
                <w:rStyle w:val="Hyperlink"/>
                <w:noProof/>
              </w:rPr>
              <w:t>7.3 Provider’s Failure to Furnish Documentation</w:t>
            </w:r>
            <w:r>
              <w:rPr>
                <w:noProof/>
                <w:webHidden/>
              </w:rPr>
              <w:tab/>
            </w:r>
            <w:r>
              <w:rPr>
                <w:noProof/>
                <w:webHidden/>
              </w:rPr>
              <w:fldChar w:fldCharType="begin"/>
            </w:r>
            <w:r>
              <w:rPr>
                <w:noProof/>
                <w:webHidden/>
              </w:rPr>
              <w:instrText xml:space="preserve"> PAGEREF _Toc226444475 \h </w:instrText>
            </w:r>
            <w:r>
              <w:rPr>
                <w:noProof/>
                <w:webHidden/>
              </w:rPr>
            </w:r>
            <w:r>
              <w:rPr>
                <w:noProof/>
                <w:webHidden/>
              </w:rPr>
              <w:fldChar w:fldCharType="separate"/>
            </w:r>
            <w:r>
              <w:rPr>
                <w:noProof/>
                <w:webHidden/>
              </w:rPr>
              <w:t>24</w:t>
            </w:r>
            <w:r>
              <w:rPr>
                <w:noProof/>
                <w:webHidden/>
              </w:rPr>
              <w:fldChar w:fldCharType="end"/>
            </w:r>
          </w:hyperlink>
        </w:p>
        <w:p w14:paraId="6AE5D464" w14:textId="25D1BB06" w:rsidR="00C953E4" w:rsidRDefault="00C953E4">
          <w:pPr>
            <w:pStyle w:val="TOC2"/>
            <w:rPr>
              <w:rFonts w:asciiTheme="minorHAnsi" w:hAnsiTheme="minorHAnsi" w:cstheme="minorBidi"/>
              <w:b w:val="0"/>
              <w:bCs w:val="0"/>
              <w:noProof/>
              <w:color w:val="auto"/>
              <w:sz w:val="24"/>
              <w:szCs w:val="24"/>
              <w:lang w:eastAsia="en-US"/>
            </w:rPr>
          </w:pPr>
          <w:hyperlink w:anchor="_Toc226444476" w:history="1">
            <w:r w:rsidRPr="00A35CEB">
              <w:rPr>
                <w:rStyle w:val="Hyperlink"/>
                <w:noProof/>
              </w:rPr>
              <w:t>7.4 Retention of Records</w:t>
            </w:r>
            <w:r>
              <w:rPr>
                <w:noProof/>
                <w:webHidden/>
              </w:rPr>
              <w:tab/>
            </w:r>
            <w:r>
              <w:rPr>
                <w:noProof/>
                <w:webHidden/>
              </w:rPr>
              <w:fldChar w:fldCharType="begin"/>
            </w:r>
            <w:r>
              <w:rPr>
                <w:noProof/>
                <w:webHidden/>
              </w:rPr>
              <w:instrText xml:space="preserve"> PAGEREF _Toc226444476 \h </w:instrText>
            </w:r>
            <w:r>
              <w:rPr>
                <w:noProof/>
                <w:webHidden/>
              </w:rPr>
            </w:r>
            <w:r>
              <w:rPr>
                <w:noProof/>
                <w:webHidden/>
              </w:rPr>
              <w:fldChar w:fldCharType="separate"/>
            </w:r>
            <w:r>
              <w:rPr>
                <w:noProof/>
                <w:webHidden/>
              </w:rPr>
              <w:t>24</w:t>
            </w:r>
            <w:r>
              <w:rPr>
                <w:noProof/>
                <w:webHidden/>
              </w:rPr>
              <w:fldChar w:fldCharType="end"/>
            </w:r>
          </w:hyperlink>
        </w:p>
        <w:p w14:paraId="0E11DEAB" w14:textId="4DA6FEF3" w:rsidR="00C953E4" w:rsidRDefault="00C953E4">
          <w:pPr>
            <w:pStyle w:val="TOC2"/>
            <w:rPr>
              <w:rFonts w:asciiTheme="minorHAnsi" w:hAnsiTheme="minorHAnsi" w:cstheme="minorBidi"/>
              <w:b w:val="0"/>
              <w:bCs w:val="0"/>
              <w:noProof/>
              <w:color w:val="auto"/>
              <w:sz w:val="24"/>
              <w:szCs w:val="24"/>
              <w:lang w:eastAsia="en-US"/>
            </w:rPr>
          </w:pPr>
          <w:hyperlink w:anchor="_Toc226444477" w:history="1">
            <w:r w:rsidRPr="00A35CEB">
              <w:rPr>
                <w:rStyle w:val="Hyperlink"/>
                <w:noProof/>
              </w:rPr>
              <w:t>7.5 Inquiries</w:t>
            </w:r>
            <w:r>
              <w:rPr>
                <w:noProof/>
                <w:webHidden/>
              </w:rPr>
              <w:tab/>
            </w:r>
            <w:r>
              <w:rPr>
                <w:noProof/>
                <w:webHidden/>
              </w:rPr>
              <w:fldChar w:fldCharType="begin"/>
            </w:r>
            <w:r>
              <w:rPr>
                <w:noProof/>
                <w:webHidden/>
              </w:rPr>
              <w:instrText xml:space="preserve"> PAGEREF _Toc226444477 \h </w:instrText>
            </w:r>
            <w:r>
              <w:rPr>
                <w:noProof/>
                <w:webHidden/>
              </w:rPr>
            </w:r>
            <w:r>
              <w:rPr>
                <w:noProof/>
                <w:webHidden/>
              </w:rPr>
              <w:fldChar w:fldCharType="separate"/>
            </w:r>
            <w:r>
              <w:rPr>
                <w:noProof/>
                <w:webHidden/>
              </w:rPr>
              <w:t>24</w:t>
            </w:r>
            <w:r>
              <w:rPr>
                <w:noProof/>
                <w:webHidden/>
              </w:rPr>
              <w:fldChar w:fldCharType="end"/>
            </w:r>
          </w:hyperlink>
        </w:p>
        <w:p w14:paraId="5E97ED9B" w14:textId="189C462B"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78" w:history="1">
            <w:r w:rsidRPr="00A35CEB">
              <w:rPr>
                <w:rStyle w:val="Hyperlink"/>
                <w:rFonts w:eastAsia="Times New Roman"/>
                <w:noProof/>
              </w:rPr>
              <w:t>Section 8:  Billing Requirements</w:t>
            </w:r>
            <w:r>
              <w:rPr>
                <w:noProof/>
                <w:webHidden/>
              </w:rPr>
              <w:tab/>
            </w:r>
            <w:r>
              <w:rPr>
                <w:noProof/>
                <w:webHidden/>
              </w:rPr>
              <w:fldChar w:fldCharType="begin"/>
            </w:r>
            <w:r>
              <w:rPr>
                <w:noProof/>
                <w:webHidden/>
              </w:rPr>
              <w:instrText xml:space="preserve"> PAGEREF _Toc226444478 \h </w:instrText>
            </w:r>
            <w:r>
              <w:rPr>
                <w:noProof/>
                <w:webHidden/>
              </w:rPr>
            </w:r>
            <w:r>
              <w:rPr>
                <w:noProof/>
                <w:webHidden/>
              </w:rPr>
              <w:fldChar w:fldCharType="separate"/>
            </w:r>
            <w:r>
              <w:rPr>
                <w:noProof/>
                <w:webHidden/>
              </w:rPr>
              <w:t>24</w:t>
            </w:r>
            <w:r>
              <w:rPr>
                <w:noProof/>
                <w:webHidden/>
              </w:rPr>
              <w:fldChar w:fldCharType="end"/>
            </w:r>
          </w:hyperlink>
        </w:p>
        <w:p w14:paraId="058348F3" w14:textId="63A50C21" w:rsidR="00C953E4" w:rsidRDefault="00C953E4">
          <w:pPr>
            <w:pStyle w:val="TOC2"/>
            <w:rPr>
              <w:rFonts w:asciiTheme="minorHAnsi" w:hAnsiTheme="minorHAnsi" w:cstheme="minorBidi"/>
              <w:b w:val="0"/>
              <w:bCs w:val="0"/>
              <w:noProof/>
              <w:color w:val="auto"/>
              <w:sz w:val="24"/>
              <w:szCs w:val="24"/>
              <w:lang w:eastAsia="en-US"/>
            </w:rPr>
          </w:pPr>
          <w:hyperlink w:anchor="_Toc226444479" w:history="1">
            <w:r w:rsidRPr="00A35CEB">
              <w:rPr>
                <w:rStyle w:val="Hyperlink"/>
                <w:noProof/>
              </w:rPr>
              <w:t>8.1 Billing Format</w:t>
            </w:r>
            <w:r>
              <w:rPr>
                <w:noProof/>
                <w:webHidden/>
              </w:rPr>
              <w:tab/>
            </w:r>
            <w:r>
              <w:rPr>
                <w:noProof/>
                <w:webHidden/>
              </w:rPr>
              <w:fldChar w:fldCharType="begin"/>
            </w:r>
            <w:r>
              <w:rPr>
                <w:noProof/>
                <w:webHidden/>
              </w:rPr>
              <w:instrText xml:space="preserve"> PAGEREF _Toc226444479 \h </w:instrText>
            </w:r>
            <w:r>
              <w:rPr>
                <w:noProof/>
                <w:webHidden/>
              </w:rPr>
            </w:r>
            <w:r>
              <w:rPr>
                <w:noProof/>
                <w:webHidden/>
              </w:rPr>
              <w:fldChar w:fldCharType="separate"/>
            </w:r>
            <w:r>
              <w:rPr>
                <w:noProof/>
                <w:webHidden/>
              </w:rPr>
              <w:t>24</w:t>
            </w:r>
            <w:r>
              <w:rPr>
                <w:noProof/>
                <w:webHidden/>
              </w:rPr>
              <w:fldChar w:fldCharType="end"/>
            </w:r>
          </w:hyperlink>
        </w:p>
        <w:p w14:paraId="18924C80" w14:textId="1B6EF369" w:rsidR="00C953E4" w:rsidRDefault="00C953E4">
          <w:pPr>
            <w:pStyle w:val="TOC2"/>
            <w:rPr>
              <w:rFonts w:asciiTheme="minorHAnsi" w:hAnsiTheme="minorHAnsi" w:cstheme="minorBidi"/>
              <w:b w:val="0"/>
              <w:bCs w:val="0"/>
              <w:noProof/>
              <w:color w:val="auto"/>
              <w:sz w:val="24"/>
              <w:szCs w:val="24"/>
              <w:lang w:eastAsia="en-US"/>
            </w:rPr>
          </w:pPr>
          <w:hyperlink w:anchor="_Toc226444480" w:history="1">
            <w:r w:rsidRPr="00A35CEB">
              <w:rPr>
                <w:rStyle w:val="Hyperlink"/>
                <w:noProof/>
              </w:rPr>
              <w:t>8.2 CMS-1500 Claim Form</w:t>
            </w:r>
            <w:r>
              <w:rPr>
                <w:noProof/>
                <w:webHidden/>
              </w:rPr>
              <w:tab/>
            </w:r>
            <w:r>
              <w:rPr>
                <w:noProof/>
                <w:webHidden/>
              </w:rPr>
              <w:fldChar w:fldCharType="begin"/>
            </w:r>
            <w:r>
              <w:rPr>
                <w:noProof/>
                <w:webHidden/>
              </w:rPr>
              <w:instrText xml:space="preserve"> PAGEREF _Toc226444480 \h </w:instrText>
            </w:r>
            <w:r>
              <w:rPr>
                <w:noProof/>
                <w:webHidden/>
              </w:rPr>
            </w:r>
            <w:r>
              <w:rPr>
                <w:noProof/>
                <w:webHidden/>
              </w:rPr>
              <w:fldChar w:fldCharType="separate"/>
            </w:r>
            <w:r>
              <w:rPr>
                <w:noProof/>
                <w:webHidden/>
              </w:rPr>
              <w:t>24</w:t>
            </w:r>
            <w:r>
              <w:rPr>
                <w:noProof/>
                <w:webHidden/>
              </w:rPr>
              <w:fldChar w:fldCharType="end"/>
            </w:r>
          </w:hyperlink>
        </w:p>
        <w:p w14:paraId="3F8D8325" w14:textId="27754710" w:rsidR="00C953E4" w:rsidRDefault="00C953E4">
          <w:pPr>
            <w:pStyle w:val="TOC2"/>
            <w:rPr>
              <w:rFonts w:asciiTheme="minorHAnsi" w:hAnsiTheme="minorHAnsi" w:cstheme="minorBidi"/>
              <w:b w:val="0"/>
              <w:bCs w:val="0"/>
              <w:noProof/>
              <w:color w:val="auto"/>
              <w:sz w:val="24"/>
              <w:szCs w:val="24"/>
              <w:lang w:eastAsia="en-US"/>
            </w:rPr>
          </w:pPr>
          <w:hyperlink w:anchor="_Toc226444481" w:history="1">
            <w:r w:rsidRPr="00A35CEB">
              <w:rPr>
                <w:rStyle w:val="Hyperlink"/>
                <w:noProof/>
              </w:rPr>
              <w:t>8.3 Resubmission of Claims</w:t>
            </w:r>
            <w:r>
              <w:rPr>
                <w:noProof/>
                <w:webHidden/>
              </w:rPr>
              <w:tab/>
            </w:r>
            <w:r>
              <w:rPr>
                <w:noProof/>
                <w:webHidden/>
              </w:rPr>
              <w:fldChar w:fldCharType="begin"/>
            </w:r>
            <w:r>
              <w:rPr>
                <w:noProof/>
                <w:webHidden/>
              </w:rPr>
              <w:instrText xml:space="preserve"> PAGEREF _Toc226444481 \h </w:instrText>
            </w:r>
            <w:r>
              <w:rPr>
                <w:noProof/>
                <w:webHidden/>
              </w:rPr>
            </w:r>
            <w:r>
              <w:rPr>
                <w:noProof/>
                <w:webHidden/>
              </w:rPr>
              <w:fldChar w:fldCharType="separate"/>
            </w:r>
            <w:r>
              <w:rPr>
                <w:noProof/>
                <w:webHidden/>
              </w:rPr>
              <w:t>25</w:t>
            </w:r>
            <w:r>
              <w:rPr>
                <w:noProof/>
                <w:webHidden/>
              </w:rPr>
              <w:fldChar w:fldCharType="end"/>
            </w:r>
          </w:hyperlink>
        </w:p>
        <w:p w14:paraId="32ED0892" w14:textId="623C7F8B" w:rsidR="00C953E4" w:rsidRDefault="00C953E4">
          <w:pPr>
            <w:pStyle w:val="TOC2"/>
            <w:rPr>
              <w:rFonts w:asciiTheme="minorHAnsi" w:hAnsiTheme="minorHAnsi" w:cstheme="minorBidi"/>
              <w:b w:val="0"/>
              <w:bCs w:val="0"/>
              <w:noProof/>
              <w:color w:val="auto"/>
              <w:sz w:val="24"/>
              <w:szCs w:val="24"/>
              <w:lang w:eastAsia="en-US"/>
            </w:rPr>
          </w:pPr>
          <w:hyperlink w:anchor="_Toc226444482" w:history="1">
            <w:r w:rsidRPr="00A35CEB">
              <w:rPr>
                <w:rStyle w:val="Hyperlink"/>
                <w:noProof/>
              </w:rPr>
              <w:t>8.4 Service Codes</w:t>
            </w:r>
            <w:r>
              <w:rPr>
                <w:noProof/>
                <w:webHidden/>
              </w:rPr>
              <w:tab/>
            </w:r>
            <w:r>
              <w:rPr>
                <w:noProof/>
                <w:webHidden/>
              </w:rPr>
              <w:fldChar w:fldCharType="begin"/>
            </w:r>
            <w:r>
              <w:rPr>
                <w:noProof/>
                <w:webHidden/>
              </w:rPr>
              <w:instrText xml:space="preserve"> PAGEREF _Toc226444482 \h </w:instrText>
            </w:r>
            <w:r>
              <w:rPr>
                <w:noProof/>
                <w:webHidden/>
              </w:rPr>
            </w:r>
            <w:r>
              <w:rPr>
                <w:noProof/>
                <w:webHidden/>
              </w:rPr>
              <w:fldChar w:fldCharType="separate"/>
            </w:r>
            <w:r>
              <w:rPr>
                <w:noProof/>
                <w:webHidden/>
              </w:rPr>
              <w:t>25</w:t>
            </w:r>
            <w:r>
              <w:rPr>
                <w:noProof/>
                <w:webHidden/>
              </w:rPr>
              <w:fldChar w:fldCharType="end"/>
            </w:r>
          </w:hyperlink>
        </w:p>
        <w:p w14:paraId="4A6E929E" w14:textId="70A3DF2C" w:rsidR="00C953E4" w:rsidRDefault="00C953E4">
          <w:pPr>
            <w:pStyle w:val="TOC2"/>
            <w:rPr>
              <w:rFonts w:asciiTheme="minorHAnsi" w:hAnsiTheme="minorHAnsi" w:cstheme="minorBidi"/>
              <w:b w:val="0"/>
              <w:bCs w:val="0"/>
              <w:noProof/>
              <w:color w:val="auto"/>
              <w:sz w:val="24"/>
              <w:szCs w:val="24"/>
              <w:lang w:eastAsia="en-US"/>
            </w:rPr>
          </w:pPr>
          <w:hyperlink w:anchor="_Toc226444483" w:history="1">
            <w:r w:rsidRPr="00A35CEB">
              <w:rPr>
                <w:rStyle w:val="Hyperlink"/>
                <w:noProof/>
              </w:rPr>
              <w:t>8.5 Transitioning from an Institution</w:t>
            </w:r>
            <w:r>
              <w:rPr>
                <w:noProof/>
                <w:webHidden/>
              </w:rPr>
              <w:tab/>
            </w:r>
            <w:r>
              <w:rPr>
                <w:noProof/>
                <w:webHidden/>
              </w:rPr>
              <w:fldChar w:fldCharType="begin"/>
            </w:r>
            <w:r>
              <w:rPr>
                <w:noProof/>
                <w:webHidden/>
              </w:rPr>
              <w:instrText xml:space="preserve"> PAGEREF _Toc226444483 \h </w:instrText>
            </w:r>
            <w:r>
              <w:rPr>
                <w:noProof/>
                <w:webHidden/>
              </w:rPr>
            </w:r>
            <w:r>
              <w:rPr>
                <w:noProof/>
                <w:webHidden/>
              </w:rPr>
              <w:fldChar w:fldCharType="separate"/>
            </w:r>
            <w:r>
              <w:rPr>
                <w:noProof/>
                <w:webHidden/>
              </w:rPr>
              <w:t>25</w:t>
            </w:r>
            <w:r>
              <w:rPr>
                <w:noProof/>
                <w:webHidden/>
              </w:rPr>
              <w:fldChar w:fldCharType="end"/>
            </w:r>
          </w:hyperlink>
        </w:p>
        <w:p w14:paraId="0EFB9F7A" w14:textId="4B289735" w:rsidR="00C953E4" w:rsidRDefault="00C953E4">
          <w:pPr>
            <w:pStyle w:val="TOC2"/>
            <w:rPr>
              <w:rFonts w:asciiTheme="minorHAnsi" w:hAnsiTheme="minorHAnsi" w:cstheme="minorBidi"/>
              <w:b w:val="0"/>
              <w:bCs w:val="0"/>
              <w:noProof/>
              <w:color w:val="auto"/>
              <w:sz w:val="24"/>
              <w:szCs w:val="24"/>
              <w:lang w:eastAsia="en-US"/>
            </w:rPr>
          </w:pPr>
          <w:hyperlink w:anchor="_Toc226444484" w:history="1">
            <w:r w:rsidRPr="00A35CEB">
              <w:rPr>
                <w:rStyle w:val="Hyperlink"/>
                <w:noProof/>
              </w:rPr>
              <w:t>8.6 Title XIX Placements (Ineligible Place of Residence)</w:t>
            </w:r>
            <w:r>
              <w:rPr>
                <w:noProof/>
                <w:webHidden/>
              </w:rPr>
              <w:tab/>
            </w:r>
            <w:r>
              <w:rPr>
                <w:noProof/>
                <w:webHidden/>
              </w:rPr>
              <w:fldChar w:fldCharType="begin"/>
            </w:r>
            <w:r>
              <w:rPr>
                <w:noProof/>
                <w:webHidden/>
              </w:rPr>
              <w:instrText xml:space="preserve"> PAGEREF _Toc226444484 \h </w:instrText>
            </w:r>
            <w:r>
              <w:rPr>
                <w:noProof/>
                <w:webHidden/>
              </w:rPr>
            </w:r>
            <w:r>
              <w:rPr>
                <w:noProof/>
                <w:webHidden/>
              </w:rPr>
              <w:fldChar w:fldCharType="separate"/>
            </w:r>
            <w:r>
              <w:rPr>
                <w:noProof/>
                <w:webHidden/>
              </w:rPr>
              <w:t>26</w:t>
            </w:r>
            <w:r>
              <w:rPr>
                <w:noProof/>
                <w:webHidden/>
              </w:rPr>
              <w:fldChar w:fldCharType="end"/>
            </w:r>
          </w:hyperlink>
        </w:p>
        <w:p w14:paraId="6621CA42" w14:textId="575FC9C0" w:rsidR="00C953E4" w:rsidRDefault="00C953E4">
          <w:pPr>
            <w:pStyle w:val="TOC2"/>
            <w:rPr>
              <w:rFonts w:asciiTheme="minorHAnsi" w:hAnsiTheme="minorHAnsi" w:cstheme="minorBidi"/>
              <w:b w:val="0"/>
              <w:bCs w:val="0"/>
              <w:noProof/>
              <w:color w:val="auto"/>
              <w:sz w:val="24"/>
              <w:szCs w:val="24"/>
              <w:lang w:eastAsia="en-US"/>
            </w:rPr>
          </w:pPr>
          <w:hyperlink w:anchor="_Toc226444485" w:history="1">
            <w:r w:rsidRPr="00A35CEB">
              <w:rPr>
                <w:rStyle w:val="Hyperlink"/>
                <w:noProof/>
              </w:rPr>
              <w:t>8.7 Title XIX Placements (Eligible Place of Residence)</w:t>
            </w:r>
            <w:r>
              <w:rPr>
                <w:noProof/>
                <w:webHidden/>
              </w:rPr>
              <w:tab/>
            </w:r>
            <w:r>
              <w:rPr>
                <w:noProof/>
                <w:webHidden/>
              </w:rPr>
              <w:fldChar w:fldCharType="begin"/>
            </w:r>
            <w:r>
              <w:rPr>
                <w:noProof/>
                <w:webHidden/>
              </w:rPr>
              <w:instrText xml:space="preserve"> PAGEREF _Toc226444485 \h </w:instrText>
            </w:r>
            <w:r>
              <w:rPr>
                <w:noProof/>
                <w:webHidden/>
              </w:rPr>
            </w:r>
            <w:r>
              <w:rPr>
                <w:noProof/>
                <w:webHidden/>
              </w:rPr>
              <w:fldChar w:fldCharType="separate"/>
            </w:r>
            <w:r>
              <w:rPr>
                <w:noProof/>
                <w:webHidden/>
              </w:rPr>
              <w:t>26</w:t>
            </w:r>
            <w:r>
              <w:rPr>
                <w:noProof/>
                <w:webHidden/>
              </w:rPr>
              <w:fldChar w:fldCharType="end"/>
            </w:r>
          </w:hyperlink>
        </w:p>
        <w:p w14:paraId="395935FF" w14:textId="2BD1106A"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86" w:history="1">
            <w:r w:rsidRPr="00A35CEB">
              <w:rPr>
                <w:rStyle w:val="Hyperlink"/>
                <w:rFonts w:eastAsia="Times New Roman"/>
                <w:noProof/>
              </w:rPr>
              <w:t>Section 9:  Procedure Codes</w:t>
            </w:r>
            <w:r>
              <w:rPr>
                <w:noProof/>
                <w:webHidden/>
              </w:rPr>
              <w:tab/>
            </w:r>
            <w:r>
              <w:rPr>
                <w:noProof/>
                <w:webHidden/>
              </w:rPr>
              <w:fldChar w:fldCharType="begin"/>
            </w:r>
            <w:r>
              <w:rPr>
                <w:noProof/>
                <w:webHidden/>
              </w:rPr>
              <w:instrText xml:space="preserve"> PAGEREF _Toc226444486 \h </w:instrText>
            </w:r>
            <w:r>
              <w:rPr>
                <w:noProof/>
                <w:webHidden/>
              </w:rPr>
            </w:r>
            <w:r>
              <w:rPr>
                <w:noProof/>
                <w:webHidden/>
              </w:rPr>
              <w:fldChar w:fldCharType="separate"/>
            </w:r>
            <w:r>
              <w:rPr>
                <w:noProof/>
                <w:webHidden/>
              </w:rPr>
              <w:t>27</w:t>
            </w:r>
            <w:r>
              <w:rPr>
                <w:noProof/>
                <w:webHidden/>
              </w:rPr>
              <w:fldChar w:fldCharType="end"/>
            </w:r>
          </w:hyperlink>
        </w:p>
        <w:p w14:paraId="2E794052" w14:textId="073B24A2" w:rsidR="00C953E4" w:rsidRDefault="00C953E4">
          <w:pPr>
            <w:pStyle w:val="TOC1"/>
            <w:tabs>
              <w:tab w:val="right" w:leader="dot" w:pos="10070"/>
            </w:tabs>
            <w:rPr>
              <w:rFonts w:asciiTheme="minorHAnsi" w:hAnsiTheme="minorHAnsi" w:cstheme="minorBidi"/>
              <w:b w:val="0"/>
              <w:bCs w:val="0"/>
              <w:noProof/>
              <w:color w:val="auto"/>
              <w:sz w:val="24"/>
              <w:szCs w:val="24"/>
              <w:lang w:eastAsia="en-US"/>
            </w:rPr>
          </w:pPr>
          <w:hyperlink w:anchor="_Toc226444487" w:history="1">
            <w:r w:rsidRPr="00A35CEB">
              <w:rPr>
                <w:rStyle w:val="Hyperlink"/>
                <w:rFonts w:eastAsia="Times New Roman"/>
                <w:noProof/>
              </w:rPr>
              <w:t>Section 10:  Place of Service</w:t>
            </w:r>
            <w:r>
              <w:rPr>
                <w:noProof/>
                <w:webHidden/>
              </w:rPr>
              <w:tab/>
            </w:r>
            <w:r>
              <w:rPr>
                <w:noProof/>
                <w:webHidden/>
              </w:rPr>
              <w:fldChar w:fldCharType="begin"/>
            </w:r>
            <w:r>
              <w:rPr>
                <w:noProof/>
                <w:webHidden/>
              </w:rPr>
              <w:instrText xml:space="preserve"> PAGEREF _Toc226444487 \h </w:instrText>
            </w:r>
            <w:r>
              <w:rPr>
                <w:noProof/>
                <w:webHidden/>
              </w:rPr>
            </w:r>
            <w:r>
              <w:rPr>
                <w:noProof/>
                <w:webHidden/>
              </w:rPr>
              <w:fldChar w:fldCharType="separate"/>
            </w:r>
            <w:r>
              <w:rPr>
                <w:noProof/>
                <w:webHidden/>
              </w:rPr>
              <w:t>27</w:t>
            </w:r>
            <w:r>
              <w:rPr>
                <w:noProof/>
                <w:webHidden/>
              </w:rPr>
              <w:fldChar w:fldCharType="end"/>
            </w:r>
          </w:hyperlink>
        </w:p>
        <w:p w14:paraId="383FFFA9" w14:textId="7CA5449B" w:rsidR="00AB6CB7" w:rsidRDefault="00DF557E">
          <w:r>
            <w:rPr>
              <w:b/>
              <w:bCs/>
              <w:noProof/>
            </w:rPr>
            <w:fldChar w:fldCharType="end"/>
          </w:r>
        </w:p>
      </w:sdtContent>
    </w:sdt>
    <w:p w14:paraId="0A3FC6CC" w14:textId="77777777" w:rsidR="00A64FC7" w:rsidRDefault="00A64FC7" w:rsidP="008B0404">
      <w:pPr>
        <w:tabs>
          <w:tab w:val="left" w:leader="dot" w:pos="10354"/>
        </w:tabs>
        <w:rPr>
          <w:rFonts w:eastAsia="Times New Roman"/>
        </w:rPr>
      </w:pPr>
    </w:p>
    <w:p w14:paraId="4BBA2FC3" w14:textId="77777777" w:rsidR="00A64FC7" w:rsidRDefault="00A64FC7" w:rsidP="00F17869">
      <w:pPr>
        <w:rPr>
          <w:rFonts w:eastAsia="Times New Roman"/>
        </w:rPr>
        <w:sectPr w:rsidR="00A64FC7" w:rsidSect="00733166">
          <w:pgSz w:w="12240" w:h="15840" w:code="1"/>
          <w:pgMar w:top="1080" w:right="1080" w:bottom="1080" w:left="1080" w:header="720" w:footer="720" w:gutter="0"/>
          <w:pgNumType w:fmt="lowerRoman" w:start="1"/>
          <w:cols w:space="720"/>
          <w:docGrid w:linePitch="360"/>
        </w:sectPr>
      </w:pPr>
    </w:p>
    <w:p w14:paraId="40C739C3" w14:textId="15309C70" w:rsidR="006C58B6" w:rsidRPr="006E58B4" w:rsidRDefault="00DA3211" w:rsidP="004C1EC6">
      <w:pPr>
        <w:pStyle w:val="Introduction"/>
      </w:pPr>
      <w:r w:rsidRPr="006E58B4">
        <w:lastRenderedPageBreak/>
        <w:t>Introduction</w:t>
      </w:r>
      <w:bookmarkEnd w:id="0"/>
      <w:r w:rsidR="00733166">
        <w:t xml:space="preserve"> </w:t>
      </w:r>
    </w:p>
    <w:p w14:paraId="35FFB339" w14:textId="77777777" w:rsidR="00B92FFA" w:rsidRDefault="006018EC" w:rsidP="00E17248">
      <w:r w:rsidRPr="00996886">
        <w:t xml:space="preserve">This manual contains information regarding the benefits of the </w:t>
      </w:r>
      <w:r w:rsidR="006C58B6" w:rsidRPr="00996886">
        <w:t xml:space="preserve">Targeted Case Management (TCM) </w:t>
      </w:r>
      <w:r w:rsidRPr="00996886">
        <w:t xml:space="preserve">program </w:t>
      </w:r>
      <w:r w:rsidR="006C58B6" w:rsidRPr="00996886">
        <w:t>for persons with developmental disabilities</w:t>
      </w:r>
      <w:r w:rsidR="00B92FFA">
        <w:t xml:space="preserve"> </w:t>
      </w:r>
      <w:r w:rsidR="00B92FFA" w:rsidRPr="00B92FFA">
        <w:t>(DD)</w:t>
      </w:r>
      <w:r w:rsidRPr="00996886">
        <w:t>.</w:t>
      </w:r>
      <w:r w:rsidR="00FE3B14" w:rsidRPr="00996886">
        <w:t xml:space="preserve"> </w:t>
      </w:r>
      <w:r w:rsidR="006C58B6" w:rsidRPr="00996886">
        <w:t>The term ‘targeted’ means that the case management services under this program are not available to all MO HealthNet eligible</w:t>
      </w:r>
      <w:r w:rsidR="009B781E" w:rsidRPr="00996886">
        <w:t xml:space="preserve"> </w:t>
      </w:r>
      <w:r w:rsidRPr="00996886">
        <w:t>participants,</w:t>
      </w:r>
      <w:r w:rsidR="00B1516E" w:rsidRPr="00996886">
        <w:t xml:space="preserve"> </w:t>
      </w:r>
      <w:r w:rsidR="006C58B6" w:rsidRPr="00996886">
        <w:t xml:space="preserve">only to those who are eligible for the services of the Missouri </w:t>
      </w:r>
      <w:r w:rsidR="00717136" w:rsidRPr="00996886">
        <w:t xml:space="preserve">Department of Mental Health (DMH) </w:t>
      </w:r>
      <w:r w:rsidR="006C58B6" w:rsidRPr="00996886">
        <w:t xml:space="preserve">Division of </w:t>
      </w:r>
      <w:hyperlink r:id="rId11" w:history="1">
        <w:r w:rsidR="006B54D9" w:rsidRPr="005F21E3">
          <w:rPr>
            <w:rStyle w:val="Hyperlink"/>
          </w:rPr>
          <w:t>Developmental Disabilities</w:t>
        </w:r>
      </w:hyperlink>
      <w:r w:rsidR="006B54D9" w:rsidRPr="00996886" w:rsidDel="006B54D9">
        <w:t xml:space="preserve"> </w:t>
      </w:r>
      <w:r w:rsidR="006C58B6" w:rsidRPr="00996886">
        <w:t xml:space="preserve">(Division of DD) </w:t>
      </w:r>
      <w:hyperlink r:id="rId12" w:history="1">
        <w:r w:rsidR="00FE0DE0" w:rsidRPr="00CF79CA">
          <w:rPr>
            <w:rStyle w:val="Hyperlink"/>
          </w:rPr>
          <w:t>42 CFR 440.169</w:t>
        </w:r>
        <w:r w:rsidR="003C347C" w:rsidRPr="00CF79CA">
          <w:rPr>
            <w:rStyle w:val="Hyperlink"/>
          </w:rPr>
          <w:t xml:space="preserve"> (b)</w:t>
        </w:r>
      </w:hyperlink>
      <w:r w:rsidR="006C58B6" w:rsidRPr="00996886">
        <w:t xml:space="preserve">. </w:t>
      </w:r>
    </w:p>
    <w:p w14:paraId="2D8B7331" w14:textId="77777777" w:rsidR="006C58B6" w:rsidRPr="00996886" w:rsidRDefault="006C58B6" w:rsidP="00E17248">
      <w:pPr>
        <w:rPr>
          <w:rFonts w:eastAsia="Calibri"/>
        </w:rPr>
      </w:pPr>
      <w:r w:rsidRPr="00996886">
        <w:t>The principal service under this TCM program is referred to as support coordination or case management</w:t>
      </w:r>
      <w:r w:rsidR="0004226A" w:rsidRPr="00996886">
        <w:t>,</w:t>
      </w:r>
      <w:r w:rsidRPr="00996886">
        <w:t xml:space="preserve"> and the staff who provide this service are support</w:t>
      </w:r>
      <w:r w:rsidR="00861792" w:rsidRPr="00996886">
        <w:t xml:space="preserve"> coordinators</w:t>
      </w:r>
      <w:r w:rsidR="00B92FFA">
        <w:t xml:space="preserve"> (SCs)</w:t>
      </w:r>
      <w:r w:rsidR="00861792" w:rsidRPr="00996886">
        <w:t xml:space="preserve"> or case managers.</w:t>
      </w:r>
      <w:r w:rsidR="00254D16" w:rsidRPr="00996886">
        <w:t xml:space="preserve"> </w:t>
      </w:r>
      <w:r w:rsidR="002436A5" w:rsidRPr="00996886">
        <w:t>T</w:t>
      </w:r>
      <w:r w:rsidR="006A4FA0">
        <w:t>CM</w:t>
      </w:r>
      <w:r w:rsidR="002436A5" w:rsidRPr="00996886">
        <w:t xml:space="preserve"> is a MO HealthNet funded service often referred to as TCM or support coordination. </w:t>
      </w:r>
      <w:r w:rsidR="00254D16" w:rsidRPr="00996886">
        <w:t>The term T</w:t>
      </w:r>
      <w:r w:rsidR="006A4FA0">
        <w:t>CM</w:t>
      </w:r>
      <w:r w:rsidR="00254D16" w:rsidRPr="00996886">
        <w:t xml:space="preserve"> is used interchangeably in this document to refer to </w:t>
      </w:r>
      <w:r w:rsidR="0004226A" w:rsidRPr="00996886">
        <w:t xml:space="preserve">the </w:t>
      </w:r>
      <w:r w:rsidR="00C42577" w:rsidRPr="00996886">
        <w:t xml:space="preserve">Division of </w:t>
      </w:r>
      <w:r w:rsidR="00254D16" w:rsidRPr="00996886">
        <w:t>DD support coordination.</w:t>
      </w:r>
    </w:p>
    <w:p w14:paraId="59CEDE57" w14:textId="77777777" w:rsidR="006C58B6" w:rsidRPr="00996886" w:rsidRDefault="006C58B6" w:rsidP="00E17248">
      <w:r w:rsidRPr="00996886">
        <w:t xml:space="preserve">TCM services are defined in </w:t>
      </w:r>
      <w:hyperlink r:id="rId13" w:history="1">
        <w:r w:rsidR="003628A2" w:rsidRPr="00CF79CA">
          <w:rPr>
            <w:rStyle w:val="Hyperlink"/>
          </w:rPr>
          <w:t>42 CFR 440.169</w:t>
        </w:r>
      </w:hyperlink>
      <w:r w:rsidRPr="00996886">
        <w:t xml:space="preserve"> as services furnished to assist individuals in gaining access to needed medical, social, educational, and other services. </w:t>
      </w:r>
      <w:r w:rsidR="0004226A" w:rsidRPr="00996886">
        <w:t>To</w:t>
      </w:r>
      <w:r w:rsidRPr="00996886">
        <w:t xml:space="preserve"> receive case management services, the individual must be MO HealthNet eligible under the State </w:t>
      </w:r>
      <w:r w:rsidR="00D845A1" w:rsidRPr="00996886">
        <w:t>P</w:t>
      </w:r>
      <w:r w:rsidRPr="00996886">
        <w:t xml:space="preserve">lan and must either reside in a community setting or be in the process of transitioning to a community setting, in </w:t>
      </w:r>
      <w:r w:rsidR="00176755" w:rsidRPr="00996886">
        <w:t>a</w:t>
      </w:r>
      <w:r w:rsidRPr="00996886">
        <w:t xml:space="preserve">ccordance with </w:t>
      </w:r>
      <w:hyperlink r:id="rId14" w:history="1">
        <w:r w:rsidR="003628A2" w:rsidRPr="00CF79CA">
          <w:rPr>
            <w:rStyle w:val="Hyperlink"/>
          </w:rPr>
          <w:t>42 CFR 441.18</w:t>
        </w:r>
      </w:hyperlink>
      <w:r w:rsidR="00D356D3" w:rsidRPr="00996886">
        <w:t>.</w:t>
      </w:r>
    </w:p>
    <w:p w14:paraId="70348AA4" w14:textId="77777777" w:rsidR="00FF58D9" w:rsidRPr="00996886" w:rsidRDefault="006C58B6" w:rsidP="00E17248">
      <w:pPr>
        <w:rPr>
          <w:rFonts w:eastAsia="Calibri"/>
        </w:rPr>
      </w:pPr>
      <w:r w:rsidRPr="00996886">
        <w:rPr>
          <w:rFonts w:eastAsia="Calibri"/>
        </w:rPr>
        <w:t xml:space="preserve">As indicated in </w:t>
      </w:r>
      <w:hyperlink r:id="rId15" w:history="1">
        <w:r w:rsidR="0057353D" w:rsidRPr="00CF79CA">
          <w:rPr>
            <w:rStyle w:val="Hyperlink"/>
          </w:rPr>
          <w:t>Social Security Act §1915 (g)(1)</w:t>
        </w:r>
      </w:hyperlink>
      <w:r w:rsidR="0004226A" w:rsidRPr="00996886">
        <w:rPr>
          <w:rFonts w:eastAsia="Calibri"/>
        </w:rPr>
        <w:t>,</w:t>
      </w:r>
      <w:r w:rsidRPr="00996886">
        <w:rPr>
          <w:rFonts w:eastAsia="Calibri"/>
        </w:rPr>
        <w:t xml:space="preserve"> the </w:t>
      </w:r>
      <w:r w:rsidR="00254D16" w:rsidRPr="00996886">
        <w:rPr>
          <w:rFonts w:eastAsia="Calibri"/>
        </w:rPr>
        <w:t>s</w:t>
      </w:r>
      <w:r w:rsidRPr="00996886">
        <w:rPr>
          <w:rFonts w:eastAsia="Calibri"/>
        </w:rPr>
        <w:t xml:space="preserve">tate may limit the case managers available with respect to case management services for eligible individuals with </w:t>
      </w:r>
      <w:r w:rsidR="00F2571E">
        <w:rPr>
          <w:rFonts w:eastAsia="Calibri"/>
        </w:rPr>
        <w:t>DD</w:t>
      </w:r>
      <w:r w:rsidRPr="00996886">
        <w:rPr>
          <w:rFonts w:eastAsia="Calibri"/>
        </w:rPr>
        <w:t xml:space="preserve"> or with chronic mental illness to ensure that the case managers for such individuals are capable of ensuring that such individuals receive needed services.</w:t>
      </w:r>
    </w:p>
    <w:p w14:paraId="2AB7AA05" w14:textId="77777777" w:rsidR="006C58B6" w:rsidRPr="00996886" w:rsidRDefault="007552B5" w:rsidP="00E17248">
      <w:r>
        <w:t xml:space="preserve">The </w:t>
      </w:r>
      <w:r w:rsidR="006C58B6" w:rsidRPr="00996886">
        <w:t xml:space="preserve">Missouri State Plan for DD </w:t>
      </w:r>
      <w:r>
        <w:t>case</w:t>
      </w:r>
      <w:r w:rsidRPr="00996886">
        <w:t xml:space="preserve"> </w:t>
      </w:r>
      <w:r>
        <w:t>management</w:t>
      </w:r>
      <w:r w:rsidR="006C58B6" w:rsidRPr="00996886">
        <w:t xml:space="preserve"> </w:t>
      </w:r>
      <w:r w:rsidR="00254D16" w:rsidRPr="00996886">
        <w:t>i</w:t>
      </w:r>
      <w:r w:rsidR="00A05230" w:rsidRPr="00996886">
        <w:t>ndicates</w:t>
      </w:r>
      <w:r w:rsidR="00B6154E" w:rsidRPr="00996886">
        <w:t xml:space="preserve"> the following</w:t>
      </w:r>
      <w:r w:rsidR="006C58B6" w:rsidRPr="00996886">
        <w:t>:</w:t>
      </w:r>
    </w:p>
    <w:p w14:paraId="63023FC8" w14:textId="77777777" w:rsidR="006C58B6" w:rsidRPr="00996886" w:rsidRDefault="006C58B6" w:rsidP="003C5C9B">
      <w:pPr>
        <w:pStyle w:val="BulletList1"/>
      </w:pPr>
      <w:r w:rsidRPr="00996886">
        <w:t>Case management services will be provided in a manner consistent with the best interest of individuals and will not be used to restrict an individual’s access to other services under the plan.</w:t>
      </w:r>
    </w:p>
    <w:p w14:paraId="6855BDCF" w14:textId="77777777" w:rsidR="006C58B6" w:rsidRPr="00996886" w:rsidRDefault="003754F1" w:rsidP="003C5C9B">
      <w:pPr>
        <w:pStyle w:val="BulletList1"/>
      </w:pPr>
      <w:r w:rsidRPr="00996886">
        <w:t xml:space="preserve">Receiving </w:t>
      </w:r>
      <w:r w:rsidR="006C58B6" w:rsidRPr="00996886">
        <w:t xml:space="preserve">case management services </w:t>
      </w:r>
      <w:r w:rsidR="009B781E" w:rsidRPr="00996886">
        <w:t xml:space="preserve">is </w:t>
      </w:r>
      <w:r w:rsidR="006C58B6" w:rsidRPr="00996886">
        <w:t xml:space="preserve">not required </w:t>
      </w:r>
      <w:r w:rsidR="0004226A" w:rsidRPr="00996886">
        <w:t>to</w:t>
      </w:r>
      <w:r w:rsidR="006C58B6" w:rsidRPr="00996886">
        <w:t xml:space="preserve"> receive other </w:t>
      </w:r>
      <w:r w:rsidR="002B7BE8" w:rsidRPr="00996886">
        <w:t xml:space="preserve">MO HealthNet </w:t>
      </w:r>
      <w:r w:rsidR="006C58B6" w:rsidRPr="00996886">
        <w:t xml:space="preserve">services. </w:t>
      </w:r>
      <w:r w:rsidRPr="00996886">
        <w:t>O</w:t>
      </w:r>
      <w:r w:rsidR="006C58B6" w:rsidRPr="00996886">
        <w:t xml:space="preserve">ther </w:t>
      </w:r>
      <w:r w:rsidR="002B7BE8" w:rsidRPr="00996886">
        <w:t xml:space="preserve">MO HealthNet </w:t>
      </w:r>
      <w:r w:rsidR="006C58B6" w:rsidRPr="00996886">
        <w:t xml:space="preserve">services </w:t>
      </w:r>
      <w:r w:rsidRPr="00996886">
        <w:t xml:space="preserve">are </w:t>
      </w:r>
      <w:r w:rsidR="006C58B6" w:rsidRPr="00996886">
        <w:t>not required to receive case management services.</w:t>
      </w:r>
    </w:p>
    <w:p w14:paraId="3C5FAC74" w14:textId="77777777" w:rsidR="006C58B6" w:rsidRPr="00996886" w:rsidRDefault="006C58B6" w:rsidP="003C5C9B">
      <w:pPr>
        <w:pStyle w:val="BulletList1"/>
      </w:pPr>
      <w:r w:rsidRPr="00996886">
        <w:t xml:space="preserve">Providers of case management services do not </w:t>
      </w:r>
      <w:r w:rsidR="00D52F5D" w:rsidRPr="00996886">
        <w:t xml:space="preserve">have the </w:t>
      </w:r>
      <w:r w:rsidRPr="00996886">
        <w:t>authority to authorize or deny the provision of othe</w:t>
      </w:r>
      <w:r w:rsidR="00BF52D9" w:rsidRPr="00996886">
        <w:t>r services under the plan</w:t>
      </w:r>
      <w:r w:rsidR="00A7221A" w:rsidRPr="00996886">
        <w:t>.</w:t>
      </w:r>
    </w:p>
    <w:p w14:paraId="3D67BA74" w14:textId="77777777" w:rsidR="00683777" w:rsidRPr="00996886" w:rsidRDefault="006C58B6" w:rsidP="003C5C9B">
      <w:pPr>
        <w:pStyle w:val="BulletList1"/>
      </w:pPr>
      <w:r w:rsidRPr="00996886">
        <w:t xml:space="preserve">For </w:t>
      </w:r>
      <w:r w:rsidR="003754F1" w:rsidRPr="00996886">
        <w:t xml:space="preserve">individuals </w:t>
      </w:r>
      <w:r w:rsidRPr="00996886">
        <w:t xml:space="preserve">transitioning from a qualified medical institution to the community the </w:t>
      </w:r>
      <w:r w:rsidR="002B7BE8" w:rsidRPr="00996886">
        <w:t>s</w:t>
      </w:r>
      <w:r w:rsidRPr="00996886">
        <w:t>tate assures Federal Financial Participation (FFP) is only available to community providers and will not be claimed until the individual is discharged from the medi</w:t>
      </w:r>
      <w:r w:rsidR="002B7BE8" w:rsidRPr="00996886">
        <w:t>c</w:t>
      </w:r>
      <w:r w:rsidRPr="00996886">
        <w:t>al institution and e</w:t>
      </w:r>
      <w:r w:rsidR="00800A2E" w:rsidRPr="00996886">
        <w:t>nrolled in community services.</w:t>
      </w:r>
    </w:p>
    <w:p w14:paraId="4F68C596" w14:textId="77777777" w:rsidR="00FF1BAE" w:rsidRPr="00996886" w:rsidRDefault="006C58B6" w:rsidP="003C5C9B">
      <w:pPr>
        <w:pStyle w:val="BulletList1"/>
      </w:pPr>
      <w:r w:rsidRPr="00996886">
        <w:lastRenderedPageBreak/>
        <w:t>Only Division of DD</w:t>
      </w:r>
      <w:r w:rsidR="00D2775B">
        <w:t xml:space="preserve"> staff</w:t>
      </w:r>
      <w:r w:rsidRPr="00996886">
        <w:t xml:space="preserve"> and certain other entities </w:t>
      </w:r>
      <w:r w:rsidR="00852355" w:rsidRPr="00996886">
        <w:t xml:space="preserve">designated </w:t>
      </w:r>
      <w:r w:rsidRPr="00996886">
        <w:t xml:space="preserve">by the </w:t>
      </w:r>
      <w:r w:rsidR="003C4681">
        <w:t>Division of DD’s</w:t>
      </w:r>
      <w:r w:rsidR="003C4681" w:rsidRPr="00996886">
        <w:t xml:space="preserve"> </w:t>
      </w:r>
      <w:r w:rsidR="009B781E" w:rsidRPr="00996886">
        <w:t>d</w:t>
      </w:r>
      <w:r w:rsidRPr="00996886">
        <w:t>irector are eligible to provide the services. This is to assure that eligible individuals receive help from case managers who have appropriate education and specialized experience.</w:t>
      </w:r>
    </w:p>
    <w:p w14:paraId="0170F658" w14:textId="77777777" w:rsidR="006C58B6" w:rsidRPr="00996886" w:rsidRDefault="006C58B6" w:rsidP="003C5C9B">
      <w:pPr>
        <w:pStyle w:val="BulletList1"/>
      </w:pPr>
      <w:r w:rsidRPr="00996886">
        <w:t xml:space="preserve">Support coordination activities may take place with or without the eligible individual present. </w:t>
      </w:r>
      <w:r w:rsidR="00A7221A" w:rsidRPr="00996886">
        <w:t>This</w:t>
      </w:r>
      <w:r w:rsidRPr="00996886">
        <w:t xml:space="preserve"> may include contacts with others, assessments, planning</w:t>
      </w:r>
      <w:r w:rsidR="00A7221A" w:rsidRPr="00996886">
        <w:t>,</w:t>
      </w:r>
      <w:r w:rsidRPr="00996886">
        <w:t xml:space="preserve"> and documenting on beha</w:t>
      </w:r>
      <w:r w:rsidR="00800A2E" w:rsidRPr="00996886">
        <w:t>lf of the eligible individual.</w:t>
      </w:r>
    </w:p>
    <w:p w14:paraId="65A74231" w14:textId="77777777" w:rsidR="00364A74" w:rsidRPr="00996886" w:rsidRDefault="006C58B6" w:rsidP="003C5C9B">
      <w:pPr>
        <w:pStyle w:val="BulletList1"/>
      </w:pPr>
      <w:r w:rsidRPr="00996886">
        <w:t>S</w:t>
      </w:r>
      <w:r w:rsidR="003C4681">
        <w:t>C</w:t>
      </w:r>
      <w:r w:rsidRPr="00996886">
        <w:t xml:space="preserve">s may assist guardians and others in </w:t>
      </w:r>
      <w:r w:rsidR="00DA3AFA" w:rsidRPr="00996886">
        <w:t xml:space="preserve">gaining </w:t>
      </w:r>
      <w:r w:rsidRPr="00996886">
        <w:t>access to needed services</w:t>
      </w:r>
      <w:r w:rsidR="00DA3AFA" w:rsidRPr="00996886">
        <w:t xml:space="preserve"> for an individual</w:t>
      </w:r>
      <w:r w:rsidRPr="00996886">
        <w:t xml:space="preserve">, but they may not be </w:t>
      </w:r>
      <w:r w:rsidR="00DA3AFA" w:rsidRPr="00996886">
        <w:t xml:space="preserve">used </w:t>
      </w:r>
      <w:r w:rsidRPr="00996886">
        <w:t xml:space="preserve">to replace or fund the function of </w:t>
      </w:r>
      <w:r w:rsidR="005F2ED7" w:rsidRPr="00996886">
        <w:t xml:space="preserve">a </w:t>
      </w:r>
      <w:r w:rsidRPr="00996886">
        <w:t>guardian, public administrator</w:t>
      </w:r>
      <w:r w:rsidR="005F2ED7" w:rsidRPr="00996886">
        <w:t>,</w:t>
      </w:r>
      <w:r w:rsidRPr="00996886">
        <w:t xml:space="preserve"> or conservator.</w:t>
      </w:r>
    </w:p>
    <w:p w14:paraId="5CA342CB" w14:textId="77777777" w:rsidR="00364A74" w:rsidRPr="00B92FFA" w:rsidRDefault="00364A74" w:rsidP="00210A2A">
      <w:pPr>
        <w:pStyle w:val="Heading2"/>
        <w:rPr>
          <w:rFonts w:eastAsia="Times New Roman"/>
        </w:rPr>
      </w:pPr>
      <w:bookmarkStart w:id="1" w:name="_Toc226444426"/>
      <w:bookmarkStart w:id="2" w:name="_Toc521916533"/>
      <w:r w:rsidRPr="00B92FFA">
        <w:rPr>
          <w:rFonts w:eastAsia="Times New Roman"/>
        </w:rPr>
        <w:t>Se</w:t>
      </w:r>
      <w:r w:rsidR="00A64FC7" w:rsidRPr="00B92FFA">
        <w:rPr>
          <w:rFonts w:eastAsia="Times New Roman"/>
        </w:rPr>
        <w:t>ction 1</w:t>
      </w:r>
      <w:r w:rsidR="00703DFB" w:rsidRPr="00B92FFA">
        <w:rPr>
          <w:rFonts w:eastAsia="Times New Roman"/>
        </w:rPr>
        <w:t xml:space="preserve">:  </w:t>
      </w:r>
      <w:r w:rsidR="00A64FC7" w:rsidRPr="00B92FFA">
        <w:rPr>
          <w:rFonts w:eastAsia="Times New Roman"/>
        </w:rPr>
        <w:t>Participant Eligibility</w:t>
      </w:r>
      <w:bookmarkEnd w:id="1"/>
    </w:p>
    <w:bookmarkEnd w:id="2"/>
    <w:p w14:paraId="7E4647C0" w14:textId="77777777" w:rsidR="00777DBB" w:rsidRPr="00654F4E" w:rsidRDefault="00777DBB" w:rsidP="00E17248">
      <w:r w:rsidRPr="00654F4E">
        <w:t>To be eligible for services an individual must be eligible for both MO HealthNet and Division of Developmental Disabilities (DD) services at the time the services are furnished.</w:t>
      </w:r>
    </w:p>
    <w:p w14:paraId="693B8111" w14:textId="77777777" w:rsidR="00364A74" w:rsidRPr="00654F4E" w:rsidRDefault="00364A74" w:rsidP="00E17248">
      <w:r w:rsidRPr="00654F4E">
        <w:t>The Missouri State Plan for Individuals with DD Case Management indicates the target group as “All MO HealthNet eligible individuals with a developmental disability</w:t>
      </w:r>
      <w:r w:rsidR="0004226A" w:rsidRPr="00654F4E">
        <w:t>,</w:t>
      </w:r>
      <w:r w:rsidRPr="00654F4E">
        <w:t xml:space="preserve">” as defined in </w:t>
      </w:r>
      <w:hyperlink r:id="rId16" w:anchor="9-45" w:history="1">
        <w:r w:rsidRPr="00CF79CA">
          <w:rPr>
            <w:rStyle w:val="Hyperlink"/>
          </w:rPr>
          <w:t>9 CSR 45-2.010</w:t>
        </w:r>
      </w:hyperlink>
      <w:r w:rsidRPr="00654F4E">
        <w:t>. A developmental disability is a disability that is attributable to</w:t>
      </w:r>
      <w:r w:rsidR="00A7221A" w:rsidRPr="00654F4E">
        <w:t xml:space="preserve"> one</w:t>
      </w:r>
      <w:r w:rsidR="003C4681" w:rsidRPr="00654F4E">
        <w:t xml:space="preserve"> (1)</w:t>
      </w:r>
      <w:r w:rsidR="00A7221A" w:rsidRPr="00654F4E">
        <w:t xml:space="preserve"> of the following</w:t>
      </w:r>
      <w:r w:rsidRPr="00654F4E">
        <w:t>:</w:t>
      </w:r>
    </w:p>
    <w:p w14:paraId="2AD34DCE" w14:textId="77777777" w:rsidR="00364A74" w:rsidRPr="00025A28" w:rsidRDefault="00364A74" w:rsidP="003C5C9B">
      <w:pPr>
        <w:pStyle w:val="BulletList1"/>
      </w:pPr>
      <w:r w:rsidRPr="00025A28">
        <w:t>Intellectual disability, cerebral palsy, epilepsy, head injury, autism, or a learning disability related to a brain dysfunction</w:t>
      </w:r>
    </w:p>
    <w:p w14:paraId="075CAF81" w14:textId="77777777" w:rsidR="00364A74" w:rsidRPr="00025A28" w:rsidRDefault="00364A74" w:rsidP="003C5C9B">
      <w:pPr>
        <w:pStyle w:val="BulletList1"/>
      </w:pPr>
      <w:r w:rsidRPr="00025A28">
        <w:t>Any other mental or physical impairment or combination of mental or physical impairment</w:t>
      </w:r>
      <w:r w:rsidR="00D14DFA" w:rsidRPr="00025A28">
        <w:t>s and</w:t>
      </w:r>
      <w:r w:rsidR="004B6B0E" w:rsidRPr="00025A28">
        <w:t>:</w:t>
      </w:r>
    </w:p>
    <w:p w14:paraId="09C5AF46" w14:textId="77777777" w:rsidR="00364A74" w:rsidRPr="00025A28" w:rsidRDefault="00364A74" w:rsidP="003C5C9B">
      <w:pPr>
        <w:pStyle w:val="BulletList2"/>
      </w:pPr>
      <w:r w:rsidRPr="00025A28">
        <w:t xml:space="preserve">Is manifested before the individual </w:t>
      </w:r>
      <w:r w:rsidR="00D14DFA" w:rsidRPr="00025A28">
        <w:t xml:space="preserve">attains age </w:t>
      </w:r>
      <w:r w:rsidR="00A7221A" w:rsidRPr="00025A28">
        <w:t>22</w:t>
      </w:r>
    </w:p>
    <w:p w14:paraId="7FE1C7E0" w14:textId="77777777" w:rsidR="00364A74" w:rsidRPr="00025A28" w:rsidRDefault="00364A74" w:rsidP="003C5C9B">
      <w:pPr>
        <w:pStyle w:val="BulletList2"/>
      </w:pPr>
      <w:r w:rsidRPr="00025A28">
        <w:t>Is likely to continue indefinitely</w:t>
      </w:r>
    </w:p>
    <w:p w14:paraId="13BDC61A" w14:textId="77777777" w:rsidR="00364A74" w:rsidRPr="00025A28" w:rsidRDefault="00364A74" w:rsidP="003C5C9B">
      <w:pPr>
        <w:pStyle w:val="BulletList2"/>
      </w:pPr>
      <w:r w:rsidRPr="00025A28">
        <w:t>Results in substantial limitations</w:t>
      </w:r>
      <w:r w:rsidR="00A7221A" w:rsidRPr="00025A28">
        <w:t xml:space="preserve"> in major life activities</w:t>
      </w:r>
      <w:r w:rsidRPr="00025A28">
        <w:t xml:space="preserve">, as defined in </w:t>
      </w:r>
      <w:hyperlink r:id="rId17" w:anchor="9-45" w:history="1">
        <w:r w:rsidRPr="00025A28">
          <w:rPr>
            <w:rStyle w:val="Hyperlink"/>
            <w:b w:val="0"/>
            <w:color w:val="auto"/>
            <w:u w:val="none"/>
          </w:rPr>
          <w:t>9 CSR 45-2.010 (2)(F)(4)</w:t>
        </w:r>
      </w:hyperlink>
      <w:r w:rsidRPr="00025A28">
        <w:t xml:space="preserve"> </w:t>
      </w:r>
    </w:p>
    <w:p w14:paraId="7265924F" w14:textId="77777777" w:rsidR="00364A74" w:rsidRPr="00025A28" w:rsidRDefault="00364A74" w:rsidP="003C5C9B">
      <w:pPr>
        <w:pStyle w:val="BulletList2"/>
      </w:pPr>
      <w:r w:rsidRPr="00025A28">
        <w:t>Reflects an individual’s need for a combination and sequence of special, interdisciplinary, or generic care, habilitation, or other services that may be of lifelong or extended duration and are individually planned and coordinated</w:t>
      </w:r>
    </w:p>
    <w:p w14:paraId="3DAAC9C0" w14:textId="77777777" w:rsidR="00364A74" w:rsidRPr="00654F4E" w:rsidRDefault="00364A74" w:rsidP="00E17248">
      <w:r w:rsidRPr="00654F4E">
        <w:t xml:space="preserve">The target group of individuals served through </w:t>
      </w:r>
      <w:r w:rsidR="009E4F20" w:rsidRPr="00654F4E">
        <w:t xml:space="preserve">the </w:t>
      </w:r>
      <w:r w:rsidRPr="00654F4E">
        <w:t>Division of DD Targeted Case Management (TCM) services does not include individuals who are served in Institutions for Mental Disease (IMD) who are between the ages of 22 and 64, or individuals who are inmates of public institutions.</w:t>
      </w:r>
    </w:p>
    <w:p w14:paraId="5C0A97B3" w14:textId="77777777" w:rsidR="00364A74" w:rsidRPr="00654F4E" w:rsidRDefault="00364A74" w:rsidP="00E17248">
      <w:r w:rsidRPr="00654F4E">
        <w:t>To be eligible for TCM services provided by support coordinators</w:t>
      </w:r>
      <w:r w:rsidR="003C4681" w:rsidRPr="00654F4E">
        <w:t xml:space="preserve"> (SCs)</w:t>
      </w:r>
      <w:r w:rsidRPr="00654F4E">
        <w:t xml:space="preserve"> of </w:t>
      </w:r>
      <w:r w:rsidR="00C93767" w:rsidRPr="00654F4E">
        <w:t>a</w:t>
      </w:r>
      <w:r w:rsidRPr="00654F4E">
        <w:t xml:space="preserve"> Division of DD </w:t>
      </w:r>
      <w:r w:rsidR="009D07B8" w:rsidRPr="00654F4E">
        <w:t>r</w:t>
      </w:r>
      <w:r w:rsidRPr="00654F4E">
        <w:t xml:space="preserve">egional </w:t>
      </w:r>
      <w:r w:rsidR="009D07B8" w:rsidRPr="00654F4E">
        <w:t>o</w:t>
      </w:r>
      <w:r w:rsidRPr="00654F4E">
        <w:t xml:space="preserve">ffice, an approved </w:t>
      </w:r>
      <w:r w:rsidR="001B054D" w:rsidRPr="00654F4E">
        <w:t>County S</w:t>
      </w:r>
      <w:r w:rsidR="00D35917" w:rsidRPr="00654F4E">
        <w:t xml:space="preserve">enate </w:t>
      </w:r>
      <w:r w:rsidR="001B054D" w:rsidRPr="00654F4E">
        <w:t>B</w:t>
      </w:r>
      <w:r w:rsidR="00D35917" w:rsidRPr="00654F4E">
        <w:t xml:space="preserve">ill (SB) </w:t>
      </w:r>
      <w:r w:rsidR="001B054D" w:rsidRPr="00654F4E">
        <w:t>40 Board</w:t>
      </w:r>
      <w:r w:rsidR="00F14C85" w:rsidRPr="00654F4E">
        <w:t xml:space="preserve"> </w:t>
      </w:r>
      <w:r w:rsidRPr="00654F4E">
        <w:t>or other not-for-profit agencies, an individual must be determined to:</w:t>
      </w:r>
    </w:p>
    <w:p w14:paraId="1D6A9CC6" w14:textId="77777777" w:rsidR="00364A74" w:rsidRPr="00025A28" w:rsidRDefault="00364A74" w:rsidP="003C5C9B">
      <w:pPr>
        <w:pStyle w:val="BulletList1"/>
      </w:pPr>
      <w:r w:rsidRPr="00025A28">
        <w:lastRenderedPageBreak/>
        <w:t xml:space="preserve">Have a developmental disability as defined in </w:t>
      </w:r>
      <w:hyperlink r:id="rId18" w:history="1">
        <w:r w:rsidRPr="00E04125">
          <w:rPr>
            <w:rStyle w:val="Hyperlink"/>
          </w:rPr>
          <w:t>630.005</w:t>
        </w:r>
        <w:r w:rsidR="00654F4E" w:rsidRPr="00E04125">
          <w:rPr>
            <w:rStyle w:val="Hyperlink"/>
          </w:rPr>
          <w:t>,</w:t>
        </w:r>
        <w:r w:rsidRPr="00E04125">
          <w:rPr>
            <w:rStyle w:val="Hyperlink"/>
          </w:rPr>
          <w:t xml:space="preserve"> RSMo</w:t>
        </w:r>
      </w:hyperlink>
      <w:r w:rsidRPr="00025A28">
        <w:t xml:space="preserve"> (and </w:t>
      </w:r>
      <w:hyperlink r:id="rId19" w:history="1">
        <w:r w:rsidRPr="00E04125">
          <w:rPr>
            <w:rStyle w:val="Hyperlink"/>
          </w:rPr>
          <w:t>9 CSR 45-2.010</w:t>
        </w:r>
      </w:hyperlink>
      <w:r w:rsidRPr="00025A28">
        <w:t xml:space="preserve">) and determined by a Division of DD </w:t>
      </w:r>
      <w:r w:rsidR="009D07B8" w:rsidRPr="00025A28">
        <w:t>r</w:t>
      </w:r>
      <w:r w:rsidRPr="00025A28">
        <w:t xml:space="preserve">egional </w:t>
      </w:r>
      <w:r w:rsidR="009D07B8" w:rsidRPr="00025A28">
        <w:t>o</w:t>
      </w:r>
      <w:r w:rsidRPr="00025A28">
        <w:t>ffice</w:t>
      </w:r>
    </w:p>
    <w:p w14:paraId="1E0D1D3E" w14:textId="77777777" w:rsidR="00364A74" w:rsidRPr="00025A28" w:rsidRDefault="00364A74" w:rsidP="003C5C9B">
      <w:pPr>
        <w:pStyle w:val="BulletList1"/>
      </w:pPr>
      <w:r w:rsidRPr="00025A28">
        <w:t xml:space="preserve">Be eligible for MO HealthNet </w:t>
      </w:r>
      <w:r w:rsidR="008831AD" w:rsidRPr="00025A28">
        <w:t>for</w:t>
      </w:r>
      <w:r w:rsidRPr="00025A28">
        <w:t xml:space="preserve"> the TCM provider to submit claims for reimbursement</w:t>
      </w:r>
    </w:p>
    <w:p w14:paraId="782787AC" w14:textId="77777777" w:rsidR="00C87A0C" w:rsidRPr="00025A28" w:rsidRDefault="00364A74" w:rsidP="003C5C9B">
      <w:pPr>
        <w:pStyle w:val="BulletList1"/>
      </w:pPr>
      <w:r w:rsidRPr="00025A28">
        <w:t xml:space="preserve">Not reside in </w:t>
      </w:r>
      <w:r w:rsidR="009067C5" w:rsidRPr="00025A28">
        <w:t xml:space="preserve">an Intermediate Care Facility for </w:t>
      </w:r>
      <w:r w:rsidR="00AF24A3" w:rsidRPr="00025A28">
        <w:t>I</w:t>
      </w:r>
      <w:r w:rsidR="009067C5" w:rsidRPr="00025A28">
        <w:t>ndividuals with Intellectual Disability (</w:t>
      </w:r>
      <w:r w:rsidRPr="00025A28">
        <w:t>ICF/I</w:t>
      </w:r>
      <w:r w:rsidR="002436A5" w:rsidRPr="00025A28">
        <w:t>I</w:t>
      </w:r>
      <w:r w:rsidRPr="00025A28">
        <w:t>D</w:t>
      </w:r>
      <w:r w:rsidR="009067C5" w:rsidRPr="00025A28">
        <w:t>)</w:t>
      </w:r>
      <w:r w:rsidRPr="00025A28">
        <w:t xml:space="preserve"> or other MO HealthNet</w:t>
      </w:r>
      <w:r w:rsidR="00A616D2" w:rsidRPr="00025A28">
        <w:t xml:space="preserve"> </w:t>
      </w:r>
      <w:r w:rsidRPr="00025A28">
        <w:t>funded nursing facilities unless the individual has a transition plan to move into the community</w:t>
      </w:r>
    </w:p>
    <w:p w14:paraId="1F8CBB83" w14:textId="77777777" w:rsidR="00364A74" w:rsidRPr="00654F4E" w:rsidRDefault="00364A74" w:rsidP="00E17248">
      <w:r w:rsidRPr="00654F4E">
        <w:t>The Department of Social Services</w:t>
      </w:r>
      <w:r w:rsidR="00A7221A" w:rsidRPr="00654F4E">
        <w:t xml:space="preserve"> (DSS)</w:t>
      </w:r>
      <w:r w:rsidRPr="00654F4E">
        <w:t xml:space="preserve">, Family Support Division (FSD), </w:t>
      </w:r>
      <w:r w:rsidR="008831AD" w:rsidRPr="00654F4E">
        <w:t>determines</w:t>
      </w:r>
      <w:r w:rsidRPr="00654F4E">
        <w:t xml:space="preserve"> MO HealthNet eligibility. Only MO HealthNet eligible individuals enrolled in Division of DD services are eligible for TCM that is billable to </w:t>
      </w:r>
      <w:r w:rsidR="00591D59" w:rsidRPr="00654F4E">
        <w:t xml:space="preserve">the </w:t>
      </w:r>
      <w:r w:rsidRPr="00654F4E">
        <w:t>MO HealthNet</w:t>
      </w:r>
      <w:r w:rsidR="00591D59" w:rsidRPr="00654F4E">
        <w:t xml:space="preserve"> Division (MHD)</w:t>
      </w:r>
      <w:r w:rsidRPr="00654F4E">
        <w:t xml:space="preserve">. To be eligible for the TCM program, the individual must be enrolled with a </w:t>
      </w:r>
      <w:r w:rsidR="00C07D1E" w:rsidRPr="00654F4E">
        <w:t xml:space="preserve">Division of DD </w:t>
      </w:r>
      <w:r w:rsidR="004E488E" w:rsidRPr="00654F4E">
        <w:t>r</w:t>
      </w:r>
      <w:r w:rsidRPr="00654F4E">
        <w:t xml:space="preserve">egional </w:t>
      </w:r>
      <w:r w:rsidR="004E488E" w:rsidRPr="00654F4E">
        <w:t>o</w:t>
      </w:r>
      <w:r w:rsidRPr="00654F4E">
        <w:t>ffice with an eligible program code on the day of service.</w:t>
      </w:r>
      <w:r w:rsidR="00F24DC8" w:rsidRPr="00654F4E">
        <w:t xml:space="preserve"> </w:t>
      </w:r>
      <w:r w:rsidRPr="00654F4E">
        <w:t xml:space="preserve">If the individual is eligible for Division of DD services and MO HealthNet, a </w:t>
      </w:r>
      <w:r w:rsidR="00623567" w:rsidRPr="00654F4E">
        <w:t xml:space="preserve">SC </w:t>
      </w:r>
      <w:r w:rsidRPr="00654F4E">
        <w:t xml:space="preserve">will explain that all support coordination time spent on behalf of the </w:t>
      </w:r>
      <w:r w:rsidR="00146FF5" w:rsidRPr="00654F4E">
        <w:t xml:space="preserve">participant </w:t>
      </w:r>
      <w:r w:rsidRPr="00654F4E">
        <w:t xml:space="preserve">will be logged and billed to </w:t>
      </w:r>
      <w:r w:rsidR="00591D59" w:rsidRPr="00654F4E">
        <w:t>MHD</w:t>
      </w:r>
      <w:r w:rsidRPr="00654F4E">
        <w:t xml:space="preserve">, including time spent in meetings or on phone calls, making contacts, and completing documentation. Communication must assure the individual or their family or guardian that billing </w:t>
      </w:r>
      <w:r w:rsidR="00591D59" w:rsidRPr="00654F4E">
        <w:t>MHD</w:t>
      </w:r>
      <w:r w:rsidRPr="00654F4E">
        <w:t xml:space="preserve"> for TCM does not limit the individual’s eligibility for other </w:t>
      </w:r>
      <w:r w:rsidR="00A7221A" w:rsidRPr="00654F4E">
        <w:t xml:space="preserve">MO HealthNet </w:t>
      </w:r>
      <w:r w:rsidRPr="00654F4E">
        <w:t xml:space="preserve">services or the </w:t>
      </w:r>
      <w:proofErr w:type="gramStart"/>
      <w:r w:rsidRPr="00654F4E">
        <w:t>amount</w:t>
      </w:r>
      <w:proofErr w:type="gramEnd"/>
      <w:r w:rsidRPr="00654F4E">
        <w:t xml:space="preserve"> of services they may receive.</w:t>
      </w:r>
    </w:p>
    <w:p w14:paraId="750244F6" w14:textId="77777777" w:rsidR="00926A61" w:rsidRPr="00654F4E" w:rsidRDefault="00926A61" w:rsidP="00E17248">
      <w:r w:rsidRPr="00654F4E">
        <w:t xml:space="preserve">An individual does not have to receive </w:t>
      </w:r>
      <w:r w:rsidR="002557EC" w:rsidRPr="00654F4E">
        <w:t>Home and Community-Based (</w:t>
      </w:r>
      <w:r w:rsidRPr="00654F4E">
        <w:t>HCBS</w:t>
      </w:r>
      <w:r w:rsidR="002557EC" w:rsidRPr="00654F4E">
        <w:t>)</w:t>
      </w:r>
      <w:r w:rsidRPr="00654F4E">
        <w:t xml:space="preserve"> waiver services, or other state plan services, to be eligible for TCM.</w:t>
      </w:r>
    </w:p>
    <w:p w14:paraId="731C904B" w14:textId="77777777" w:rsidR="000D1753" w:rsidRPr="00654F4E" w:rsidRDefault="000D1753" w:rsidP="00E17248">
      <w:r w:rsidRPr="00654F4E">
        <w:t xml:space="preserve">To </w:t>
      </w:r>
      <w:r w:rsidR="00A7221A" w:rsidRPr="00654F4E">
        <w:t xml:space="preserve">determine </w:t>
      </w:r>
      <w:r w:rsidRPr="00654F4E">
        <w:t>wh</w:t>
      </w:r>
      <w:r w:rsidR="00A7221A" w:rsidRPr="00654F4E">
        <w:t>ich</w:t>
      </w:r>
      <w:r w:rsidRPr="00654F4E">
        <w:t xml:space="preserve"> </w:t>
      </w:r>
      <w:r w:rsidR="00A7221A" w:rsidRPr="00654F4E">
        <w:t>Medicaid E</w:t>
      </w:r>
      <w:r w:rsidRPr="00654F4E">
        <w:t>ligib</w:t>
      </w:r>
      <w:r w:rsidR="00A7221A" w:rsidRPr="00654F4E">
        <w:t>ility (ME) Codes are eligible</w:t>
      </w:r>
      <w:r w:rsidRPr="00654F4E">
        <w:t xml:space="preserve"> for the TCM service, refer to</w:t>
      </w:r>
      <w:r w:rsidR="00A7221A" w:rsidRPr="00654F4E">
        <w:t xml:space="preserve"> the</w:t>
      </w:r>
      <w:r w:rsidRPr="00654F4E">
        <w:t xml:space="preserve"> </w:t>
      </w:r>
      <w:hyperlink r:id="rId20" w:history="1">
        <w:r w:rsidRPr="00CF79CA">
          <w:rPr>
            <w:rStyle w:val="Hyperlink"/>
          </w:rPr>
          <w:t>MO HealthNet</w:t>
        </w:r>
        <w:r w:rsidR="00A7221A" w:rsidRPr="00CF79CA">
          <w:rPr>
            <w:rStyle w:val="Hyperlink"/>
          </w:rPr>
          <w:t xml:space="preserve"> TCM for Individuals with Developmental Disabilities</w:t>
        </w:r>
        <w:r w:rsidRPr="00CF79CA">
          <w:rPr>
            <w:rStyle w:val="Hyperlink"/>
          </w:rPr>
          <w:t xml:space="preserve"> Benefits Table</w:t>
        </w:r>
        <w:r w:rsidR="00A7221A" w:rsidRPr="00654F4E">
          <w:rPr>
            <w:rStyle w:val="Hyperlink"/>
            <w:color w:val="auto"/>
            <w:u w:val="none"/>
          </w:rPr>
          <w:t>.</w:t>
        </w:r>
        <w:r w:rsidRPr="00654F4E">
          <w:rPr>
            <w:rStyle w:val="Hyperlink"/>
          </w:rPr>
          <w:t xml:space="preserve"> </w:t>
        </w:r>
      </w:hyperlink>
      <w:r w:rsidRPr="00654F4E">
        <w:t xml:space="preserve"> </w:t>
      </w:r>
    </w:p>
    <w:p w14:paraId="29D88210" w14:textId="77777777" w:rsidR="00DC334F" w:rsidRPr="00351C2B" w:rsidRDefault="00DC334F" w:rsidP="00DF18EE">
      <w:pPr>
        <w:pStyle w:val="Heading2"/>
        <w:rPr>
          <w:rFonts w:eastAsia="Times New Roman"/>
        </w:rPr>
      </w:pPr>
      <w:bookmarkStart w:id="3" w:name="_Toc521916534"/>
      <w:bookmarkStart w:id="4" w:name="_Toc226444427"/>
      <w:r w:rsidRPr="00351C2B">
        <w:rPr>
          <w:rFonts w:eastAsia="Times New Roman"/>
        </w:rPr>
        <w:t>Section 2</w:t>
      </w:r>
      <w:r w:rsidR="00703DFB" w:rsidRPr="00351C2B">
        <w:rPr>
          <w:rFonts w:eastAsia="Times New Roman"/>
        </w:rPr>
        <w:t xml:space="preserve">:  </w:t>
      </w:r>
      <w:r w:rsidRPr="00351C2B">
        <w:rPr>
          <w:rFonts w:eastAsia="Times New Roman"/>
        </w:rPr>
        <w:t>Provider Participation</w:t>
      </w:r>
      <w:bookmarkEnd w:id="3"/>
      <w:bookmarkEnd w:id="4"/>
    </w:p>
    <w:p w14:paraId="72025A2E" w14:textId="77777777" w:rsidR="00B32F2B" w:rsidRPr="00654F4E" w:rsidRDefault="00DC334F" w:rsidP="00E17248">
      <w:r w:rsidRPr="00654F4E">
        <w:t xml:space="preserve">To participate in the MO HealthNet Program, the </w:t>
      </w:r>
      <w:r w:rsidR="00717136" w:rsidRPr="00654F4E">
        <w:t>Targeted Case Management (</w:t>
      </w:r>
      <w:r w:rsidRPr="00654F4E">
        <w:t>TCM</w:t>
      </w:r>
      <w:r w:rsidR="00717136" w:rsidRPr="00654F4E">
        <w:t>)</w:t>
      </w:r>
      <w:r w:rsidRPr="00654F4E">
        <w:t xml:space="preserve"> provider must </w:t>
      </w:r>
      <w:r w:rsidR="00717136" w:rsidRPr="00654F4E">
        <w:t>b</w:t>
      </w:r>
      <w:r w:rsidR="00B32F2B" w:rsidRPr="00654F4E">
        <w:t xml:space="preserve">e </w:t>
      </w:r>
      <w:r w:rsidR="00351C2B" w:rsidRPr="00654F4E">
        <w:t xml:space="preserve">designated as a </w:t>
      </w:r>
      <w:hyperlink r:id="rId21" w:history="1">
        <w:r w:rsidR="00351C2B" w:rsidRPr="00CF79CA">
          <w:rPr>
            <w:rStyle w:val="Hyperlink"/>
          </w:rPr>
          <w:t>TCM provider</w:t>
        </w:r>
      </w:hyperlink>
      <w:r w:rsidR="00B32F2B" w:rsidRPr="00654F4E">
        <w:t xml:space="preserve"> by </w:t>
      </w:r>
      <w:r w:rsidR="00777DBB" w:rsidRPr="00654F4E">
        <w:t>the Department of Mental Health (</w:t>
      </w:r>
      <w:r w:rsidR="00B32F2B" w:rsidRPr="00654F4E">
        <w:t>DMH</w:t>
      </w:r>
      <w:r w:rsidR="00777DBB" w:rsidRPr="00654F4E">
        <w:t>)</w:t>
      </w:r>
      <w:r w:rsidR="00B32F2B" w:rsidRPr="00654F4E">
        <w:t xml:space="preserve"> and </w:t>
      </w:r>
      <w:r w:rsidR="00E91075" w:rsidRPr="00654F4E">
        <w:t xml:space="preserve">be </w:t>
      </w:r>
      <w:r w:rsidR="00B32F2B" w:rsidRPr="00654F4E">
        <w:t xml:space="preserve">enrolled as a </w:t>
      </w:r>
      <w:r w:rsidR="00777DBB" w:rsidRPr="00654F4E">
        <w:t xml:space="preserve">MO HealthNet </w:t>
      </w:r>
      <w:r w:rsidR="00B32F2B" w:rsidRPr="00654F4E">
        <w:t xml:space="preserve">provider. </w:t>
      </w:r>
      <w:r w:rsidR="009E437B" w:rsidRPr="00654F4E">
        <w:t>Refer to</w:t>
      </w:r>
      <w:r w:rsidR="00D2775B" w:rsidRPr="00654F4E">
        <w:t xml:space="preserve"> </w:t>
      </w:r>
      <w:hyperlink r:id="rId22" w:history="1">
        <w:r w:rsidR="00D2775B" w:rsidRPr="00CF79CA">
          <w:rPr>
            <w:rStyle w:val="Hyperlink"/>
          </w:rPr>
          <w:t>DMH’s Information for Service Providers</w:t>
        </w:r>
      </w:hyperlink>
      <w:r w:rsidR="00D2775B" w:rsidRPr="00654F4E">
        <w:t xml:space="preserve"> and</w:t>
      </w:r>
      <w:r w:rsidR="009E437B" w:rsidRPr="00654F4E">
        <w:t xml:space="preserve"> </w:t>
      </w:r>
      <w:hyperlink r:id="rId23" w:history="1">
        <w:r w:rsidR="00DF18EE" w:rsidRPr="00CF79CA">
          <w:rPr>
            <w:rStyle w:val="Hyperlink"/>
          </w:rPr>
          <w:t>Missouri Medicaid Audit and Compliance (</w:t>
        </w:r>
        <w:r w:rsidR="009E437B" w:rsidRPr="00CF79CA">
          <w:rPr>
            <w:rStyle w:val="Hyperlink"/>
          </w:rPr>
          <w:t>MMAC</w:t>
        </w:r>
        <w:r w:rsidR="00DF18EE" w:rsidRPr="00CF79CA">
          <w:rPr>
            <w:rStyle w:val="Hyperlink"/>
          </w:rPr>
          <w:t>)</w:t>
        </w:r>
        <w:r w:rsidR="009E437B" w:rsidRPr="00CF79CA">
          <w:rPr>
            <w:rStyle w:val="Hyperlink"/>
          </w:rPr>
          <w:t xml:space="preserve"> Provider Enrollment</w:t>
        </w:r>
      </w:hyperlink>
      <w:r w:rsidR="009E437B" w:rsidRPr="00654F4E">
        <w:t xml:space="preserve"> for more information</w:t>
      </w:r>
      <w:r w:rsidR="00777DBB" w:rsidRPr="00654F4E">
        <w:t xml:space="preserve">. </w:t>
      </w:r>
    </w:p>
    <w:p w14:paraId="5F4A83A8" w14:textId="77777777" w:rsidR="00DC334F" w:rsidRPr="00654F4E" w:rsidRDefault="001653E4" w:rsidP="00E17248">
      <w:r w:rsidRPr="00654F4E">
        <w:t xml:space="preserve">DMH </w:t>
      </w:r>
      <w:r w:rsidR="00DC334F" w:rsidRPr="00654F4E">
        <w:t xml:space="preserve">Division of </w:t>
      </w:r>
      <w:r w:rsidR="00717136" w:rsidRPr="00654F4E">
        <w:t>Developmental Disabilities (</w:t>
      </w:r>
      <w:r w:rsidR="00DC334F" w:rsidRPr="00654F4E">
        <w:t>DD</w:t>
      </w:r>
      <w:r w:rsidR="00717136" w:rsidRPr="00654F4E">
        <w:t>)</w:t>
      </w:r>
      <w:r w:rsidR="00DC334F" w:rsidRPr="00654F4E">
        <w:t xml:space="preserve"> </w:t>
      </w:r>
      <w:r w:rsidR="009D07B8" w:rsidRPr="00654F4E">
        <w:t>r</w:t>
      </w:r>
      <w:r w:rsidR="00DC334F" w:rsidRPr="00654F4E">
        <w:t xml:space="preserve">egional </w:t>
      </w:r>
      <w:r w:rsidR="009D07B8" w:rsidRPr="00654F4E">
        <w:t>o</w:t>
      </w:r>
      <w:r w:rsidR="00DC334F" w:rsidRPr="00654F4E">
        <w:t xml:space="preserve">ffices, County </w:t>
      </w:r>
      <w:r w:rsidR="00C82B88" w:rsidRPr="00654F4E">
        <w:t>Senate Bill (</w:t>
      </w:r>
      <w:r w:rsidR="00DC334F" w:rsidRPr="00654F4E">
        <w:t>SB</w:t>
      </w:r>
      <w:r w:rsidR="00C82B88" w:rsidRPr="00654F4E">
        <w:t>)</w:t>
      </w:r>
      <w:r w:rsidR="00D35917" w:rsidRPr="00654F4E">
        <w:t xml:space="preserve"> </w:t>
      </w:r>
      <w:r w:rsidR="00DC334F" w:rsidRPr="00654F4E">
        <w:t>40 Boards designated by the Division of DD, or other not-for-profit agencies designated by the Division of DD may provide TCM services. Qualified County SB</w:t>
      </w:r>
      <w:r w:rsidR="00D35917" w:rsidRPr="00654F4E">
        <w:t xml:space="preserve"> </w:t>
      </w:r>
      <w:r w:rsidR="00DC334F" w:rsidRPr="00654F4E">
        <w:t>40 Boards or other not-for-profit agencies designated by the Division of DD shall maintain an active case management contract with the Division of DD. A not-for-profit agency is only eligible to provide case management services in a county or counties where it has an active case management contract with the County SB</w:t>
      </w:r>
      <w:r w:rsidR="00D35917" w:rsidRPr="00654F4E">
        <w:t xml:space="preserve"> </w:t>
      </w:r>
      <w:r w:rsidR="00DC334F" w:rsidRPr="00654F4E">
        <w:t>40 Board or a case management contract with the Division of DD. The not-for-profit agency shall be registered with the Secretary of State.</w:t>
      </w:r>
    </w:p>
    <w:p w14:paraId="48A9A211" w14:textId="77777777" w:rsidR="00DC334F" w:rsidRPr="00654F4E" w:rsidRDefault="00DC334F" w:rsidP="00E17248">
      <w:r w:rsidRPr="00654F4E">
        <w:lastRenderedPageBreak/>
        <w:t xml:space="preserve">DD </w:t>
      </w:r>
      <w:r w:rsidR="009D07B8" w:rsidRPr="00654F4E">
        <w:t>r</w:t>
      </w:r>
      <w:r w:rsidRPr="00654F4E">
        <w:t xml:space="preserve">egional </w:t>
      </w:r>
      <w:r w:rsidR="009D07B8" w:rsidRPr="00654F4E">
        <w:t>o</w:t>
      </w:r>
      <w:r w:rsidRPr="00654F4E">
        <w:t>ffices or approved County SB</w:t>
      </w:r>
      <w:r w:rsidR="00F86034" w:rsidRPr="00654F4E">
        <w:t xml:space="preserve"> </w:t>
      </w:r>
      <w:r w:rsidRPr="00654F4E">
        <w:t xml:space="preserve">40 Boards that meet the requirements of </w:t>
      </w:r>
      <w:hyperlink r:id="rId24" w:history="1">
        <w:r w:rsidRPr="00CF79CA">
          <w:rPr>
            <w:rStyle w:val="Hyperlink"/>
          </w:rPr>
          <w:t>42 CFR 447.10</w:t>
        </w:r>
      </w:hyperlink>
      <w:r w:rsidRPr="00654F4E">
        <w:t xml:space="preserve"> may serve as an Organized Health Care Delivery System (OHCDS). Otherwise, qualified providers shall not be required to provide services through an OHCDS agreement. An entity that contracts with an OHCDS to provide case management services must meet the same requirements and qualifications as providers enrolled directly with </w:t>
      </w:r>
      <w:r w:rsidR="001653E4" w:rsidRPr="00654F4E">
        <w:t>MO HealthNet</w:t>
      </w:r>
      <w:r w:rsidRPr="00654F4E">
        <w:t xml:space="preserve">. All contracts executed by an OHCDS for case management services shall meet the applicable requirements of </w:t>
      </w:r>
      <w:hyperlink r:id="rId25" w:history="1">
        <w:r w:rsidRPr="00CF79CA">
          <w:rPr>
            <w:rStyle w:val="Hyperlink"/>
          </w:rPr>
          <w:t>42 CFR 434.6</w:t>
        </w:r>
      </w:hyperlink>
      <w:r w:rsidRPr="00654F4E">
        <w:t xml:space="preserve"> and </w:t>
      </w:r>
      <w:hyperlink r:id="rId26" w:history="1">
        <w:r w:rsidRPr="00CF79CA">
          <w:rPr>
            <w:rStyle w:val="Hyperlink"/>
          </w:rPr>
          <w:t>45 CFR Part 92</w:t>
        </w:r>
        <w:r w:rsidRPr="00654F4E">
          <w:rPr>
            <w:rStyle w:val="Hyperlink"/>
            <w:b w:val="0"/>
            <w:color w:val="auto"/>
            <w:u w:val="none"/>
          </w:rPr>
          <w:t>.</w:t>
        </w:r>
      </w:hyperlink>
    </w:p>
    <w:p w14:paraId="2EBB3E71" w14:textId="77777777" w:rsidR="00DC334F" w:rsidRPr="00654F4E" w:rsidRDefault="00DC334F" w:rsidP="00E17248">
      <w:r w:rsidRPr="00654F4E">
        <w:t xml:space="preserve">The following are conditions of eligibility for </w:t>
      </w:r>
      <w:r w:rsidR="00663596" w:rsidRPr="00654F4E">
        <w:t>r</w:t>
      </w:r>
      <w:r w:rsidRPr="00654F4E">
        <w:t xml:space="preserve">egional </w:t>
      </w:r>
      <w:r w:rsidR="00663596" w:rsidRPr="00654F4E">
        <w:t>o</w:t>
      </w:r>
      <w:r w:rsidRPr="00654F4E">
        <w:t>ffice support coordination, County Boards</w:t>
      </w:r>
      <w:r w:rsidR="001653E4" w:rsidRPr="00654F4E">
        <w:t>,</w:t>
      </w:r>
      <w:r w:rsidRPr="00654F4E">
        <w:t xml:space="preserve"> and other not-for-profit agencies enrolling in the TCM program for individuals with DD.</w:t>
      </w:r>
    </w:p>
    <w:p w14:paraId="60574DD7" w14:textId="77777777" w:rsidR="00DC334F" w:rsidRPr="00654F4E" w:rsidRDefault="00DC334F" w:rsidP="00E17248">
      <w:r w:rsidRPr="00654F4E">
        <w:t xml:space="preserve">Case Managers </w:t>
      </w:r>
      <w:r w:rsidR="00C82F63" w:rsidRPr="00654F4E">
        <w:t>must be</w:t>
      </w:r>
      <w:r w:rsidRPr="00654F4E">
        <w:t xml:space="preserve"> employed by</w:t>
      </w:r>
      <w:r w:rsidR="00B706B2" w:rsidRPr="00654F4E">
        <w:t xml:space="preserve"> one </w:t>
      </w:r>
      <w:r w:rsidR="00B7593D" w:rsidRPr="00654F4E">
        <w:t xml:space="preserve">(1) </w:t>
      </w:r>
      <w:r w:rsidR="00B706B2" w:rsidRPr="00654F4E">
        <w:t>of the following:</w:t>
      </w:r>
    </w:p>
    <w:p w14:paraId="10521450" w14:textId="77777777" w:rsidR="00DC334F" w:rsidRPr="00654F4E" w:rsidRDefault="00DC334F" w:rsidP="00E04125">
      <w:pPr>
        <w:pStyle w:val="BulletList1"/>
      </w:pPr>
      <w:r w:rsidRPr="00654F4E">
        <w:t xml:space="preserve">Regional </w:t>
      </w:r>
      <w:r w:rsidR="00663596" w:rsidRPr="00654F4E">
        <w:t>o</w:t>
      </w:r>
      <w:r w:rsidRPr="00654F4E">
        <w:t>ffice of the Division of DD</w:t>
      </w:r>
    </w:p>
    <w:p w14:paraId="37E2076C" w14:textId="77777777" w:rsidR="00DC334F" w:rsidRPr="00654F4E" w:rsidRDefault="00DC334F" w:rsidP="00E04125">
      <w:pPr>
        <w:pStyle w:val="BulletList1"/>
      </w:pPr>
      <w:r w:rsidRPr="00654F4E">
        <w:t xml:space="preserve">County </w:t>
      </w:r>
      <w:r w:rsidR="000D4B9D" w:rsidRPr="00654F4E">
        <w:t>SB</w:t>
      </w:r>
      <w:r w:rsidRPr="00654F4E">
        <w:t xml:space="preserve"> 40 Board designated by the Division of DD</w:t>
      </w:r>
    </w:p>
    <w:p w14:paraId="75438336" w14:textId="77777777" w:rsidR="00DC334F" w:rsidRPr="00654F4E" w:rsidRDefault="00DC334F" w:rsidP="00E04125">
      <w:pPr>
        <w:pStyle w:val="BulletList1"/>
      </w:pPr>
      <w:r w:rsidRPr="00654F4E">
        <w:t>Not-for-profit</w:t>
      </w:r>
      <w:r w:rsidRPr="00654F4E" w:rsidDel="00F54773">
        <w:t xml:space="preserve"> </w:t>
      </w:r>
      <w:r w:rsidRPr="00654F4E">
        <w:t xml:space="preserve">agency registered with the Missouri Secretary of State, designated by the Division of DD. In addition, a designated not-for-profit shall have a case management agreement with a County </w:t>
      </w:r>
      <w:r w:rsidR="000D4B9D" w:rsidRPr="00654F4E">
        <w:t>SB</w:t>
      </w:r>
      <w:r w:rsidRPr="00654F4E">
        <w:t xml:space="preserve"> 40 Board, or have a case management agreement/contract with the Division of DD.</w:t>
      </w:r>
    </w:p>
    <w:p w14:paraId="3A0DABAC" w14:textId="77777777" w:rsidR="00DC334F" w:rsidRPr="00E91075" w:rsidRDefault="00916705" w:rsidP="000C0223">
      <w:pPr>
        <w:pStyle w:val="Heading3"/>
      </w:pPr>
      <w:bookmarkStart w:id="5" w:name="_Toc521916535"/>
      <w:bookmarkStart w:id="6" w:name="_Toc226444428"/>
      <w:r w:rsidRPr="00E91075">
        <w:t xml:space="preserve">2.1 </w:t>
      </w:r>
      <w:r w:rsidR="00DC334F" w:rsidRPr="00E91075">
        <w:t>Qualifications of Targeted Case Management Support Coordinators</w:t>
      </w:r>
      <w:bookmarkEnd w:id="5"/>
      <w:bookmarkEnd w:id="6"/>
    </w:p>
    <w:p w14:paraId="397FC578" w14:textId="77777777" w:rsidR="00545080" w:rsidRPr="00654F4E" w:rsidRDefault="00DC334F" w:rsidP="00E17248">
      <w:r w:rsidRPr="00654F4E">
        <w:t>Support coordinators</w:t>
      </w:r>
      <w:r w:rsidR="00545080" w:rsidRPr="00654F4E">
        <w:t xml:space="preserve"> (SCs)</w:t>
      </w:r>
      <w:r w:rsidR="002A621F" w:rsidRPr="00654F4E">
        <w:t xml:space="preserve"> </w:t>
      </w:r>
      <w:r w:rsidRPr="00654F4E">
        <w:t xml:space="preserve">shall meet qualifications as per </w:t>
      </w:r>
      <w:hyperlink r:id="rId27" w:history="1">
        <w:r w:rsidRPr="00CF79CA">
          <w:rPr>
            <w:rStyle w:val="Hyperlink"/>
          </w:rPr>
          <w:t>42 CFR 483.430</w:t>
        </w:r>
      </w:hyperlink>
      <w:r w:rsidRPr="00CF79CA">
        <w:rPr>
          <w:rStyle w:val="Hyperlink"/>
        </w:rPr>
        <w:t xml:space="preserve">; </w:t>
      </w:r>
      <w:hyperlink r:id="rId28" w:history="1">
        <w:r w:rsidRPr="00CF79CA">
          <w:rPr>
            <w:rStyle w:val="Hyperlink"/>
          </w:rPr>
          <w:t>9 CSR 45-3.010(1) (D)</w:t>
        </w:r>
      </w:hyperlink>
      <w:r w:rsidRPr="00654F4E">
        <w:t xml:space="preserve">; </w:t>
      </w:r>
      <w:r w:rsidR="00857251" w:rsidRPr="00654F4E">
        <w:t>t</w:t>
      </w:r>
      <w:r w:rsidRPr="00654F4E">
        <w:t xml:space="preserve">he MO HealthNet </w:t>
      </w:r>
      <w:hyperlink r:id="rId29" w:history="1">
        <w:r w:rsidRPr="00CF79CA">
          <w:rPr>
            <w:rStyle w:val="Hyperlink"/>
          </w:rPr>
          <w:t>DD Waiver Manual</w:t>
        </w:r>
      </w:hyperlink>
      <w:r w:rsidRPr="00654F4E">
        <w:t xml:space="preserve">; and the </w:t>
      </w:r>
      <w:hyperlink r:id="rId30" w:history="1">
        <w:r w:rsidRPr="00CF79CA">
          <w:rPr>
            <w:rStyle w:val="Hyperlink"/>
          </w:rPr>
          <w:t>TCM Contract</w:t>
        </w:r>
      </w:hyperlink>
      <w:r w:rsidRPr="00654F4E">
        <w:t xml:space="preserve"> with the Division of DD. </w:t>
      </w:r>
    </w:p>
    <w:p w14:paraId="75C75A37" w14:textId="77777777" w:rsidR="00DC334F" w:rsidRPr="00654F4E" w:rsidRDefault="00DC334F" w:rsidP="00E17248">
      <w:r w:rsidRPr="00654F4E">
        <w:t xml:space="preserve">Background screenings are identified in </w:t>
      </w:r>
      <w:hyperlink r:id="rId31" w:history="1">
        <w:r w:rsidRPr="00CF79CA">
          <w:rPr>
            <w:rStyle w:val="Hyperlink"/>
          </w:rPr>
          <w:t>9 CSR 10-5.190</w:t>
        </w:r>
      </w:hyperlink>
      <w:r w:rsidRPr="00654F4E">
        <w:t xml:space="preserve">; and </w:t>
      </w:r>
      <w:r w:rsidR="00545080" w:rsidRPr="00654F4E">
        <w:t xml:space="preserve">SC </w:t>
      </w:r>
      <w:r w:rsidRPr="00654F4E">
        <w:t xml:space="preserve">training requirements are described in the </w:t>
      </w:r>
      <w:hyperlink r:id="rId32" w:history="1">
        <w:r w:rsidRPr="00CF79CA">
          <w:rPr>
            <w:rStyle w:val="Hyperlink"/>
          </w:rPr>
          <w:t>TCM Contract</w:t>
        </w:r>
      </w:hyperlink>
      <w:r w:rsidRPr="00654F4E">
        <w:t>.</w:t>
      </w:r>
      <w:r w:rsidR="00166350" w:rsidRPr="00654F4E">
        <w:t xml:space="preserve"> Refer to </w:t>
      </w:r>
      <w:hyperlink r:id="rId33" w:history="1">
        <w:r w:rsidR="00166350" w:rsidRPr="00CF79CA">
          <w:rPr>
            <w:rStyle w:val="Hyperlink"/>
          </w:rPr>
          <w:t>DMH Information for Case Management Providers</w:t>
        </w:r>
      </w:hyperlink>
      <w:r w:rsidR="00166350" w:rsidRPr="00654F4E">
        <w:t xml:space="preserve"> for more information.</w:t>
      </w:r>
    </w:p>
    <w:p w14:paraId="7BDCF713" w14:textId="77777777" w:rsidR="00DC334F" w:rsidRPr="00654F4E" w:rsidRDefault="00DC334F" w:rsidP="00E17248">
      <w:bookmarkStart w:id="7" w:name="_Hlk183013002"/>
      <w:r w:rsidRPr="00654F4E">
        <w:t xml:space="preserve">The Medicaid State Plan filed with and approved by the Centers for Medicare &amp; Medicaid Services (CMS) requires case managers employed by a TCM provider </w:t>
      </w:r>
      <w:r w:rsidR="004D4B8C" w:rsidRPr="00654F4E">
        <w:t xml:space="preserve">must </w:t>
      </w:r>
      <w:r w:rsidR="00415C50" w:rsidRPr="00654F4E">
        <w:t>possess one</w:t>
      </w:r>
      <w:r w:rsidR="00827F33" w:rsidRPr="00654F4E">
        <w:t xml:space="preserve"> (1)</w:t>
      </w:r>
      <w:r w:rsidRPr="00654F4E">
        <w:t xml:space="preserve"> of the following qualifications</w:t>
      </w:r>
      <w:r w:rsidR="004D4B8C" w:rsidRPr="00654F4E">
        <w:t>, which will be verified by the TCM agency</w:t>
      </w:r>
      <w:r w:rsidRPr="00654F4E">
        <w:t>:</w:t>
      </w:r>
    </w:p>
    <w:p w14:paraId="66FF80EC" w14:textId="77777777" w:rsidR="00DC334F" w:rsidRPr="00654F4E" w:rsidRDefault="00DC334F" w:rsidP="00E04125">
      <w:pPr>
        <w:pStyle w:val="BulletList1"/>
      </w:pPr>
      <w:r w:rsidRPr="00654F4E">
        <w:t>Registered Nurse</w:t>
      </w:r>
      <w:r w:rsidR="00827F33" w:rsidRPr="00654F4E">
        <w:t xml:space="preserve"> (RN)</w:t>
      </w:r>
      <w:r w:rsidRPr="00654F4E">
        <w:t xml:space="preserve"> license</w:t>
      </w:r>
    </w:p>
    <w:p w14:paraId="7301C2A9" w14:textId="77777777" w:rsidR="00DC334F" w:rsidRPr="00654F4E" w:rsidRDefault="00DC334F" w:rsidP="00E04125">
      <w:pPr>
        <w:pStyle w:val="BulletList1"/>
      </w:pPr>
      <w:r w:rsidRPr="00654F4E">
        <w:t>Bachelor’s degree from an accredited college or university</w:t>
      </w:r>
    </w:p>
    <w:p w14:paraId="2595C0F0" w14:textId="77777777" w:rsidR="00DC334F" w:rsidRPr="00ED1CF1" w:rsidRDefault="00916705" w:rsidP="000C0223">
      <w:pPr>
        <w:pStyle w:val="Heading3"/>
      </w:pPr>
      <w:bookmarkStart w:id="8" w:name="_Toc521916536"/>
      <w:bookmarkStart w:id="9" w:name="_Toc226444429"/>
      <w:bookmarkEnd w:id="7"/>
      <w:r w:rsidRPr="00277309">
        <w:t xml:space="preserve">2.2 </w:t>
      </w:r>
      <w:r w:rsidR="00DC334F" w:rsidRPr="00277309">
        <w:t>Division of Developmental Disabilities Targeted Case Management Monitoring</w:t>
      </w:r>
      <w:bookmarkEnd w:id="8"/>
      <w:bookmarkEnd w:id="9"/>
    </w:p>
    <w:p w14:paraId="7D176E42" w14:textId="77777777" w:rsidR="00DC334F" w:rsidRPr="000C09E8" w:rsidRDefault="00DC334F" w:rsidP="00E17248">
      <w:r w:rsidRPr="000C09E8">
        <w:t xml:space="preserve">The Division of DD operates the TCM </w:t>
      </w:r>
      <w:r>
        <w:t>p</w:t>
      </w:r>
      <w:r w:rsidRPr="000C09E8">
        <w:t xml:space="preserve">rogram for </w:t>
      </w:r>
      <w:r>
        <w:t xml:space="preserve">individuals </w:t>
      </w:r>
      <w:r w:rsidRPr="000C09E8">
        <w:t xml:space="preserve">with </w:t>
      </w:r>
      <w:r w:rsidR="00166350">
        <w:t>DD</w:t>
      </w:r>
      <w:r w:rsidRPr="000C09E8">
        <w:t xml:space="preserve"> under a cooperative agreement with</w:t>
      </w:r>
      <w:r>
        <w:t xml:space="preserve"> </w:t>
      </w:r>
      <w:r w:rsidR="00E82D29">
        <w:t>the Department of Social Services (</w:t>
      </w:r>
      <w:r w:rsidRPr="000C09E8">
        <w:t>D</w:t>
      </w:r>
      <w:r w:rsidR="00166350">
        <w:t>SS</w:t>
      </w:r>
      <w:r w:rsidR="00E82D29">
        <w:t>)</w:t>
      </w:r>
      <w:r w:rsidRPr="000C09E8">
        <w:t xml:space="preserve">. </w:t>
      </w:r>
      <w:r>
        <w:t>T</w:t>
      </w:r>
      <w:r w:rsidRPr="000C09E8">
        <w:t>he Division of DD monitor</w:t>
      </w:r>
      <w:r w:rsidR="00166350">
        <w:t>s</w:t>
      </w:r>
      <w:r w:rsidRPr="000C09E8">
        <w:t xml:space="preserve"> </w:t>
      </w:r>
      <w:r w:rsidR="00B954CE">
        <w:t xml:space="preserve">contracted </w:t>
      </w:r>
      <w:r w:rsidRPr="000C09E8">
        <w:t xml:space="preserve">TCM providers for procedural compliance with laws and regulations, </w:t>
      </w:r>
      <w:r>
        <w:t xml:space="preserve">as well as </w:t>
      </w:r>
      <w:r w:rsidRPr="000C09E8">
        <w:t>conditions of participation</w:t>
      </w:r>
      <w:r>
        <w:t xml:space="preserve"> under the </w:t>
      </w:r>
      <w:r>
        <w:lastRenderedPageBreak/>
        <w:t>provisions of this cooperative agreement</w:t>
      </w:r>
      <w:r w:rsidRPr="000C09E8">
        <w:t>. Th</w:t>
      </w:r>
      <w:r>
        <w:t xml:space="preserve">e </w:t>
      </w:r>
      <w:r w:rsidRPr="000C09E8">
        <w:t xml:space="preserve">Division of DD </w:t>
      </w:r>
      <w:r>
        <w:t xml:space="preserve">will perform monitoring </w:t>
      </w:r>
      <w:r w:rsidRPr="000C09E8">
        <w:t>according to a protocol developed between the Division</w:t>
      </w:r>
      <w:r w:rsidR="005413CB">
        <w:t xml:space="preserve"> of DD</w:t>
      </w:r>
      <w:r w:rsidRPr="000C09E8">
        <w:t xml:space="preserve"> and the County Board and other not-for-profit TCM providers.</w:t>
      </w:r>
    </w:p>
    <w:p w14:paraId="06EDC73A" w14:textId="77777777" w:rsidR="00DC334F" w:rsidRPr="000C09E8" w:rsidRDefault="00DC334F" w:rsidP="00E17248">
      <w:r w:rsidRPr="000C09E8">
        <w:t xml:space="preserve">Division of DD </w:t>
      </w:r>
      <w:r>
        <w:t>s</w:t>
      </w:r>
      <w:r w:rsidRPr="000C09E8">
        <w:t xml:space="preserve">taff conducts reviews with TCM entities that have been delegated waiver administrative functions in the following areas. </w:t>
      </w:r>
      <w:r w:rsidRPr="00764B2B">
        <w:t xml:space="preserve">Annually, one </w:t>
      </w:r>
      <w:r w:rsidR="009067C5" w:rsidRPr="00764B2B">
        <w:t xml:space="preserve">(1) </w:t>
      </w:r>
      <w:r w:rsidRPr="00764B2B">
        <w:t xml:space="preserve">record per </w:t>
      </w:r>
      <w:r w:rsidR="009067C5" w:rsidRPr="00764B2B">
        <w:t>provider</w:t>
      </w:r>
      <w:r w:rsidR="009067C5" w:rsidRPr="000C09E8">
        <w:t xml:space="preserve"> </w:t>
      </w:r>
      <w:r w:rsidRPr="000C09E8">
        <w:t>who is providing TCM is reviewed to include the following:</w:t>
      </w:r>
    </w:p>
    <w:p w14:paraId="6B00A940" w14:textId="77777777" w:rsidR="00DC334F" w:rsidRPr="000C09E8" w:rsidRDefault="00DC334F" w:rsidP="003C5C9B">
      <w:pPr>
        <w:pStyle w:val="BulletList1"/>
      </w:pPr>
      <w:r w:rsidRPr="000C09E8">
        <w:t>Participant waiver enrollment:</w:t>
      </w:r>
    </w:p>
    <w:p w14:paraId="1369EA66" w14:textId="77777777" w:rsidR="00DC334F" w:rsidRPr="000C09E8" w:rsidRDefault="00DC334F" w:rsidP="003C5C9B">
      <w:pPr>
        <w:pStyle w:val="BulletList2"/>
      </w:pPr>
      <w:r>
        <w:t>S</w:t>
      </w:r>
      <w:r w:rsidRPr="000C09E8">
        <w:t>taff</w:t>
      </w:r>
      <w:r>
        <w:t xml:space="preserve"> qualifications</w:t>
      </w:r>
    </w:p>
    <w:p w14:paraId="6151FF21" w14:textId="77777777" w:rsidR="00DC334F" w:rsidRPr="000C09E8" w:rsidRDefault="00DC334F" w:rsidP="003C5C9B">
      <w:pPr>
        <w:pStyle w:val="BulletList2"/>
      </w:pPr>
      <w:r w:rsidRPr="000C09E8">
        <w:t xml:space="preserve">Evidence </w:t>
      </w:r>
      <w:r>
        <w:t xml:space="preserve">that </w:t>
      </w:r>
      <w:r w:rsidRPr="000C09E8">
        <w:t xml:space="preserve">the </w:t>
      </w:r>
      <w:r w:rsidR="003D2DCD">
        <w:t>Person-Centered Service Plan (PCSP)</w:t>
      </w:r>
      <w:r w:rsidRPr="000C09E8">
        <w:t xml:space="preserve"> was prepared according to guidelines</w:t>
      </w:r>
    </w:p>
    <w:p w14:paraId="21B5780C" w14:textId="77777777" w:rsidR="00DC334F" w:rsidRPr="000C09E8" w:rsidRDefault="00DC334F" w:rsidP="003C5C9B">
      <w:pPr>
        <w:pStyle w:val="BulletList2"/>
      </w:pPr>
      <w:r w:rsidRPr="000C09E8">
        <w:t xml:space="preserve">Evidence </w:t>
      </w:r>
      <w:r>
        <w:t xml:space="preserve">that </w:t>
      </w:r>
      <w:r w:rsidRPr="000C09E8">
        <w:t>due process and appeals processes are followed</w:t>
      </w:r>
    </w:p>
    <w:p w14:paraId="49CB1CC8" w14:textId="77777777" w:rsidR="00DC334F" w:rsidRPr="000C09E8" w:rsidRDefault="00DC334F" w:rsidP="003C5C9B">
      <w:pPr>
        <w:pStyle w:val="BulletList2"/>
      </w:pPr>
      <w:r w:rsidRPr="000C09E8">
        <w:t>Accuracy of information entered in the Division</w:t>
      </w:r>
      <w:r w:rsidR="005413CB">
        <w:t xml:space="preserve"> of DD</w:t>
      </w:r>
      <w:r w:rsidRPr="000C09E8">
        <w:t xml:space="preserve">'s </w:t>
      </w:r>
      <w:r w:rsidR="00952C40">
        <w:t>Customer</w:t>
      </w:r>
      <w:r w:rsidRPr="000C09E8">
        <w:t xml:space="preserve"> Information Management</w:t>
      </w:r>
      <w:r w:rsidR="00952C40">
        <w:t>, Outcomes &amp; Reporting</w:t>
      </w:r>
      <w:r w:rsidRPr="000C09E8">
        <w:t xml:space="preserve"> system</w:t>
      </w:r>
      <w:r w:rsidR="00952C40">
        <w:t xml:space="preserve"> (CIMOR)</w:t>
      </w:r>
    </w:p>
    <w:p w14:paraId="101BF5E2" w14:textId="77777777" w:rsidR="00DC334F" w:rsidRPr="000C09E8" w:rsidRDefault="00DC334F" w:rsidP="003C5C9B">
      <w:pPr>
        <w:pStyle w:val="BulletList2"/>
      </w:pPr>
      <w:r w:rsidRPr="000C09E8">
        <w:t xml:space="preserve">Evidence </w:t>
      </w:r>
      <w:r>
        <w:t xml:space="preserve">that </w:t>
      </w:r>
      <w:r w:rsidRPr="000C09E8">
        <w:t xml:space="preserve">records are maintained for </w:t>
      </w:r>
      <w:proofErr w:type="gramStart"/>
      <w:r w:rsidRPr="000C09E8">
        <w:t>each individual</w:t>
      </w:r>
      <w:proofErr w:type="gramEnd"/>
      <w:r w:rsidRPr="000C09E8">
        <w:t xml:space="preserve"> receiving support coordination</w:t>
      </w:r>
    </w:p>
    <w:p w14:paraId="1BB48EAF" w14:textId="77777777" w:rsidR="00DC334F" w:rsidRPr="000C09E8" w:rsidRDefault="00DC334F" w:rsidP="003C5C9B">
      <w:pPr>
        <w:pStyle w:val="BulletList2"/>
      </w:pPr>
      <w:bookmarkStart w:id="10" w:name="_Hlk214255974"/>
      <w:r w:rsidRPr="000C09E8">
        <w:t xml:space="preserve">Evidence </w:t>
      </w:r>
      <w:r>
        <w:t xml:space="preserve">that the </w:t>
      </w:r>
      <w:r w:rsidRPr="000C09E8">
        <w:t xml:space="preserve">individual was provided </w:t>
      </w:r>
      <w:r w:rsidR="008831AD">
        <w:t xml:space="preserve">the </w:t>
      </w:r>
      <w:r w:rsidRPr="000C09E8">
        <w:t xml:space="preserve">choice of waiver service or </w:t>
      </w:r>
      <w:r>
        <w:t xml:space="preserve">Intermediate Care Facilities for </w:t>
      </w:r>
      <w:r w:rsidR="00993053">
        <w:t xml:space="preserve">Individuals </w:t>
      </w:r>
      <w:r>
        <w:t xml:space="preserve">with Intellectual </w:t>
      </w:r>
      <w:r w:rsidR="009067C5">
        <w:t>D</w:t>
      </w:r>
      <w:r>
        <w:t>isability (</w:t>
      </w:r>
      <w:r w:rsidRPr="000C09E8">
        <w:t>ICF/I</w:t>
      </w:r>
      <w:r w:rsidR="00952C40">
        <w:t>I</w:t>
      </w:r>
      <w:r w:rsidRPr="000C09E8">
        <w:t>D</w:t>
      </w:r>
      <w:r>
        <w:t>)</w:t>
      </w:r>
      <w:r w:rsidRPr="000C09E8">
        <w:t xml:space="preserve"> service</w:t>
      </w:r>
    </w:p>
    <w:bookmarkEnd w:id="10"/>
    <w:p w14:paraId="78D29029" w14:textId="77777777" w:rsidR="00DC334F" w:rsidRDefault="00DC334F" w:rsidP="003C5C9B">
      <w:pPr>
        <w:pStyle w:val="BulletList1"/>
      </w:pPr>
      <w:r w:rsidRPr="000C09E8">
        <w:t>Participant waiver enrollment managed against approved limits</w:t>
      </w:r>
    </w:p>
    <w:p w14:paraId="40F164C3" w14:textId="77777777" w:rsidR="00DC334F" w:rsidRPr="000C09E8" w:rsidRDefault="00DC334F" w:rsidP="003C5C9B">
      <w:pPr>
        <w:pStyle w:val="BulletList1"/>
      </w:pPr>
      <w:r w:rsidRPr="000C09E8">
        <w:t>Level of care evaluation</w:t>
      </w:r>
      <w:r w:rsidR="00993053">
        <w:t xml:space="preserve"> which includes</w:t>
      </w:r>
      <w:r w:rsidRPr="000C09E8">
        <w:t>:</w:t>
      </w:r>
    </w:p>
    <w:p w14:paraId="07B36E07" w14:textId="77777777" w:rsidR="00DC334F" w:rsidRPr="000C09E8" w:rsidRDefault="00DC334F" w:rsidP="003C5C9B">
      <w:pPr>
        <w:pStyle w:val="BulletList2"/>
      </w:pPr>
      <w:r>
        <w:t>S</w:t>
      </w:r>
      <w:r w:rsidRPr="000C09E8">
        <w:t>taff</w:t>
      </w:r>
      <w:r>
        <w:t xml:space="preserve"> qualifications</w:t>
      </w:r>
    </w:p>
    <w:p w14:paraId="0990A636" w14:textId="77777777" w:rsidR="00DC334F" w:rsidRPr="000C09E8" w:rsidRDefault="00DC334F" w:rsidP="003C5C9B">
      <w:pPr>
        <w:pStyle w:val="BulletList2"/>
      </w:pPr>
      <w:r w:rsidRPr="000C09E8">
        <w:t xml:space="preserve">Evidence </w:t>
      </w:r>
      <w:r>
        <w:t xml:space="preserve">that </w:t>
      </w:r>
      <w:r w:rsidRPr="000C09E8">
        <w:t>the ICF/I</w:t>
      </w:r>
      <w:r w:rsidR="0040080D">
        <w:t>I</w:t>
      </w:r>
      <w:r w:rsidRPr="000C09E8">
        <w:t xml:space="preserve">D Level of Care </w:t>
      </w:r>
      <w:r w:rsidR="00F275F1">
        <w:t>is</w:t>
      </w:r>
      <w:r w:rsidR="00993053" w:rsidRPr="000C09E8">
        <w:t xml:space="preserve"> </w:t>
      </w:r>
      <w:r w:rsidRPr="000C09E8">
        <w:t xml:space="preserve">completed </w:t>
      </w:r>
      <w:r>
        <w:t xml:space="preserve">in accordance with </w:t>
      </w:r>
      <w:r w:rsidRPr="000C09E8">
        <w:t>the procedures</w:t>
      </w:r>
    </w:p>
    <w:p w14:paraId="0D452AC8" w14:textId="77777777" w:rsidR="00DC334F" w:rsidRPr="000C09E8" w:rsidRDefault="00DC334F" w:rsidP="003C5C9B">
      <w:pPr>
        <w:pStyle w:val="BulletList2"/>
      </w:pPr>
      <w:r w:rsidRPr="000C09E8">
        <w:t>Evidence</w:t>
      </w:r>
      <w:r>
        <w:t xml:space="preserve"> that</w:t>
      </w:r>
      <w:r w:rsidRPr="000C09E8">
        <w:t xml:space="preserve"> individual</w:t>
      </w:r>
      <w:r w:rsidR="00A9757C">
        <w:t>s were</w:t>
      </w:r>
      <w:r w:rsidRPr="000C09E8">
        <w:t xml:space="preserve"> accurately found eligible or ineligible</w:t>
      </w:r>
    </w:p>
    <w:p w14:paraId="3186E0DF" w14:textId="77777777" w:rsidR="00DC334F" w:rsidRPr="000C09E8" w:rsidRDefault="00DC334F" w:rsidP="003C5C9B">
      <w:pPr>
        <w:pStyle w:val="BulletList2"/>
      </w:pPr>
      <w:r w:rsidRPr="000C09E8">
        <w:t>Evidence individuals were re-evaluated annually by qualified staff, who followed the process</w:t>
      </w:r>
    </w:p>
    <w:p w14:paraId="1E6D96EB" w14:textId="77777777" w:rsidR="00DC334F" w:rsidRPr="000C09E8" w:rsidRDefault="00DC334F" w:rsidP="003C5C9B">
      <w:pPr>
        <w:pStyle w:val="BulletList2"/>
      </w:pPr>
      <w:r w:rsidRPr="000C09E8">
        <w:t>Evidence determinations were accurate</w:t>
      </w:r>
    </w:p>
    <w:p w14:paraId="6D4368EB" w14:textId="77777777" w:rsidR="00DC334F" w:rsidRPr="000C09E8" w:rsidRDefault="00DC334F" w:rsidP="003C5C9B">
      <w:pPr>
        <w:pStyle w:val="BulletList1"/>
      </w:pPr>
      <w:bookmarkStart w:id="11" w:name="_Hlk178772432"/>
      <w:r w:rsidRPr="000C09E8">
        <w:t xml:space="preserve">Review of </w:t>
      </w:r>
      <w:r w:rsidR="0041197B">
        <w:t>PCSPs</w:t>
      </w:r>
    </w:p>
    <w:bookmarkEnd w:id="11"/>
    <w:p w14:paraId="4E1CFE60" w14:textId="77777777" w:rsidR="00DC334F" w:rsidRPr="000C09E8" w:rsidRDefault="00DC334F" w:rsidP="003C5C9B">
      <w:pPr>
        <w:pStyle w:val="BulletList1"/>
      </w:pPr>
      <w:r w:rsidRPr="000C09E8">
        <w:t>Verify proper signatures are in place for waiver documents as applicable</w:t>
      </w:r>
    </w:p>
    <w:p w14:paraId="49577E38" w14:textId="77777777" w:rsidR="00DC334F" w:rsidRPr="000C09E8" w:rsidRDefault="00DC334F" w:rsidP="003C5C9B">
      <w:pPr>
        <w:pStyle w:val="BulletList1"/>
      </w:pPr>
      <w:r w:rsidRPr="000C09E8">
        <w:t>Utilization management</w:t>
      </w:r>
      <w:r w:rsidR="00434C99">
        <w:t xml:space="preserve"> to include</w:t>
      </w:r>
      <w:r w:rsidRPr="000C09E8">
        <w:t>:</w:t>
      </w:r>
    </w:p>
    <w:p w14:paraId="3C91FFEA" w14:textId="77777777" w:rsidR="00DC334F" w:rsidRPr="00BA2A0D" w:rsidRDefault="0041197B" w:rsidP="003C5C9B">
      <w:pPr>
        <w:pStyle w:val="BulletList2"/>
      </w:pPr>
      <w:r w:rsidRPr="00BA2A0D">
        <w:t xml:space="preserve">PCSP </w:t>
      </w:r>
      <w:r w:rsidR="00DC334F" w:rsidRPr="00BA2A0D">
        <w:t>supports waiver services that are prior authorized</w:t>
      </w:r>
    </w:p>
    <w:p w14:paraId="4813781E" w14:textId="77777777" w:rsidR="00DC334F" w:rsidRPr="00BA2A0D" w:rsidRDefault="00DD378B" w:rsidP="003C5C9B">
      <w:pPr>
        <w:pStyle w:val="BulletList2"/>
      </w:pPr>
      <w:r w:rsidRPr="00BA2A0D">
        <w:lastRenderedPageBreak/>
        <w:t>SC</w:t>
      </w:r>
      <w:r w:rsidR="00DC334F" w:rsidRPr="00BA2A0D">
        <w:t xml:space="preserve"> case notes</w:t>
      </w:r>
      <w:r w:rsidR="00E527DE" w:rsidRPr="00BA2A0D">
        <w:t xml:space="preserve"> (also commonly referred to as log notes)</w:t>
      </w:r>
      <w:r w:rsidR="00DC334F" w:rsidRPr="00BA2A0D">
        <w:t xml:space="preserve"> indicate monitoring was conducted of individuals to prevent occurrences of abuse, neglect and exploitation using risk assessment and planning</w:t>
      </w:r>
      <w:r w:rsidR="00434C99" w:rsidRPr="00BA2A0D">
        <w:t xml:space="preserve">; refer to </w:t>
      </w:r>
      <w:hyperlink w:anchor="_Section_7:_" w:history="1">
        <w:r w:rsidR="00434C99" w:rsidRPr="00CF79CA">
          <w:rPr>
            <w:rStyle w:val="Hyperlink"/>
          </w:rPr>
          <w:t>Section 7</w:t>
        </w:r>
      </w:hyperlink>
      <w:r w:rsidR="00434C99" w:rsidRPr="00BA2A0D">
        <w:t xml:space="preserve"> in this manual for more information on case notes</w:t>
      </w:r>
    </w:p>
    <w:p w14:paraId="2DF3F503" w14:textId="77777777" w:rsidR="00DC334F" w:rsidRPr="000C09E8" w:rsidRDefault="00DC334F" w:rsidP="003C5C9B">
      <w:pPr>
        <w:pStyle w:val="BulletList2"/>
      </w:pPr>
      <w:r w:rsidRPr="00BA2A0D">
        <w:t xml:space="preserve">Service authorizations accurately reflect </w:t>
      </w:r>
      <w:r w:rsidR="0041197B">
        <w:t>PCSP</w:t>
      </w:r>
      <w:r w:rsidR="0041197B" w:rsidRPr="000C09E8">
        <w:t xml:space="preserve"> </w:t>
      </w:r>
      <w:r w:rsidRPr="000C09E8">
        <w:t>and budget plan</w:t>
      </w:r>
    </w:p>
    <w:p w14:paraId="030B2CF7" w14:textId="77777777" w:rsidR="00DC334F" w:rsidRPr="000C09E8" w:rsidRDefault="0041197B" w:rsidP="003C5C9B">
      <w:pPr>
        <w:pStyle w:val="BulletList2"/>
      </w:pPr>
      <w:r>
        <w:t>PCSPs</w:t>
      </w:r>
      <w:r w:rsidRPr="000C09E8">
        <w:t xml:space="preserve"> </w:t>
      </w:r>
      <w:r w:rsidR="00DC334F" w:rsidRPr="000C09E8">
        <w:t>are updated/reviewed at least annually, or when warranted by changes in the individual’s needs</w:t>
      </w:r>
    </w:p>
    <w:p w14:paraId="5EC8AE09" w14:textId="77777777" w:rsidR="00DC334F" w:rsidRPr="000C09E8" w:rsidRDefault="00DC334F" w:rsidP="003C5C9B">
      <w:pPr>
        <w:pStyle w:val="BulletList2"/>
      </w:pPr>
      <w:r w:rsidRPr="000C09E8">
        <w:t>Evidence that provider monthly reviews were done and documented in case notes</w:t>
      </w:r>
    </w:p>
    <w:p w14:paraId="53C972DA" w14:textId="77777777" w:rsidR="00DC334F" w:rsidRPr="000C09E8" w:rsidRDefault="00DC334F" w:rsidP="003C5C9B">
      <w:pPr>
        <w:pStyle w:val="BulletList2"/>
      </w:pPr>
      <w:r w:rsidRPr="000C09E8">
        <w:t>Evidence that quarterly reviews were prepared</w:t>
      </w:r>
    </w:p>
    <w:p w14:paraId="7247EF08" w14:textId="77777777" w:rsidR="00DC334F" w:rsidRPr="00BA2A0D" w:rsidRDefault="00DC334F" w:rsidP="003C5C9B">
      <w:pPr>
        <w:pStyle w:val="BulletList2"/>
      </w:pPr>
      <w:r w:rsidRPr="000C09E8">
        <w:t xml:space="preserve">Evidence services were delivered in accordance with </w:t>
      </w:r>
      <w:r w:rsidRPr="00BA2A0D">
        <w:t xml:space="preserve">the </w:t>
      </w:r>
      <w:r w:rsidR="0041197B" w:rsidRPr="00BA2A0D">
        <w:t>PCSP</w:t>
      </w:r>
      <w:r w:rsidR="008831AD" w:rsidRPr="00BA2A0D">
        <w:t>,</w:t>
      </w:r>
      <w:r w:rsidRPr="00BA2A0D">
        <w:t xml:space="preserve"> including the type, scope, amount, duration, and frequency as specified in the </w:t>
      </w:r>
      <w:r w:rsidR="0041197B" w:rsidRPr="000A0904">
        <w:t>PCSP</w:t>
      </w:r>
    </w:p>
    <w:p w14:paraId="4CA9FDF1" w14:textId="77777777" w:rsidR="00DC334F" w:rsidRPr="000C09E8" w:rsidRDefault="00DC334F" w:rsidP="003C5C9B">
      <w:pPr>
        <w:pStyle w:val="BulletList1"/>
      </w:pPr>
      <w:r w:rsidRPr="000C09E8">
        <w:t>Quality assurance and quality improvement activities</w:t>
      </w:r>
    </w:p>
    <w:p w14:paraId="307FE017" w14:textId="77777777" w:rsidR="00DC334F" w:rsidRPr="00063DA8" w:rsidRDefault="00916705" w:rsidP="000A0904">
      <w:pPr>
        <w:pStyle w:val="Heading3"/>
      </w:pPr>
      <w:bookmarkStart w:id="12" w:name="_Toc521916537"/>
      <w:bookmarkStart w:id="13" w:name="_Toc226444430"/>
      <w:r w:rsidRPr="00063DA8">
        <w:t xml:space="preserve">2.3 </w:t>
      </w:r>
      <w:r w:rsidR="00DC334F" w:rsidRPr="00063DA8">
        <w:t>Training</w:t>
      </w:r>
      <w:bookmarkEnd w:id="12"/>
      <w:bookmarkEnd w:id="13"/>
    </w:p>
    <w:p w14:paraId="34C4AE85" w14:textId="77777777" w:rsidR="00DC334F" w:rsidRPr="002E7038" w:rsidRDefault="00DC334F" w:rsidP="00E17248">
      <w:r w:rsidRPr="002E7038">
        <w:t>The Division of DD</w:t>
      </w:r>
      <w:r>
        <w:t xml:space="preserve"> </w:t>
      </w:r>
      <w:r w:rsidRPr="002E7038">
        <w:t>offer</w:t>
      </w:r>
      <w:r>
        <w:t>s</w:t>
      </w:r>
      <w:r w:rsidRPr="002E7038">
        <w:t xml:space="preserve"> training to all contracted TCM providers when entities initially begin providing</w:t>
      </w:r>
      <w:r>
        <w:t xml:space="preserve"> TCM</w:t>
      </w:r>
      <w:r w:rsidRPr="002E7038">
        <w:t xml:space="preserve">. Additional training </w:t>
      </w:r>
      <w:r>
        <w:t xml:space="preserve">is </w:t>
      </w:r>
      <w:r w:rsidRPr="002E7038">
        <w:t xml:space="preserve">provided to all TCM providers when the Division of DD TCM policies and procedures change, and on an as-needed basis. All TCM providers are responsible for ensuring their staff are provided sufficient training on applicable CMS assurances, </w:t>
      </w:r>
      <w:r>
        <w:t>f</w:t>
      </w:r>
      <w:r w:rsidRPr="002E7038">
        <w:t xml:space="preserve">ederal and </w:t>
      </w:r>
      <w:r>
        <w:t>s</w:t>
      </w:r>
      <w:r w:rsidRPr="002E7038">
        <w:t>tate statutes</w:t>
      </w:r>
      <w:r w:rsidR="007D7431">
        <w:t>,</w:t>
      </w:r>
      <w:r w:rsidRPr="002E7038">
        <w:t xml:space="preserve"> and </w:t>
      </w:r>
      <w:r w:rsidR="007D7431">
        <w:t>Code of State Regulations (</w:t>
      </w:r>
      <w:r w:rsidRPr="002E7038">
        <w:t>CSRs</w:t>
      </w:r>
      <w:r w:rsidR="007D7431">
        <w:t>)</w:t>
      </w:r>
      <w:r w:rsidRPr="002E7038">
        <w:t>.</w:t>
      </w:r>
    </w:p>
    <w:p w14:paraId="7867E7D3" w14:textId="77777777" w:rsidR="00364A74" w:rsidRPr="00063DA8" w:rsidRDefault="00364A74" w:rsidP="000A0904">
      <w:pPr>
        <w:pStyle w:val="Heading2"/>
      </w:pPr>
      <w:bookmarkStart w:id="14" w:name="_Section_3:_"/>
      <w:bookmarkStart w:id="15" w:name="_Toc521916540"/>
      <w:bookmarkStart w:id="16" w:name="_Toc226444431"/>
      <w:bookmarkEnd w:id="14"/>
      <w:r w:rsidRPr="00063DA8">
        <w:t>Section 3</w:t>
      </w:r>
      <w:r w:rsidR="00703DFB" w:rsidRPr="00063DA8">
        <w:t xml:space="preserve">:  </w:t>
      </w:r>
      <w:r w:rsidRPr="00063DA8">
        <w:t>Billable Services</w:t>
      </w:r>
      <w:bookmarkEnd w:id="15"/>
      <w:bookmarkEnd w:id="16"/>
    </w:p>
    <w:p w14:paraId="45357CBE" w14:textId="77777777" w:rsidR="00364A74" w:rsidRPr="00255F0D" w:rsidRDefault="00364A74" w:rsidP="00E17248">
      <w:r w:rsidRPr="00255F0D">
        <w:t xml:space="preserve">The following service activities of </w:t>
      </w:r>
      <w:r w:rsidR="007D7431">
        <w:t>Targeted Case Management (</w:t>
      </w:r>
      <w:r w:rsidRPr="00255F0D">
        <w:t>TCM</w:t>
      </w:r>
      <w:r w:rsidR="007D7431">
        <w:t>)</w:t>
      </w:r>
      <w:r w:rsidRPr="00255F0D">
        <w:t xml:space="preserve"> are billable components when provided on behalf of an individual and documented as relating to their </w:t>
      </w:r>
      <w:r w:rsidR="007F7F06">
        <w:t>(Person-Centered Service Plan (</w:t>
      </w:r>
      <w:r w:rsidR="00570E63">
        <w:t>PCSP</w:t>
      </w:r>
      <w:r w:rsidR="007F7F06">
        <w:t>)</w:t>
      </w:r>
      <w:r w:rsidRPr="00255F0D">
        <w:t>.</w:t>
      </w:r>
    </w:p>
    <w:p w14:paraId="2FFF5EDD" w14:textId="77777777" w:rsidR="00364A74" w:rsidRPr="00EB4A39" w:rsidRDefault="00A10E5E" w:rsidP="000A0904">
      <w:pPr>
        <w:pStyle w:val="Heading3"/>
      </w:pPr>
      <w:bookmarkStart w:id="17" w:name="_Toc521916541"/>
      <w:bookmarkStart w:id="18" w:name="_Toc226444432"/>
      <w:r w:rsidRPr="00EB4A39">
        <w:t xml:space="preserve">3.1 </w:t>
      </w:r>
      <w:r w:rsidR="00364A74" w:rsidRPr="00EB4A39">
        <w:t>D</w:t>
      </w:r>
      <w:r w:rsidR="00C150FE" w:rsidRPr="00EB4A39">
        <w:t xml:space="preserve">evelopmental </w:t>
      </w:r>
      <w:r w:rsidR="00364A74" w:rsidRPr="00EB4A39">
        <w:t>D</w:t>
      </w:r>
      <w:r w:rsidR="00C150FE" w:rsidRPr="00EB4A39">
        <w:t>isabilities</w:t>
      </w:r>
      <w:r w:rsidR="00364A74" w:rsidRPr="00EB4A39">
        <w:t xml:space="preserve"> Case Management Services</w:t>
      </w:r>
      <w:bookmarkEnd w:id="17"/>
      <w:bookmarkEnd w:id="18"/>
    </w:p>
    <w:p w14:paraId="72E715F4" w14:textId="77777777" w:rsidR="00364A74" w:rsidRPr="00255F0D" w:rsidRDefault="007E31B3" w:rsidP="00E17248">
      <w:r>
        <w:t xml:space="preserve">The </w:t>
      </w:r>
      <w:r w:rsidR="00364A74" w:rsidRPr="00255F0D">
        <w:t xml:space="preserve">State </w:t>
      </w:r>
      <w:r>
        <w:t>P</w:t>
      </w:r>
      <w:r w:rsidRPr="00255F0D">
        <w:t xml:space="preserve">lan </w:t>
      </w:r>
      <w:r w:rsidR="00364A74" w:rsidRPr="00255F0D">
        <w:t xml:space="preserve">provides the following definition </w:t>
      </w:r>
      <w:r w:rsidR="00DE3D70">
        <w:t>of services</w:t>
      </w:r>
      <w:r w:rsidR="006F1805">
        <w:t xml:space="preserve"> for case management activities</w:t>
      </w:r>
      <w:r w:rsidR="00DE3D70">
        <w:t>:</w:t>
      </w:r>
    </w:p>
    <w:p w14:paraId="26423165" w14:textId="77777777" w:rsidR="00364A74" w:rsidRPr="004E0570" w:rsidRDefault="00364A74" w:rsidP="000A0904">
      <w:pPr>
        <w:pStyle w:val="Heading4"/>
      </w:pPr>
      <w:bookmarkStart w:id="19" w:name="_Toc521916542"/>
      <w:bookmarkStart w:id="20" w:name="_Toc226444433"/>
      <w:r w:rsidRPr="004E0570">
        <w:t>Assessment</w:t>
      </w:r>
      <w:bookmarkEnd w:id="19"/>
      <w:bookmarkEnd w:id="20"/>
    </w:p>
    <w:p w14:paraId="546DBDFE" w14:textId="77777777" w:rsidR="00364A74" w:rsidRDefault="00364A74" w:rsidP="00E17248">
      <w:r w:rsidRPr="00255F0D">
        <w:t xml:space="preserve">Assessment </w:t>
      </w:r>
      <w:r w:rsidR="00AE729C">
        <w:t>describes</w:t>
      </w:r>
      <w:r w:rsidRPr="00255F0D">
        <w:t xml:space="preserve"> the individual’s need for medical, social, educational</w:t>
      </w:r>
      <w:r w:rsidR="007D7431">
        <w:t>,</w:t>
      </w:r>
      <w:r w:rsidRPr="00255F0D">
        <w:t xml:space="preserve"> and other services</w:t>
      </w:r>
      <w:r w:rsidR="00AE729C">
        <w:t xml:space="preserve"> and includes the below.</w:t>
      </w:r>
    </w:p>
    <w:p w14:paraId="111E8BFF" w14:textId="77777777" w:rsidR="00AE729C" w:rsidRPr="00255F0D" w:rsidRDefault="00AE729C" w:rsidP="003C5C9B">
      <w:pPr>
        <w:pStyle w:val="BulletList1"/>
      </w:pPr>
      <w:bookmarkStart w:id="21" w:name="_Hlk182222211"/>
      <w:r w:rsidRPr="00255F0D">
        <w:t xml:space="preserve">Initially determining and documenting an individual’s need for individualized, specialized services for a developmental disability, including case management. </w:t>
      </w:r>
      <w:r>
        <w:t>I</w:t>
      </w:r>
      <w:r w:rsidRPr="00255F0D">
        <w:t>nforming and otherwise assisting the individuals or others responsible during the assessment process.</w:t>
      </w:r>
    </w:p>
    <w:bookmarkEnd w:id="21"/>
    <w:p w14:paraId="5BED7D7E" w14:textId="77777777" w:rsidR="00AE729C" w:rsidRPr="00255F0D" w:rsidRDefault="00AE729C" w:rsidP="003C5C9B">
      <w:pPr>
        <w:pStyle w:val="BulletList1"/>
      </w:pPr>
      <w:r w:rsidRPr="00255F0D">
        <w:lastRenderedPageBreak/>
        <w:t>Obtaining necessary releases, collecting records, preparing ecological and behavioral assessments, arranging other assessments as needed, and coordinating the overall assessment process to identify the comprehensive array of services and supports needed.</w:t>
      </w:r>
    </w:p>
    <w:p w14:paraId="40F42C08" w14:textId="77777777" w:rsidR="00AE729C" w:rsidRPr="00255F0D" w:rsidRDefault="00AE729C" w:rsidP="003C5C9B">
      <w:pPr>
        <w:pStyle w:val="BulletList1"/>
      </w:pPr>
      <w:r w:rsidRPr="00BA2A0D">
        <w:t xml:space="preserve">Facilitating </w:t>
      </w:r>
      <w:r w:rsidR="00570E63" w:rsidRPr="00BA2A0D">
        <w:t xml:space="preserve">PCSP </w:t>
      </w:r>
      <w:r w:rsidRPr="00BA2A0D">
        <w:t xml:space="preserve">development and on-going review as a member of the </w:t>
      </w:r>
      <w:r w:rsidR="00E34C9A" w:rsidRPr="00BA2A0D">
        <w:t>planning</w:t>
      </w:r>
      <w:r w:rsidRPr="00BA2A0D">
        <w:t xml:space="preserve"> team. Interpreting the comprehensive assessment and </w:t>
      </w:r>
      <w:r w:rsidR="00570E63">
        <w:t>PCSP</w:t>
      </w:r>
      <w:r w:rsidR="00570E63" w:rsidRPr="00255F0D">
        <w:t xml:space="preserve"> </w:t>
      </w:r>
      <w:r w:rsidRPr="00255F0D">
        <w:t>outcomes to the individual and/or responsible others.</w:t>
      </w:r>
    </w:p>
    <w:p w14:paraId="7249FFE7" w14:textId="77777777" w:rsidR="00AE729C" w:rsidRPr="00255F0D" w:rsidRDefault="00E34C9A" w:rsidP="003C5C9B">
      <w:pPr>
        <w:pStyle w:val="BulletList1"/>
      </w:pPr>
      <w:r>
        <w:t>Scheduling</w:t>
      </w:r>
      <w:r w:rsidR="00B81973">
        <w:t xml:space="preserve"> r</w:t>
      </w:r>
      <w:r w:rsidR="00AE729C" w:rsidRPr="00255F0D">
        <w:t xml:space="preserve">e-assessments </w:t>
      </w:r>
      <w:r w:rsidR="00AE729C">
        <w:t xml:space="preserve">at least </w:t>
      </w:r>
      <w:r w:rsidR="00AE729C" w:rsidRPr="00255F0D">
        <w:t xml:space="preserve">annually, </w:t>
      </w:r>
      <w:r w:rsidR="00AE729C">
        <w:t xml:space="preserve">and </w:t>
      </w:r>
      <w:r w:rsidR="00AE729C" w:rsidRPr="00255F0D">
        <w:t>more frequently as the individual’s needs change.</w:t>
      </w:r>
    </w:p>
    <w:p w14:paraId="1BEB2852" w14:textId="77777777" w:rsidR="00AE729C" w:rsidRPr="00C664EC" w:rsidRDefault="00AE729C" w:rsidP="000A0904">
      <w:pPr>
        <w:pStyle w:val="Heading4"/>
      </w:pPr>
      <w:bookmarkStart w:id="22" w:name="_Toc226444434"/>
      <w:r w:rsidRPr="00C664EC">
        <w:t>Health Risk Screening Tool</w:t>
      </w:r>
      <w:bookmarkEnd w:id="22"/>
    </w:p>
    <w:p w14:paraId="27769EBE" w14:textId="77777777" w:rsidR="00AE729C" w:rsidRPr="00C664EC" w:rsidRDefault="00B81973" w:rsidP="000A0904">
      <w:pPr>
        <w:pStyle w:val="Heading5"/>
      </w:pPr>
      <w:r w:rsidRPr="00C664EC">
        <w:t xml:space="preserve">Waiver </w:t>
      </w:r>
      <w:r w:rsidR="00AE729C" w:rsidRPr="00C664EC">
        <w:t xml:space="preserve">Individuals </w:t>
      </w:r>
      <w:r w:rsidR="00E34C9A" w:rsidRPr="00C664EC">
        <w:t>Only</w:t>
      </w:r>
    </w:p>
    <w:p w14:paraId="0CB4A768" w14:textId="77777777" w:rsidR="00AE729C" w:rsidRDefault="004D5726" w:rsidP="00E17248">
      <w:bookmarkStart w:id="23" w:name="_Hlk183181331"/>
      <w:r w:rsidRPr="00B81973">
        <w:t xml:space="preserve">The </w:t>
      </w:r>
      <w:r w:rsidR="00AE729C" w:rsidRPr="00B81973">
        <w:t>Health Risk Screening Tool (</w:t>
      </w:r>
      <w:r w:rsidRPr="00B81973">
        <w:t>HRST</w:t>
      </w:r>
      <w:r w:rsidR="00AE729C" w:rsidRPr="00B81973">
        <w:t>)</w:t>
      </w:r>
      <w:r w:rsidRPr="00B81973">
        <w:t xml:space="preserve"> </w:t>
      </w:r>
      <w:bookmarkEnd w:id="23"/>
      <w:r w:rsidRPr="00B81973">
        <w:t xml:space="preserve">process must be conducted as a component of the annual </w:t>
      </w:r>
      <w:r w:rsidR="000B7545">
        <w:t xml:space="preserve">PCSP </w:t>
      </w:r>
      <w:r w:rsidRPr="00B81973">
        <w:t>process for waiver individuals</w:t>
      </w:r>
      <w:r w:rsidR="00AE729C" w:rsidRPr="00B81973">
        <w:t xml:space="preserve">. The HRST may be updated throughout the </w:t>
      </w:r>
      <w:r w:rsidR="000B7545">
        <w:t>PCSP</w:t>
      </w:r>
      <w:r w:rsidR="000B7545" w:rsidRPr="00B81973">
        <w:t xml:space="preserve"> </w:t>
      </w:r>
      <w:r w:rsidR="00AE729C" w:rsidRPr="00B81973">
        <w:t xml:space="preserve">year when changes in the individual’s status are identified. The HRST will assist with the identification of additional supports and services and the development of any applicable Health Risk Support Plans (HRSP) as a component of the </w:t>
      </w:r>
      <w:r w:rsidR="000B7545">
        <w:t>PCSP</w:t>
      </w:r>
      <w:r w:rsidR="00AE729C" w:rsidRPr="00B81973">
        <w:t>.</w:t>
      </w:r>
    </w:p>
    <w:p w14:paraId="09870618" w14:textId="77777777" w:rsidR="00397F56" w:rsidRPr="00196D18" w:rsidRDefault="00022174" w:rsidP="00E17248">
      <w:r w:rsidRPr="00196D18">
        <w:t>For individuals receiving non-residential waiver supports and services, the designated rater must meet support coordinator</w:t>
      </w:r>
      <w:r w:rsidR="003677D7">
        <w:t xml:space="preserve"> (SC)</w:t>
      </w:r>
      <w:r w:rsidRPr="00196D18">
        <w:t xml:space="preserve"> qualifications. Once the HRST is identified to be in fully rated status, the designated rater will be responsible for the entry and completion of any identified HRSPs </w:t>
      </w:r>
      <w:proofErr w:type="gramStart"/>
      <w:r w:rsidRPr="00196D18">
        <w:t>as a result of</w:t>
      </w:r>
      <w:proofErr w:type="gramEnd"/>
      <w:r w:rsidRPr="00196D18">
        <w:t xml:space="preserve"> the HRST rating findings</w:t>
      </w:r>
      <w:r w:rsidR="00397F56" w:rsidRPr="00196D18">
        <w:t>.</w:t>
      </w:r>
      <w:r w:rsidR="008036BA" w:rsidRPr="00196D18">
        <w:t xml:space="preserve"> </w:t>
      </w:r>
    </w:p>
    <w:p w14:paraId="1C017ADF" w14:textId="77777777" w:rsidR="00AE729C" w:rsidRPr="00B81973" w:rsidRDefault="00022174" w:rsidP="00E17248">
      <w:r w:rsidRPr="00196D18">
        <w:t xml:space="preserve">For individuals receiving residential waiver supports and services, the designated rater is the Registered Nurse (RN) providing Monthly Residential RN Oversight. The </w:t>
      </w:r>
      <w:r w:rsidR="003677D7">
        <w:t>SC</w:t>
      </w:r>
      <w:r w:rsidRPr="00196D18">
        <w:t xml:space="preserve"> will review the completed HRST and identified HRSP(s), provide their electronic signature, and ensure that the HRSP(s) are attached to the current </w:t>
      </w:r>
      <w:r w:rsidR="000B7545">
        <w:t>PCSP</w:t>
      </w:r>
      <w:r w:rsidR="000B7545" w:rsidRPr="00196D18">
        <w:t xml:space="preserve"> </w:t>
      </w:r>
      <w:r w:rsidRPr="00196D18">
        <w:t xml:space="preserve">for inclusion as information for the Healthy Living section of the </w:t>
      </w:r>
      <w:r w:rsidR="000B7545">
        <w:t>PCSP</w:t>
      </w:r>
      <w:r w:rsidRPr="00196D18">
        <w:t xml:space="preserve">.  The </w:t>
      </w:r>
      <w:r w:rsidR="003677D7">
        <w:t>SC</w:t>
      </w:r>
      <w:r w:rsidRPr="00196D18">
        <w:t xml:space="preserve"> will follow-up on any identified area of service coordination based upon the completed HRSP(s) and note in their monthly documentation.  This process may include the need for services through state plan or waiver. The </w:t>
      </w:r>
      <w:r w:rsidR="003677D7">
        <w:t>SC</w:t>
      </w:r>
      <w:r w:rsidRPr="00196D18">
        <w:t xml:space="preserve"> may assist the individual in accessing appropriate services, if identified as a component of support coordination. The assigned </w:t>
      </w:r>
      <w:r w:rsidR="003677D7">
        <w:t>SC</w:t>
      </w:r>
      <w:r w:rsidRPr="00196D18">
        <w:t xml:space="preserve"> will review monthly RN Oversight documentation in the electronic HRST Monthly Oversight Nursing Documentation module and attest to their review in the system. The </w:t>
      </w:r>
      <w:r w:rsidR="003677D7">
        <w:t>SC</w:t>
      </w:r>
      <w:r w:rsidRPr="00196D18">
        <w:t xml:space="preserve"> will follow-up on any identified area of service coordination based upon the nursing documentation. Lack of monthly RN Oversight Nursing documentation will be noted in service monitoring notes and followed up per support monitoring protocol.</w:t>
      </w:r>
    </w:p>
    <w:p w14:paraId="7FD380AB" w14:textId="77777777" w:rsidR="00AE729C" w:rsidRPr="00063DA8" w:rsidRDefault="00B81973" w:rsidP="000A0904">
      <w:pPr>
        <w:pStyle w:val="Heading5"/>
      </w:pPr>
      <w:r w:rsidRPr="00063DA8">
        <w:t>Non-Waiver Individuals</w:t>
      </w:r>
      <w:r w:rsidR="00397F56" w:rsidRPr="00063DA8">
        <w:t xml:space="preserve"> Only</w:t>
      </w:r>
    </w:p>
    <w:p w14:paraId="6FFC2125" w14:textId="77777777" w:rsidR="00257418" w:rsidRPr="00B10347" w:rsidRDefault="00B81973" w:rsidP="00E17248">
      <w:r>
        <w:t xml:space="preserve">The HRST </w:t>
      </w:r>
      <w:r w:rsidR="004D5726" w:rsidRPr="00B10347">
        <w:t xml:space="preserve">may be completed for non-waiver individuals and may be updated throughout the </w:t>
      </w:r>
      <w:r w:rsidR="00B45B95">
        <w:t>PCSP</w:t>
      </w:r>
      <w:r w:rsidR="00B45B95" w:rsidRPr="00B10347">
        <w:t xml:space="preserve"> </w:t>
      </w:r>
      <w:r w:rsidR="004D5726" w:rsidRPr="00B10347">
        <w:t xml:space="preserve">year when changes in the individual’s status are identified. The HRST will assist with the identification </w:t>
      </w:r>
      <w:r w:rsidR="004D5726" w:rsidRPr="00B10347">
        <w:lastRenderedPageBreak/>
        <w:t>of additional supports and services and the development of any applicable</w:t>
      </w:r>
      <w:r>
        <w:t xml:space="preserve"> </w:t>
      </w:r>
      <w:r w:rsidR="00FE02DD" w:rsidRPr="00B10347">
        <w:t xml:space="preserve">HRSP </w:t>
      </w:r>
      <w:r w:rsidR="004D5726" w:rsidRPr="00B10347">
        <w:t xml:space="preserve">as a component of the </w:t>
      </w:r>
      <w:r w:rsidR="00B45B95">
        <w:t>PCSP</w:t>
      </w:r>
      <w:r w:rsidR="004D5726" w:rsidRPr="00B10347">
        <w:t>.</w:t>
      </w:r>
    </w:p>
    <w:p w14:paraId="3690808D" w14:textId="77777777" w:rsidR="00364A74" w:rsidRPr="00C664EC" w:rsidRDefault="00364A74" w:rsidP="000A0904">
      <w:pPr>
        <w:pStyle w:val="Heading4"/>
      </w:pPr>
      <w:bookmarkStart w:id="24" w:name="_Toc521916543"/>
      <w:bookmarkStart w:id="25" w:name="_Toc226444435"/>
      <w:r w:rsidRPr="00C664EC">
        <w:t>Planning for Services</w:t>
      </w:r>
      <w:bookmarkEnd w:id="24"/>
      <w:bookmarkEnd w:id="25"/>
    </w:p>
    <w:p w14:paraId="60A081A7" w14:textId="77777777" w:rsidR="006840DB" w:rsidRDefault="00B81973" w:rsidP="00E17248">
      <w:r>
        <w:t>Planning for Services includes</w:t>
      </w:r>
      <w:r w:rsidR="00364A74" w:rsidRPr="00255F0D">
        <w:t xml:space="preserve"> developing and writing </w:t>
      </w:r>
      <w:r w:rsidR="00364A74" w:rsidRPr="00BA2A0D">
        <w:t xml:space="preserve">an </w:t>
      </w:r>
      <w:r w:rsidR="00570E63" w:rsidRPr="00BA2A0D">
        <w:t xml:space="preserve">PCSP </w:t>
      </w:r>
      <w:r w:rsidR="00364A74" w:rsidRPr="00BA2A0D">
        <w:t xml:space="preserve">which will enable the prioritized outcomes of the </w:t>
      </w:r>
      <w:r w:rsidR="00570E63" w:rsidRPr="000A0904">
        <w:t>PCSP</w:t>
      </w:r>
      <w:r w:rsidR="00570E63" w:rsidRPr="00BA2A0D">
        <w:t xml:space="preserve"> </w:t>
      </w:r>
      <w:r w:rsidR="00364A74" w:rsidRPr="00BA2A0D">
        <w:t>to be attained.</w:t>
      </w:r>
      <w:r w:rsidRPr="00BA2A0D">
        <w:t xml:space="preserve"> This includes</w:t>
      </w:r>
      <w:r>
        <w:t xml:space="preserve"> the below</w:t>
      </w:r>
      <w:r w:rsidR="006840DB">
        <w:t xml:space="preserve"> requirements</w:t>
      </w:r>
      <w:r>
        <w:t xml:space="preserve">. </w:t>
      </w:r>
    </w:p>
    <w:p w14:paraId="089ADB1B" w14:textId="77777777" w:rsidR="00364A74" w:rsidRPr="00BA2A0D" w:rsidRDefault="00364A74" w:rsidP="003C5C9B">
      <w:pPr>
        <w:pStyle w:val="BulletList1"/>
      </w:pPr>
      <w:r w:rsidRPr="00255F0D">
        <w:t xml:space="preserve">At a minimum, annually reviewing the </w:t>
      </w:r>
      <w:r w:rsidR="00570E63" w:rsidRPr="00BA2A0D">
        <w:t xml:space="preserve">PCSP </w:t>
      </w:r>
      <w:r w:rsidRPr="00BA2A0D">
        <w:t>to ensure it continues to be appropriate to the needs of the individual and effective in achieving the prioritized outcomes.</w:t>
      </w:r>
    </w:p>
    <w:p w14:paraId="37D462D1" w14:textId="77777777" w:rsidR="00364A74" w:rsidRPr="00BA2A0D" w:rsidRDefault="00364A74" w:rsidP="003C5C9B">
      <w:pPr>
        <w:pStyle w:val="BulletList1"/>
      </w:pPr>
      <w:r w:rsidRPr="00BA2A0D">
        <w:t xml:space="preserve">When needed, as indicated by the individual’s response to the prioritized outcomes, re-designing the </w:t>
      </w:r>
      <w:r w:rsidR="00570E63" w:rsidRPr="00BA2A0D">
        <w:t xml:space="preserve">PCSP </w:t>
      </w:r>
      <w:r w:rsidRPr="00BA2A0D">
        <w:t>to further promote individualized training and growth or to incorporate new outcomes.</w:t>
      </w:r>
    </w:p>
    <w:p w14:paraId="69DFB4C1" w14:textId="77777777" w:rsidR="00364A74" w:rsidRPr="003D5E43" w:rsidRDefault="00364A74" w:rsidP="003C5C9B">
      <w:pPr>
        <w:pStyle w:val="BulletList1"/>
      </w:pPr>
      <w:r w:rsidRPr="00BA2A0D">
        <w:t xml:space="preserve">Development (and periodic revision) of an individual’s </w:t>
      </w:r>
      <w:r w:rsidR="00570E63" w:rsidRPr="00BA2A0D">
        <w:t>PCSP</w:t>
      </w:r>
      <w:r w:rsidRPr="00255F0D">
        <w:t xml:space="preserve">, based on the information collected through assessment, also includes activities </w:t>
      </w:r>
      <w:r>
        <w:t xml:space="preserve">such </w:t>
      </w:r>
      <w:r w:rsidRPr="003D5E43">
        <w:t>as:</w:t>
      </w:r>
    </w:p>
    <w:p w14:paraId="46263F3B" w14:textId="77777777" w:rsidR="00364A74" w:rsidRPr="003D5E43" w:rsidRDefault="00364A74" w:rsidP="003C5C9B">
      <w:pPr>
        <w:pStyle w:val="BulletList2"/>
      </w:pPr>
      <w:r w:rsidRPr="003D5E43">
        <w:t>Specifying the goals and actions to address the medical, social, educational, and other services needed by the eligible individual.</w:t>
      </w:r>
    </w:p>
    <w:p w14:paraId="4454A295" w14:textId="77777777" w:rsidR="00364A74" w:rsidRPr="003D5E43" w:rsidRDefault="00364A74" w:rsidP="003C5C9B">
      <w:pPr>
        <w:pStyle w:val="BulletList2"/>
      </w:pPr>
      <w:r w:rsidRPr="003D5E43">
        <w:t xml:space="preserve">Ensuring active participation of the eligible individual, and working with the individual, and/or the individual’s authorized health care decision maker, and others associated with </w:t>
      </w:r>
      <w:r w:rsidR="006840DB">
        <w:t>their</w:t>
      </w:r>
      <w:r w:rsidRPr="003D5E43">
        <w:t xml:space="preserve"> support team to develop those goals and actions.</w:t>
      </w:r>
    </w:p>
    <w:p w14:paraId="7DEE1A66" w14:textId="77777777" w:rsidR="00364A74" w:rsidRPr="003D5E43" w:rsidRDefault="00364A74" w:rsidP="003C5C9B">
      <w:pPr>
        <w:pStyle w:val="BulletList2"/>
      </w:pPr>
      <w:r w:rsidRPr="003D5E43">
        <w:t>Identifying a course of action to respond to the assessed needs of the eligible individual.</w:t>
      </w:r>
    </w:p>
    <w:p w14:paraId="3277A6F4" w14:textId="77777777" w:rsidR="00364A74" w:rsidRPr="00C664EC" w:rsidRDefault="00364A74" w:rsidP="000A0904">
      <w:pPr>
        <w:pStyle w:val="Heading4"/>
      </w:pPr>
      <w:bookmarkStart w:id="26" w:name="_Toc521916544"/>
      <w:bookmarkStart w:id="27" w:name="_Toc226444436"/>
      <w:r w:rsidRPr="00C664EC">
        <w:t>Case Coordination</w:t>
      </w:r>
      <w:bookmarkEnd w:id="26"/>
      <w:bookmarkEnd w:id="27"/>
    </w:p>
    <w:p w14:paraId="334CA7B2" w14:textId="77777777" w:rsidR="00364A74" w:rsidRPr="00BA2A0D" w:rsidRDefault="006840DB" w:rsidP="00E17248">
      <w:r>
        <w:t>Case Coordination includes l</w:t>
      </w:r>
      <w:r w:rsidR="00364A74" w:rsidRPr="00255F0D">
        <w:t xml:space="preserve">ocating appropriate service providers and community resources to provide the services specified in </w:t>
      </w:r>
      <w:r w:rsidR="00364A74" w:rsidRPr="00BA2A0D">
        <w:t xml:space="preserve">the </w:t>
      </w:r>
      <w:r w:rsidR="00570E63" w:rsidRPr="00BA2A0D">
        <w:t>PCSP</w:t>
      </w:r>
      <w:r w:rsidR="00364A74" w:rsidRPr="00BA2A0D">
        <w:t>, and coordinating these services with other staff, collateral agencies and providers identified.</w:t>
      </w:r>
      <w:r w:rsidRPr="00BA2A0D">
        <w:t xml:space="preserve"> This also includes the below. </w:t>
      </w:r>
    </w:p>
    <w:p w14:paraId="1ECA3554" w14:textId="77777777" w:rsidR="00364A74" w:rsidRPr="00BA2A0D" w:rsidRDefault="00364A74" w:rsidP="003C5C9B">
      <w:pPr>
        <w:pStyle w:val="BulletList1"/>
      </w:pPr>
      <w:r w:rsidRPr="00BA2A0D">
        <w:t>Meeting with the individual and persons chosen by the individual on an on-going basis to plan, promote, assist</w:t>
      </w:r>
      <w:r w:rsidR="006840DB" w:rsidRPr="00BA2A0D">
        <w:t>,</w:t>
      </w:r>
      <w:r w:rsidRPr="00BA2A0D">
        <w:t xml:space="preserve"> and assure the implementation of the </w:t>
      </w:r>
      <w:r w:rsidR="00570E63" w:rsidRPr="00BA2A0D">
        <w:t xml:space="preserve">PCSP </w:t>
      </w:r>
      <w:r w:rsidRPr="00BA2A0D">
        <w:t xml:space="preserve">and to guide and encourage their participation in strategies to address the prioritized outcomes identified in the </w:t>
      </w:r>
      <w:r w:rsidR="00570E63" w:rsidRPr="00BA2A0D">
        <w:t>PCSP</w:t>
      </w:r>
      <w:r w:rsidRPr="00BA2A0D">
        <w:t>.</w:t>
      </w:r>
    </w:p>
    <w:p w14:paraId="4E6C8CF0" w14:textId="77777777" w:rsidR="00364A74" w:rsidRPr="00255F0D" w:rsidRDefault="00364A74" w:rsidP="003C5C9B">
      <w:pPr>
        <w:pStyle w:val="BulletList1"/>
      </w:pPr>
      <w:r w:rsidRPr="00BA2A0D">
        <w:t xml:space="preserve">Directly assist the person to access the services in the </w:t>
      </w:r>
      <w:r w:rsidR="00570E63" w:rsidRPr="00BA2A0D">
        <w:t>PCSP</w:t>
      </w:r>
      <w:r w:rsidRPr="00255F0D">
        <w:t>, as well as any other services and resources needed to address habilitation outcomes, including crisis services.  Such assistance includes advocating on the individual’s behalf and being present with the individual at services and resources when advocacy or other guidance is necessary to assure the individual’s access to and utilization of those services and resources.</w:t>
      </w:r>
    </w:p>
    <w:p w14:paraId="3567C095" w14:textId="77777777" w:rsidR="00364A74" w:rsidRPr="00255F0D" w:rsidRDefault="00364A74" w:rsidP="003C5C9B">
      <w:pPr>
        <w:pStyle w:val="BulletList1"/>
      </w:pPr>
      <w:r w:rsidRPr="00255F0D">
        <w:t>Case coordination does not include transporting the individual for any reason.</w:t>
      </w:r>
    </w:p>
    <w:p w14:paraId="6853F575" w14:textId="77777777" w:rsidR="00364A74" w:rsidRPr="00567482" w:rsidRDefault="00364A74" w:rsidP="000A0904">
      <w:pPr>
        <w:pStyle w:val="Heading4"/>
      </w:pPr>
      <w:bookmarkStart w:id="28" w:name="_Toc521916545"/>
      <w:bookmarkStart w:id="29" w:name="_Toc226444437"/>
      <w:r w:rsidRPr="00567482">
        <w:lastRenderedPageBreak/>
        <w:t>Support Monitoring</w:t>
      </w:r>
      <w:bookmarkEnd w:id="28"/>
      <w:bookmarkEnd w:id="29"/>
    </w:p>
    <w:p w14:paraId="77FC87D4" w14:textId="77777777" w:rsidR="00364A74" w:rsidRPr="00255F0D" w:rsidRDefault="006840DB" w:rsidP="00E17248">
      <w:r>
        <w:t>Support m</w:t>
      </w:r>
      <w:r w:rsidR="00364A74" w:rsidRPr="00255F0D">
        <w:t>onitoring</w:t>
      </w:r>
      <w:r>
        <w:t xml:space="preserve"> includes</w:t>
      </w:r>
      <w:r w:rsidR="00364A74" w:rsidRPr="00255F0D">
        <w:t xml:space="preserve"> service delivery to assure implementation of the </w:t>
      </w:r>
      <w:r w:rsidR="00570E63">
        <w:t>PCSP</w:t>
      </w:r>
      <w:r w:rsidR="00570E63" w:rsidRPr="00255F0D">
        <w:t xml:space="preserve"> </w:t>
      </w:r>
      <w:r w:rsidR="00364A74" w:rsidRPr="00255F0D">
        <w:t>and monitoring progress toward outcomes specified.</w:t>
      </w:r>
      <w:r>
        <w:t xml:space="preserve"> This also includes the below. </w:t>
      </w:r>
    </w:p>
    <w:p w14:paraId="2DF3D9A9" w14:textId="77777777" w:rsidR="00364A74" w:rsidRPr="00255F0D" w:rsidRDefault="00364A74" w:rsidP="003C5C9B">
      <w:pPr>
        <w:pStyle w:val="BulletList1"/>
      </w:pPr>
      <w:r w:rsidRPr="00255F0D">
        <w:t>Monitoring service delivery to assure</w:t>
      </w:r>
      <w:r w:rsidR="006840DB">
        <w:t xml:space="preserve"> the</w:t>
      </w:r>
      <w:r w:rsidRPr="00255F0D">
        <w:t xml:space="preserve"> individual is afforded </w:t>
      </w:r>
      <w:r>
        <w:t xml:space="preserve">their </w:t>
      </w:r>
      <w:r w:rsidRPr="00255F0D">
        <w:t>legal and constitutional rights.</w:t>
      </w:r>
    </w:p>
    <w:p w14:paraId="7EF1F5CB" w14:textId="77777777" w:rsidR="00364A74" w:rsidRPr="00255F0D" w:rsidRDefault="00364A74" w:rsidP="003C5C9B">
      <w:pPr>
        <w:pStyle w:val="BulletList1"/>
      </w:pPr>
      <w:r w:rsidRPr="00255F0D">
        <w:t>In response to negative monitoring findings, intervening with the planning system and/or service delivery system to address the problem(s).</w:t>
      </w:r>
    </w:p>
    <w:p w14:paraId="236F5EF0" w14:textId="77777777" w:rsidR="00364A74" w:rsidRPr="00255F0D" w:rsidRDefault="00364A74" w:rsidP="003C5C9B">
      <w:pPr>
        <w:pStyle w:val="BulletList1"/>
      </w:pPr>
      <w:r w:rsidRPr="00255F0D">
        <w:t>Support monitoring is performed at least quarterly. At least one face-to-face contact is required annually.</w:t>
      </w:r>
    </w:p>
    <w:p w14:paraId="0299F023" w14:textId="77777777" w:rsidR="00364A74" w:rsidRPr="00567482" w:rsidRDefault="00364A74" w:rsidP="000A0904">
      <w:pPr>
        <w:pStyle w:val="Heading4"/>
      </w:pPr>
      <w:bookmarkStart w:id="30" w:name="_Toc521916546"/>
      <w:bookmarkStart w:id="31" w:name="_Toc226444438"/>
      <w:r w:rsidRPr="00567482">
        <w:t>Quarterly Reviews</w:t>
      </w:r>
      <w:bookmarkEnd w:id="30"/>
      <w:bookmarkEnd w:id="31"/>
    </w:p>
    <w:p w14:paraId="669E251C" w14:textId="77777777" w:rsidR="00364A74" w:rsidRPr="00255F0D" w:rsidRDefault="00364A74" w:rsidP="00E17248">
      <w:r w:rsidRPr="00255F0D">
        <w:t>Quarterly reviews are required for individuals with purchased services funded by State</w:t>
      </w:r>
      <w:r w:rsidR="006840DB">
        <w:t xml:space="preserve">, </w:t>
      </w:r>
      <w:r w:rsidRPr="00255F0D">
        <w:t>Federal</w:t>
      </w:r>
      <w:r w:rsidR="006840DB">
        <w:t xml:space="preserve">, </w:t>
      </w:r>
      <w:r w:rsidRPr="00255F0D">
        <w:t xml:space="preserve">or County </w:t>
      </w:r>
      <w:r w:rsidR="00F44EED">
        <w:t>B</w:t>
      </w:r>
      <w:r w:rsidRPr="00255F0D">
        <w:t xml:space="preserve">oard funds. </w:t>
      </w:r>
      <w:r w:rsidR="009037DF">
        <w:t xml:space="preserve">Reviews </w:t>
      </w:r>
      <w:r w:rsidR="009037DF" w:rsidRPr="009037DF">
        <w:t xml:space="preserve">should be completed every three (3) months </w:t>
      </w:r>
      <w:r w:rsidR="009037DF">
        <w:t xml:space="preserve">beginning </w:t>
      </w:r>
      <w:r w:rsidR="009037DF" w:rsidRPr="009037DF">
        <w:t xml:space="preserve">from </w:t>
      </w:r>
      <w:r w:rsidR="009037DF">
        <w:t xml:space="preserve">the </w:t>
      </w:r>
      <w:r w:rsidR="009037DF" w:rsidRPr="009037DF">
        <w:t>implementation date of the plan.</w:t>
      </w:r>
      <w:r w:rsidR="009037DF">
        <w:t xml:space="preserve"> </w:t>
      </w:r>
      <w:r w:rsidRPr="00255F0D">
        <w:t xml:space="preserve">The </w:t>
      </w:r>
      <w:r w:rsidR="004A7118">
        <w:t>review shall include a</w:t>
      </w:r>
      <w:r w:rsidRPr="00255F0D">
        <w:t xml:space="preserve"> report </w:t>
      </w:r>
      <w:r w:rsidR="004A7118">
        <w:t>that</w:t>
      </w:r>
      <w:r w:rsidRPr="00255F0D">
        <w:t xml:space="preserve"> summarize</w:t>
      </w:r>
      <w:r w:rsidR="004A7118">
        <w:t>s</w:t>
      </w:r>
      <w:r w:rsidRPr="00255F0D">
        <w:t xml:space="preserve"> progress or at least maintenance of the individual</w:t>
      </w:r>
      <w:r w:rsidR="004A7118">
        <w:t xml:space="preserve">’s </w:t>
      </w:r>
      <w:r w:rsidRPr="00255F0D">
        <w:t xml:space="preserve">current </w:t>
      </w:r>
      <w:r w:rsidR="004A7118">
        <w:t>level</w:t>
      </w:r>
      <w:r w:rsidRPr="00255F0D">
        <w:t>.</w:t>
      </w:r>
      <w:r w:rsidR="006840DB">
        <w:t xml:space="preserve"> The review </w:t>
      </w:r>
      <w:r w:rsidR="0083315B">
        <w:t>includes</w:t>
      </w:r>
      <w:r w:rsidR="009037DF">
        <w:t xml:space="preserve">: </w:t>
      </w:r>
    </w:p>
    <w:p w14:paraId="5C029E6E" w14:textId="77777777" w:rsidR="00364A74" w:rsidRPr="00255F0D" w:rsidRDefault="006840DB" w:rsidP="003C5C9B">
      <w:pPr>
        <w:pStyle w:val="BulletList1"/>
      </w:pPr>
      <w:r>
        <w:t>R</w:t>
      </w:r>
      <w:r w:rsidR="00364A74" w:rsidRPr="00255F0D">
        <w:t xml:space="preserve">eview of </w:t>
      </w:r>
      <w:r w:rsidR="00BF12F1">
        <w:t xml:space="preserve">monthly </w:t>
      </w:r>
      <w:r w:rsidR="00364A74" w:rsidRPr="00255F0D">
        <w:t xml:space="preserve">progress notes written and/or submitted by the provider(s) of the purchased services. </w:t>
      </w:r>
    </w:p>
    <w:p w14:paraId="6B84CB15" w14:textId="77777777" w:rsidR="00612519" w:rsidRDefault="006840DB" w:rsidP="003C5C9B">
      <w:pPr>
        <w:pStyle w:val="BulletList1"/>
      </w:pPr>
      <w:r>
        <w:t>E</w:t>
      </w:r>
      <w:r w:rsidR="00364A74" w:rsidRPr="00255F0D">
        <w:t xml:space="preserve">valuating the documentation of service provision and whether the services and supports provided are helping the person attain the outcomes in the plan or at least maintaining their current level.  </w:t>
      </w:r>
    </w:p>
    <w:p w14:paraId="606FDEC3" w14:textId="77777777" w:rsidR="00364A74" w:rsidRPr="00255F0D" w:rsidRDefault="00364A74" w:rsidP="00E17248">
      <w:r w:rsidRPr="00255F0D">
        <w:t xml:space="preserve">The intent </w:t>
      </w:r>
      <w:r w:rsidR="00612519">
        <w:t xml:space="preserve">of quarterly reviews </w:t>
      </w:r>
      <w:r w:rsidRPr="00255F0D">
        <w:t xml:space="preserve">is to </w:t>
      </w:r>
      <w:r w:rsidR="00612519">
        <w:t>obtain the above</w:t>
      </w:r>
      <w:r w:rsidR="00612519" w:rsidRPr="00255F0D">
        <w:t xml:space="preserve"> </w:t>
      </w:r>
      <w:r w:rsidRPr="00255F0D">
        <w:t>information from the provider’s records.</w:t>
      </w:r>
    </w:p>
    <w:p w14:paraId="3EC1BBAD" w14:textId="77777777" w:rsidR="00364A74" w:rsidRPr="00567482" w:rsidRDefault="00364A74" w:rsidP="000A0904">
      <w:pPr>
        <w:pStyle w:val="Heading4"/>
      </w:pPr>
      <w:bookmarkStart w:id="32" w:name="_Toc521916547"/>
      <w:bookmarkStart w:id="33" w:name="_Toc226444439"/>
      <w:r w:rsidRPr="00567482">
        <w:t>Case Documentation</w:t>
      </w:r>
      <w:bookmarkEnd w:id="32"/>
      <w:bookmarkEnd w:id="33"/>
    </w:p>
    <w:p w14:paraId="2949B7B6" w14:textId="77777777" w:rsidR="00364A74" w:rsidRPr="00255F0D" w:rsidRDefault="006840DB" w:rsidP="00E17248">
      <w:r>
        <w:t>Case Documentation includes c</w:t>
      </w:r>
      <w:r w:rsidR="00364A74" w:rsidRPr="00255F0D">
        <w:t>ompleting necessary documentation on all aspects of case management as it applies to individuals receiving case management, including case openings, assessments, plans, referrals, progress notes, contacts, due process requirements, discharge planning, and case closure.</w:t>
      </w:r>
    </w:p>
    <w:p w14:paraId="0C198F1F" w14:textId="77777777" w:rsidR="00364A74" w:rsidRPr="00255F0D" w:rsidRDefault="00364A74" w:rsidP="00E17248">
      <w:r w:rsidRPr="00255F0D">
        <w:t>Case management includes contacts with non-eligible individuals who are directly related to identifying the eligible individual’s needs and care, for the purposes of helping the eligible individual in obtaining services; identifying needs and supports to assist the eligible individual in obtaining services; providing case managers with useful feedback</w:t>
      </w:r>
      <w:r w:rsidR="006840DB">
        <w:t>;</w:t>
      </w:r>
      <w:r w:rsidRPr="00255F0D">
        <w:t xml:space="preserve"> and alerting case managers to changes in the eligible individual’s needs.</w:t>
      </w:r>
    </w:p>
    <w:p w14:paraId="4B944F1C" w14:textId="77777777" w:rsidR="00364A74" w:rsidRPr="00255F0D" w:rsidRDefault="00364A74" w:rsidP="00E17248">
      <w:r w:rsidRPr="00255F0D">
        <w:t xml:space="preserve">Time spent in case management activities may consist of in-person or other contacts with the individual and others involved or concerned with </w:t>
      </w:r>
      <w:r>
        <w:t xml:space="preserve">their </w:t>
      </w:r>
      <w:r w:rsidRPr="00255F0D">
        <w:t xml:space="preserve">care, compiling and completing necessary </w:t>
      </w:r>
      <w:r w:rsidRPr="00255F0D">
        <w:lastRenderedPageBreak/>
        <w:t>planning and other documentation, and travel to and from contacts and activities related specifically to the individual. Case notes will be maintained which identify the individual, the case manager</w:t>
      </w:r>
      <w:r w:rsidR="006840DB">
        <w:t>,</w:t>
      </w:r>
      <w:r w:rsidRPr="00255F0D">
        <w:t xml:space="preserve"> and the activity, as well as the date, units of service (</w:t>
      </w:r>
      <w:r w:rsidR="00C21AD0">
        <w:t>five (</w:t>
      </w:r>
      <w:r w:rsidRPr="00255F0D">
        <w:t>5</w:t>
      </w:r>
      <w:r w:rsidR="00C21AD0">
        <w:t>)</w:t>
      </w:r>
      <w:r w:rsidRPr="00255F0D">
        <w:t xml:space="preserve"> minute increments), and place of service.</w:t>
      </w:r>
    </w:p>
    <w:p w14:paraId="13ABBD84" w14:textId="77777777" w:rsidR="00364A74" w:rsidRPr="00A05851" w:rsidRDefault="00A10E5E" w:rsidP="000A0904">
      <w:pPr>
        <w:pStyle w:val="Heading3"/>
      </w:pPr>
      <w:bookmarkStart w:id="34" w:name="_Toc521916548"/>
      <w:bookmarkStart w:id="35" w:name="_Toc226444440"/>
      <w:r w:rsidRPr="00A05851">
        <w:t xml:space="preserve">3.2 </w:t>
      </w:r>
      <w:r w:rsidR="00364A74" w:rsidRPr="00A05851">
        <w:t>Transition</w:t>
      </w:r>
      <w:r w:rsidR="007E31B3" w:rsidRPr="00A05851">
        <w:t xml:space="preserve"> and </w:t>
      </w:r>
      <w:r w:rsidR="00364A74" w:rsidRPr="00A05851">
        <w:t>Transfer of Case Responsibility</w:t>
      </w:r>
      <w:bookmarkEnd w:id="34"/>
      <w:bookmarkEnd w:id="35"/>
    </w:p>
    <w:p w14:paraId="3E922A59" w14:textId="77777777" w:rsidR="00364A74" w:rsidRPr="00255F0D" w:rsidRDefault="007E31B3" w:rsidP="00E17248">
      <w:r>
        <w:t>The t</w:t>
      </w:r>
      <w:r w:rsidR="006840DB">
        <w:t>ransition</w:t>
      </w:r>
      <w:r>
        <w:t xml:space="preserve"> and t</w:t>
      </w:r>
      <w:r w:rsidR="006840DB">
        <w:t xml:space="preserve">ransfer of </w:t>
      </w:r>
      <w:r>
        <w:t>case responsibility</w:t>
      </w:r>
      <w:r w:rsidRPr="00255F0D">
        <w:t xml:space="preserve"> </w:t>
      </w:r>
      <w:r w:rsidR="0006402F">
        <w:t xml:space="preserve">may </w:t>
      </w:r>
      <w:r w:rsidR="006840DB">
        <w:t>occur when</w:t>
      </w:r>
      <w:r w:rsidR="0006402F">
        <w:t xml:space="preserve"> an </w:t>
      </w:r>
      <w:r w:rsidR="0006402F" w:rsidRPr="00255F0D">
        <w:t>individual transfer</w:t>
      </w:r>
      <w:r w:rsidR="0006402F">
        <w:t>s</w:t>
      </w:r>
      <w:r w:rsidR="0006402F" w:rsidRPr="00255F0D">
        <w:t xml:space="preserve"> from one TCM entity to </w:t>
      </w:r>
      <w:r w:rsidR="0006402F">
        <w:t>another and there are</w:t>
      </w:r>
      <w:r w:rsidR="0006402F" w:rsidRPr="00255F0D">
        <w:t xml:space="preserve"> </w:t>
      </w:r>
      <w:r w:rsidR="00364A74" w:rsidRPr="00255F0D">
        <w:t>two</w:t>
      </w:r>
      <w:r w:rsidR="006840DB">
        <w:t xml:space="preserve"> (2)</w:t>
      </w:r>
      <w:r w:rsidR="00364A74" w:rsidRPr="00255F0D">
        <w:t xml:space="preserve"> support coordinators</w:t>
      </w:r>
      <w:r w:rsidR="00E66BF3">
        <w:t xml:space="preserve"> (SC)</w:t>
      </w:r>
      <w:r w:rsidR="00364A74" w:rsidRPr="00255F0D">
        <w:t xml:space="preserve"> from different Division of </w:t>
      </w:r>
      <w:r>
        <w:t xml:space="preserve">Developmental Disabilities (Division of </w:t>
      </w:r>
      <w:r w:rsidR="00364A74" w:rsidRPr="00255F0D">
        <w:t>DD</w:t>
      </w:r>
      <w:r>
        <w:t>)</w:t>
      </w:r>
      <w:r w:rsidR="00364A74" w:rsidRPr="00255F0D">
        <w:t xml:space="preserve"> TCM agencies providing a certain amount of TCM services necessary for the</w:t>
      </w:r>
      <w:r w:rsidR="0006402F">
        <w:t xml:space="preserve"> individual</w:t>
      </w:r>
      <w:r w:rsidR="00364A74" w:rsidRPr="00255F0D">
        <w:t>. Th</w:t>
      </w:r>
      <w:r w:rsidR="00F44EED">
        <w:t>is</w:t>
      </w:r>
      <w:r w:rsidR="00364A74" w:rsidRPr="00255F0D">
        <w:t xml:space="preserve"> </w:t>
      </w:r>
      <w:r w:rsidR="00F44EED">
        <w:t>allows</w:t>
      </w:r>
      <w:r w:rsidR="00364A74" w:rsidRPr="00255F0D">
        <w:t xml:space="preserve"> individuals </w:t>
      </w:r>
      <w:r w:rsidR="00F44EED">
        <w:t xml:space="preserve">to </w:t>
      </w:r>
      <w:r w:rsidR="00364A74" w:rsidRPr="00255F0D">
        <w:t xml:space="preserve">be given informed free choice of service providers, including </w:t>
      </w:r>
      <w:r w:rsidR="00063DA8">
        <w:t>SC</w:t>
      </w:r>
      <w:r w:rsidR="00364A74" w:rsidRPr="00255F0D">
        <w:t>s within the identified TCM entity.</w:t>
      </w:r>
    </w:p>
    <w:p w14:paraId="086F776B" w14:textId="77777777" w:rsidR="00364A74" w:rsidRPr="00255F0D" w:rsidRDefault="00364A74" w:rsidP="00025A28">
      <w:pPr>
        <w:keepNext/>
        <w:keepLines/>
      </w:pPr>
      <w:r>
        <w:t>Throughout the state</w:t>
      </w:r>
      <w:r w:rsidR="0006402F">
        <w:t>,</w:t>
      </w:r>
      <w:r>
        <w:t xml:space="preserve"> </w:t>
      </w:r>
      <w:r w:rsidR="00663596">
        <w:t>r</w:t>
      </w:r>
      <w:r w:rsidRPr="00255F0D">
        <w:t xml:space="preserve">egional </w:t>
      </w:r>
      <w:r w:rsidR="00663596">
        <w:t>o</w:t>
      </w:r>
      <w:r w:rsidRPr="00255F0D">
        <w:t>ffices, County Boards, and other not-for-profit TCM agencies shar</w:t>
      </w:r>
      <w:r>
        <w:t>e</w:t>
      </w:r>
      <w:r w:rsidRPr="00255F0D">
        <w:t xml:space="preserve"> support coordination </w:t>
      </w:r>
      <w:r>
        <w:t>responsibilities to var</w:t>
      </w:r>
      <w:r w:rsidR="00F44EED">
        <w:t>ying</w:t>
      </w:r>
      <w:r>
        <w:t xml:space="preserve"> degrees. </w:t>
      </w:r>
      <w:r w:rsidRPr="00255F0D">
        <w:t>For instance, transfers of files may be necessary</w:t>
      </w:r>
      <w:r w:rsidR="0097027B">
        <w:t>,</w:t>
      </w:r>
      <w:r w:rsidRPr="00255F0D">
        <w:t xml:space="preserve"> or </w:t>
      </w:r>
      <w:r w:rsidR="0097027B">
        <w:t>contacting</w:t>
      </w:r>
      <w:r w:rsidRPr="00255F0D">
        <w:t xml:space="preserve"> providers to </w:t>
      </w:r>
      <w:r w:rsidR="00220678">
        <w:t xml:space="preserve">ensure successful transfer from one provider to </w:t>
      </w:r>
      <w:r w:rsidR="00925691">
        <w:t>another.</w:t>
      </w:r>
    </w:p>
    <w:p w14:paraId="37450A9B" w14:textId="77777777" w:rsidR="00364A74" w:rsidRDefault="00364A74" w:rsidP="00025A28">
      <w:pPr>
        <w:keepNext/>
        <w:keepLines/>
      </w:pPr>
      <w:r w:rsidRPr="00255F0D">
        <w:t xml:space="preserve">Another </w:t>
      </w:r>
      <w:r>
        <w:t xml:space="preserve">instance </w:t>
      </w:r>
      <w:r w:rsidR="00C21AD0">
        <w:t>when a case may be transferred</w:t>
      </w:r>
      <w:r w:rsidRPr="00255F0D">
        <w:t xml:space="preserve"> from one</w:t>
      </w:r>
      <w:r w:rsidR="00895B5B">
        <w:t xml:space="preserve"> (1) </w:t>
      </w:r>
      <w:r w:rsidRPr="00255F0D">
        <w:t xml:space="preserve">TCM entity to another is when an individual moves to another part of the </w:t>
      </w:r>
      <w:r>
        <w:t>s</w:t>
      </w:r>
      <w:r w:rsidRPr="00255F0D">
        <w:t>tate.</w:t>
      </w:r>
    </w:p>
    <w:p w14:paraId="6EB4A1C4" w14:textId="77777777" w:rsidR="00ED42A2" w:rsidRPr="00255F0D" w:rsidRDefault="00ED42A2" w:rsidP="00025A28">
      <w:pPr>
        <w:keepNext/>
        <w:keepLines/>
      </w:pPr>
      <w:r>
        <w:t>The transition/transfer of case responsibility is expected to</w:t>
      </w:r>
      <w:r w:rsidRPr="00F257E0">
        <w:t xml:space="preserve"> be completed within 30 days.</w:t>
      </w:r>
    </w:p>
    <w:p w14:paraId="22AEC4A8" w14:textId="77777777" w:rsidR="00364A74" w:rsidRPr="00255F0D" w:rsidRDefault="00364A74" w:rsidP="00025A28">
      <w:pPr>
        <w:keepNext/>
        <w:keepLines/>
      </w:pPr>
      <w:r w:rsidRPr="00255F0D">
        <w:t xml:space="preserve">For TCM activities involving </w:t>
      </w:r>
      <w:r w:rsidR="00BA2A0D">
        <w:t>SCs</w:t>
      </w:r>
      <w:r w:rsidRPr="00255F0D">
        <w:t xml:space="preserve"> from the sending and receiving entities, the following conditions shall apply to billable services:</w:t>
      </w:r>
    </w:p>
    <w:p w14:paraId="25BB1C9A" w14:textId="77777777" w:rsidR="00364A74" w:rsidRDefault="00364A74" w:rsidP="003C5C9B">
      <w:pPr>
        <w:pStyle w:val="BulletList1"/>
      </w:pPr>
      <w:r w:rsidRPr="00255F0D">
        <w:t xml:space="preserve">During the period of </w:t>
      </w:r>
      <w:r w:rsidR="00994850">
        <w:t xml:space="preserve">a </w:t>
      </w:r>
      <w:r w:rsidRPr="00255F0D">
        <w:t xml:space="preserve">case transfer, there may be billable activities from each TCM entity that are viewed as independent. </w:t>
      </w:r>
      <w:r>
        <w:t>C</w:t>
      </w:r>
      <w:r w:rsidRPr="00255F0D">
        <w:t>ommunication is essential to ensure TCM activities billed by both entities are independent and not duplicative</w:t>
      </w:r>
      <w:r>
        <w:t>.</w:t>
      </w:r>
      <w:r w:rsidRPr="00255F0D">
        <w:t xml:space="preserve"> This distinction must be documented in each logging case note.</w:t>
      </w:r>
      <w:r w:rsidR="00BA32CC">
        <w:t xml:space="preserve"> Refer to </w:t>
      </w:r>
      <w:hyperlink w:anchor="_Section_7:_" w:history="1">
        <w:r w:rsidR="00BA32CC" w:rsidRPr="00166A39">
          <w:rPr>
            <w:rStyle w:val="Hyperlink"/>
          </w:rPr>
          <w:t>Section 7</w:t>
        </w:r>
      </w:hyperlink>
      <w:r w:rsidR="00BA32CC">
        <w:t xml:space="preserve"> in this manual for more information on case notes.</w:t>
      </w:r>
    </w:p>
    <w:p w14:paraId="164502EF" w14:textId="77777777" w:rsidR="00364A74" w:rsidRPr="00255F0D" w:rsidRDefault="00364A74" w:rsidP="00E17248">
      <w:pPr>
        <w:pStyle w:val="ListBullet"/>
        <w:numPr>
          <w:ilvl w:val="0"/>
          <w:numId w:val="0"/>
        </w:numPr>
        <w:ind w:left="979"/>
      </w:pPr>
      <w:r w:rsidRPr="00255F0D">
        <w:t xml:space="preserve">For </w:t>
      </w:r>
      <w:r w:rsidR="00994850">
        <w:t>instance</w:t>
      </w:r>
      <w:r w:rsidR="00C21AD0">
        <w:t>,</w:t>
      </w:r>
      <w:r>
        <w:t xml:space="preserve"> </w:t>
      </w:r>
      <w:r w:rsidR="00C21AD0">
        <w:t>t</w:t>
      </w:r>
      <w:r w:rsidRPr="00255F0D">
        <w:t xml:space="preserve">he sending TCM </w:t>
      </w:r>
      <w:r w:rsidR="00BA32CC">
        <w:t>SC</w:t>
      </w:r>
      <w:r w:rsidRPr="00255F0D">
        <w:t xml:space="preserve"> may engage in activities specific to transferring the case to the receiving TCM entity (</w:t>
      </w:r>
      <w:r w:rsidR="00BA32CC">
        <w:t xml:space="preserve">e.g., </w:t>
      </w:r>
      <w:r w:rsidRPr="00255F0D">
        <w:t xml:space="preserve">closing the case). The receiving TCM </w:t>
      </w:r>
      <w:r w:rsidR="00BA32CC">
        <w:t>SC</w:t>
      </w:r>
      <w:r w:rsidRPr="00255F0D">
        <w:t xml:space="preserve"> may be completing activities to become more familiar with the individual and the services the person receives (</w:t>
      </w:r>
      <w:r w:rsidR="00BA32CC">
        <w:t xml:space="preserve">e.g., </w:t>
      </w:r>
      <w:r w:rsidRPr="00255F0D">
        <w:t>opening the case).</w:t>
      </w:r>
    </w:p>
    <w:p w14:paraId="708E4D22" w14:textId="77777777" w:rsidR="00364A74" w:rsidRDefault="00364A74" w:rsidP="003C5C9B">
      <w:pPr>
        <w:pStyle w:val="BulletList1"/>
      </w:pPr>
      <w:r w:rsidRPr="00255F0D">
        <w:t xml:space="preserve">When TCM activities of the </w:t>
      </w:r>
      <w:r w:rsidR="00BA32CC">
        <w:t>SC</w:t>
      </w:r>
      <w:r w:rsidRPr="00255F0D">
        <w:t xml:space="preserve"> from one</w:t>
      </w:r>
      <w:r w:rsidR="0006402F">
        <w:t xml:space="preserve"> (1)</w:t>
      </w:r>
      <w:r w:rsidRPr="00255F0D">
        <w:t xml:space="preserve"> agency cannot be distinct or independent from that of the </w:t>
      </w:r>
      <w:r w:rsidR="00BA32CC">
        <w:t>SC</w:t>
      </w:r>
      <w:r w:rsidRPr="00255F0D">
        <w:t xml:space="preserve"> from the other agency, only one</w:t>
      </w:r>
      <w:r w:rsidR="0006402F">
        <w:t xml:space="preserve"> (1)</w:t>
      </w:r>
      <w:r w:rsidRPr="00255F0D">
        <w:t xml:space="preserve"> </w:t>
      </w:r>
      <w:r w:rsidR="00BA32CC">
        <w:t>SC</w:t>
      </w:r>
      <w:r w:rsidRPr="00255F0D">
        <w:t xml:space="preserve"> may log billable TCM for the activities. This requires close communication between the two </w:t>
      </w:r>
      <w:r w:rsidR="0006402F">
        <w:t xml:space="preserve">(2) </w:t>
      </w:r>
      <w:r w:rsidR="00BA32CC">
        <w:t>SC</w:t>
      </w:r>
      <w:r w:rsidRPr="00255F0D">
        <w:t xml:space="preserve">s as to who will log billable TCM and </w:t>
      </w:r>
      <w:r w:rsidR="00ED42A2">
        <w:t>who will log</w:t>
      </w:r>
      <w:r w:rsidR="000437E4">
        <w:t xml:space="preserve"> non-billable</w:t>
      </w:r>
      <w:r w:rsidR="00ED42A2">
        <w:t xml:space="preserve"> TCM</w:t>
      </w:r>
      <w:r w:rsidR="000437E4">
        <w:t>.</w:t>
      </w:r>
    </w:p>
    <w:p w14:paraId="1E32080A" w14:textId="77777777" w:rsidR="00364A74" w:rsidRDefault="00364A74" w:rsidP="00E17248">
      <w:pPr>
        <w:pStyle w:val="ListBullet"/>
        <w:numPr>
          <w:ilvl w:val="0"/>
          <w:numId w:val="0"/>
        </w:numPr>
        <w:ind w:left="979"/>
      </w:pPr>
      <w:r w:rsidRPr="00255F0D">
        <w:t xml:space="preserve">For </w:t>
      </w:r>
      <w:r w:rsidR="00994850">
        <w:t>instance</w:t>
      </w:r>
      <w:r w:rsidR="00C21AD0">
        <w:t>,</w:t>
      </w:r>
      <w:r w:rsidRPr="00255F0D">
        <w:t xml:space="preserve"> </w:t>
      </w:r>
      <w:r w:rsidR="00C21AD0">
        <w:t>i</w:t>
      </w:r>
      <w:r w:rsidRPr="00255F0D">
        <w:t xml:space="preserve">f both Division of </w:t>
      </w:r>
      <w:r w:rsidRPr="00F257E0">
        <w:t xml:space="preserve">DD </w:t>
      </w:r>
      <w:r w:rsidR="00BA32CC">
        <w:t>SC</w:t>
      </w:r>
      <w:r w:rsidRPr="00F257E0">
        <w:t xml:space="preserve">s from the sending and receiving TCM entities attend the same planning meeting and serve the same function in support of the individual, only </w:t>
      </w:r>
      <w:r w:rsidRPr="00F257E0">
        <w:lastRenderedPageBreak/>
        <w:t xml:space="preserve">one </w:t>
      </w:r>
      <w:r w:rsidR="0006402F">
        <w:t xml:space="preserve">(1) </w:t>
      </w:r>
      <w:r w:rsidR="00BA32CC">
        <w:t>SC</w:t>
      </w:r>
      <w:r w:rsidRPr="00F257E0">
        <w:t xml:space="preserve"> can log billable TCM</w:t>
      </w:r>
      <w:r w:rsidR="00ED42A2">
        <w:t>.</w:t>
      </w:r>
      <w:r w:rsidRPr="00F257E0">
        <w:t xml:space="preserve"> </w:t>
      </w:r>
      <w:r w:rsidR="00ED42A2">
        <w:t>T</w:t>
      </w:r>
      <w:r w:rsidRPr="00F257E0">
        <w:t xml:space="preserve">he other </w:t>
      </w:r>
      <w:r w:rsidR="00BA32CC">
        <w:t>SC</w:t>
      </w:r>
      <w:r w:rsidR="00ED42A2">
        <w:t xml:space="preserve"> who attended </w:t>
      </w:r>
      <w:r w:rsidRPr="00F257E0">
        <w:t>would log using a non-billable TCM code.</w:t>
      </w:r>
    </w:p>
    <w:p w14:paraId="006B36B0" w14:textId="2B79D8BE" w:rsidR="00ED42A2" w:rsidRPr="00063DA8" w:rsidRDefault="00ED42A2" w:rsidP="0091582E">
      <w:pPr>
        <w:pStyle w:val="Heading4"/>
        <w:rPr>
          <w:color w:val="243F60" w:themeColor="accent1" w:themeShade="7F"/>
        </w:rPr>
      </w:pPr>
      <w:bookmarkStart w:id="36" w:name="_Toc226444441"/>
      <w:r w:rsidRPr="00063DA8">
        <w:t xml:space="preserve">Transfers When Only One Entity Uses </w:t>
      </w:r>
      <w:r w:rsidR="00B95353" w:rsidRPr="00063DA8">
        <w:t>CIMOR for Billing</w:t>
      </w:r>
      <w:r w:rsidR="00F0423F" w:rsidRPr="00063DA8">
        <w:t xml:space="preserve"> Purposes</w:t>
      </w:r>
      <w:bookmarkEnd w:id="36"/>
    </w:p>
    <w:p w14:paraId="2C1DA341" w14:textId="77777777" w:rsidR="00ED42A2" w:rsidRDefault="00ED42A2" w:rsidP="00E17248">
      <w:r>
        <w:t>R</w:t>
      </w:r>
      <w:r w:rsidR="00364A74" w:rsidRPr="00843845">
        <w:t xml:space="preserve">egional </w:t>
      </w:r>
      <w:r w:rsidR="00663596">
        <w:t>o</w:t>
      </w:r>
      <w:r w:rsidR="00364A74" w:rsidRPr="00843845">
        <w:t xml:space="preserve">ffices, some County Boards, and other not-for-profit TCM agencies use </w:t>
      </w:r>
      <w:r>
        <w:t>the Customer Information Management Outcomes and Reporting (</w:t>
      </w:r>
      <w:r w:rsidR="00364A74" w:rsidRPr="00843845">
        <w:t>CIMOR</w:t>
      </w:r>
      <w:r>
        <w:t>) System</w:t>
      </w:r>
      <w:r w:rsidR="00364A74" w:rsidRPr="00843845">
        <w:t xml:space="preserve"> for logging. For TCM entities that utilize the CIMOR system for case management logging, the </w:t>
      </w:r>
      <w:r w:rsidR="00222664">
        <w:t>SC</w:t>
      </w:r>
      <w:r w:rsidR="00364A74" w:rsidRPr="00843845">
        <w:t xml:space="preserve"> should use logging code 000040 when completing applicable billable TCM activities associated with transferring an individual’s case to a TCM entity that does not utilize CIMOR for logging. This applies until the transfer is complete. </w:t>
      </w:r>
    </w:p>
    <w:p w14:paraId="080CB9A1" w14:textId="77777777" w:rsidR="00364A74" w:rsidRPr="00843845" w:rsidRDefault="00364A74" w:rsidP="00E17248">
      <w:r w:rsidRPr="00843845">
        <w:t xml:space="preserve">Logging the 000040 code in CIMOR (which maps to G9012HITS for claims to </w:t>
      </w:r>
      <w:r w:rsidR="0006402F">
        <w:t>MO HealthNet Division (</w:t>
      </w:r>
      <w:r w:rsidR="00720143">
        <w:t>MHD</w:t>
      </w:r>
      <w:r w:rsidR="0006402F">
        <w:t>)</w:t>
      </w:r>
      <w:r w:rsidRPr="00843845">
        <w:t>) will generate a bill which will keep the other TCM entity’s billing from failing as a duplicate service.</w:t>
      </w:r>
    </w:p>
    <w:p w14:paraId="6B39F944" w14:textId="5851AB0C" w:rsidR="00ED42A2" w:rsidRPr="00567482" w:rsidRDefault="00ED42A2" w:rsidP="0091582E">
      <w:pPr>
        <w:pStyle w:val="Heading4"/>
      </w:pPr>
      <w:bookmarkStart w:id="37" w:name="_Toc226444442"/>
      <w:r w:rsidRPr="00567482">
        <w:t xml:space="preserve">Transfers When Both Entities Use </w:t>
      </w:r>
      <w:r w:rsidR="00B95353" w:rsidRPr="00567482">
        <w:t>CIMOR for Billing Purposes</w:t>
      </w:r>
      <w:bookmarkEnd w:id="37"/>
    </w:p>
    <w:p w14:paraId="2A1C887F" w14:textId="77777777" w:rsidR="00364A74" w:rsidRPr="00843845" w:rsidRDefault="00222664" w:rsidP="00E17248">
      <w:r>
        <w:t>SC</w:t>
      </w:r>
      <w:r w:rsidR="00603DEF" w:rsidRPr="00603DEF">
        <w:t xml:space="preserve">s from </w:t>
      </w:r>
      <w:r w:rsidR="000411C2">
        <w:t>the sending and receiving</w:t>
      </w:r>
      <w:r w:rsidR="00603DEF" w:rsidRPr="00603DEF">
        <w:t xml:space="preserve"> agenc</w:t>
      </w:r>
      <w:r w:rsidR="000411C2">
        <w:t>y</w:t>
      </w:r>
      <w:r w:rsidR="00603DEF" w:rsidRPr="00603DEF">
        <w:t xml:space="preserve"> will need to communicate to determine who will log billable case management using the 000040 code in CIMOR.  The other </w:t>
      </w:r>
      <w:r>
        <w:t>SC</w:t>
      </w:r>
      <w:r w:rsidR="00603DEF" w:rsidRPr="00603DEF">
        <w:t xml:space="preserve"> would use another billable TCM code in CIMOR</w:t>
      </w:r>
      <w:r w:rsidR="000411C2">
        <w:t xml:space="preserve"> </w:t>
      </w:r>
      <w:r w:rsidR="00603DEF" w:rsidRPr="00603DEF">
        <w:t>to prevent TCM claims failing as a duplicate service.</w:t>
      </w:r>
    </w:p>
    <w:p w14:paraId="23AD49D4" w14:textId="536C1294" w:rsidR="00ED42A2" w:rsidRPr="00567482" w:rsidRDefault="00ED42A2" w:rsidP="0091582E">
      <w:pPr>
        <w:pStyle w:val="Heading4"/>
      </w:pPr>
      <w:bookmarkStart w:id="38" w:name="_Toc226444443"/>
      <w:r w:rsidRPr="00445A50">
        <w:t xml:space="preserve">Transfers When Neither Entity Uses </w:t>
      </w:r>
      <w:r w:rsidR="00B95353" w:rsidRPr="00445A50">
        <w:t>CIMOR for Billing Purposes</w:t>
      </w:r>
      <w:bookmarkEnd w:id="38"/>
    </w:p>
    <w:p w14:paraId="49F60DC0" w14:textId="77777777" w:rsidR="00364A74" w:rsidRPr="00843845" w:rsidRDefault="00364A74" w:rsidP="00E17248">
      <w:r w:rsidRPr="00843845">
        <w:t xml:space="preserve">For case transfer among County Board TCM entities that use a different system other than CIMOR for TCM logging and submitting TCM claims to </w:t>
      </w:r>
      <w:r w:rsidR="00720143">
        <w:t>MHD</w:t>
      </w:r>
      <w:r w:rsidRPr="00843845">
        <w:t xml:space="preserve">, the </w:t>
      </w:r>
      <w:r w:rsidR="00222664">
        <w:t>SC</w:t>
      </w:r>
      <w:r w:rsidRPr="00843845">
        <w:t xml:space="preserve">s from both agencies need to communicate to determine who will log billable case management using the G9012HITS code, while the other </w:t>
      </w:r>
      <w:r w:rsidR="00222664">
        <w:t>SC</w:t>
      </w:r>
      <w:r w:rsidRPr="00843845">
        <w:t xml:space="preserve"> would use another billable TCM code, to prevent claims failing as a duplicate service.</w:t>
      </w:r>
      <w:r w:rsidR="005D69A5">
        <w:t xml:space="preserve"> Refer to </w:t>
      </w:r>
      <w:hyperlink w:anchor="_Section_7:_" w:history="1">
        <w:r w:rsidR="005D69A5" w:rsidRPr="00CF79CA">
          <w:rPr>
            <w:rStyle w:val="Hyperlink"/>
          </w:rPr>
          <w:t>Section 7</w:t>
        </w:r>
      </w:hyperlink>
      <w:r w:rsidR="005D69A5">
        <w:t xml:space="preserve"> in this manual for more information on case notes.</w:t>
      </w:r>
    </w:p>
    <w:p w14:paraId="7F7A6061" w14:textId="7411A289" w:rsidR="00ED42A2" w:rsidRPr="00445A50" w:rsidRDefault="00364A74" w:rsidP="0091582E">
      <w:pPr>
        <w:pStyle w:val="Heading4"/>
      </w:pPr>
      <w:bookmarkStart w:id="39" w:name="_Toc226444444"/>
      <w:r w:rsidRPr="00445A50">
        <w:t>Transition</w:t>
      </w:r>
      <w:r w:rsidR="00222664" w:rsidRPr="00445A50">
        <w:t xml:space="preserve"> and </w:t>
      </w:r>
      <w:r w:rsidRPr="00445A50">
        <w:t xml:space="preserve">Transfer </w:t>
      </w:r>
      <w:r w:rsidR="00ED42A2" w:rsidRPr="00445A50">
        <w:t>C</w:t>
      </w:r>
      <w:r w:rsidRPr="00445A50">
        <w:t xml:space="preserve">ase </w:t>
      </w:r>
      <w:r w:rsidR="00ED42A2" w:rsidRPr="00445A50">
        <w:t>D</w:t>
      </w:r>
      <w:r w:rsidRPr="00445A50">
        <w:t>ocumentation</w:t>
      </w:r>
      <w:bookmarkEnd w:id="39"/>
    </w:p>
    <w:p w14:paraId="14D05D15" w14:textId="77777777" w:rsidR="00364A74" w:rsidRPr="00843845" w:rsidRDefault="00ED42A2" w:rsidP="00E17248">
      <w:r>
        <w:t>When there is a transition</w:t>
      </w:r>
      <w:r w:rsidR="00222664">
        <w:t xml:space="preserve"> and </w:t>
      </w:r>
      <w:r>
        <w:t xml:space="preserve">transfer of a case, </w:t>
      </w:r>
      <w:r w:rsidR="00222664">
        <w:t>SC</w:t>
      </w:r>
      <w:r>
        <w:t>s should e</w:t>
      </w:r>
      <w:r w:rsidR="00364A74" w:rsidRPr="00843845">
        <w:t xml:space="preserve">nter a case note. Each case note entry must describe/justify the need for the dual </w:t>
      </w:r>
      <w:r w:rsidR="00222664">
        <w:t>SC</w:t>
      </w:r>
      <w:r w:rsidR="00364A74" w:rsidRPr="00843845">
        <w:t xml:space="preserve"> responsibility. </w:t>
      </w:r>
      <w:r>
        <w:t>B</w:t>
      </w:r>
      <w:r w:rsidR="00364A74" w:rsidRPr="00843845">
        <w:t xml:space="preserve">oth </w:t>
      </w:r>
      <w:r w:rsidR="00222664">
        <w:t>SC</w:t>
      </w:r>
      <w:r w:rsidR="00364A74" w:rsidRPr="00843845">
        <w:t>s submitting billable logging</w:t>
      </w:r>
      <w:r>
        <w:t xml:space="preserve"> should</w:t>
      </w:r>
      <w:r w:rsidR="00364A74" w:rsidRPr="00843845">
        <w:t xml:space="preserve"> explain the difference in </w:t>
      </w:r>
      <w:r w:rsidR="004E28C6">
        <w:t xml:space="preserve">the </w:t>
      </w:r>
      <w:r w:rsidR="00364A74" w:rsidRPr="00843845">
        <w:t>TCM service provided and that it is not a duplication of service.</w:t>
      </w:r>
    </w:p>
    <w:p w14:paraId="188F9B37" w14:textId="77777777" w:rsidR="00364A74" w:rsidRPr="00567482" w:rsidRDefault="00BB7118" w:rsidP="0091582E">
      <w:pPr>
        <w:pStyle w:val="Heading3"/>
      </w:pPr>
      <w:bookmarkStart w:id="40" w:name="_Conflict_Free_Targeted"/>
      <w:bookmarkStart w:id="41" w:name="_3.3_Conflict_Free"/>
      <w:bookmarkStart w:id="42" w:name="_Toc521916549"/>
      <w:bookmarkStart w:id="43" w:name="_Toc226444445"/>
      <w:bookmarkEnd w:id="40"/>
      <w:bookmarkEnd w:id="41"/>
      <w:r w:rsidRPr="00445A50">
        <w:t xml:space="preserve">3.3 </w:t>
      </w:r>
      <w:r w:rsidR="00364A74" w:rsidRPr="00567482">
        <w:t>Conflict Free Transition</w:t>
      </w:r>
      <w:bookmarkEnd w:id="42"/>
      <w:bookmarkEnd w:id="43"/>
    </w:p>
    <w:p w14:paraId="58424361" w14:textId="77777777" w:rsidR="004E28C6" w:rsidRDefault="004E28C6" w:rsidP="00E17248">
      <w:r>
        <w:t>For a conflict free TCM transition, t</w:t>
      </w:r>
      <w:r w:rsidR="00364A74" w:rsidRPr="00F257E0">
        <w:t xml:space="preserve">he TCM entity may provide waiver services, but </w:t>
      </w:r>
      <w:r w:rsidR="00364A74">
        <w:t>not</w:t>
      </w:r>
      <w:r w:rsidR="00364A74" w:rsidRPr="00F257E0">
        <w:t xml:space="preserve"> to an individual for whom the agency provides support coordination.</w:t>
      </w:r>
    </w:p>
    <w:p w14:paraId="011FB523" w14:textId="77777777" w:rsidR="004E28C6" w:rsidRDefault="00364A74" w:rsidP="00E17248">
      <w:r w:rsidRPr="00F257E0">
        <w:t xml:space="preserve">During the annual plan meeting, or as the situation arises during support monitoring, the </w:t>
      </w:r>
      <w:r w:rsidR="00EE4091">
        <w:t>SC</w:t>
      </w:r>
      <w:r w:rsidRPr="00F257E0">
        <w:t xml:space="preserve"> will discuss options with the individual to avoid conflicted arrangements. If a TCM entity provid</w:t>
      </w:r>
      <w:r>
        <w:t>es</w:t>
      </w:r>
      <w:r w:rsidRPr="00F257E0">
        <w:t xml:space="preserve"> both TCM and direct services to the same individual, the individual </w:t>
      </w:r>
      <w:r>
        <w:t xml:space="preserve">must </w:t>
      </w:r>
      <w:r w:rsidRPr="00F257E0">
        <w:t xml:space="preserve">choose either TCM services or </w:t>
      </w:r>
      <w:r w:rsidRPr="00F257E0">
        <w:lastRenderedPageBreak/>
        <w:t>direct services</w:t>
      </w:r>
      <w:r>
        <w:t xml:space="preserve"> from that provider</w:t>
      </w:r>
      <w:r w:rsidRPr="00F257E0">
        <w:t xml:space="preserve">. The </w:t>
      </w:r>
      <w:r w:rsidR="00EE4091">
        <w:t>SC</w:t>
      </w:r>
      <w:r w:rsidRPr="00F257E0">
        <w:t xml:space="preserve"> will educate and inform the individual on choices of TCM entities and waiver providers to prevent conflicted arrangements.</w:t>
      </w:r>
    </w:p>
    <w:p w14:paraId="3874AB79" w14:textId="77777777" w:rsidR="00364A74" w:rsidRPr="00F257E0" w:rsidRDefault="00364A74" w:rsidP="00E17248">
      <w:bookmarkStart w:id="44" w:name="_Hlk214633094"/>
      <w:r w:rsidRPr="00F257E0">
        <w:t>One of the Division</w:t>
      </w:r>
      <w:r w:rsidR="001E52DC">
        <w:t xml:space="preserve"> of DD</w:t>
      </w:r>
      <w:r w:rsidRPr="00F257E0">
        <w:t xml:space="preserve">'s integrated quality functions </w:t>
      </w:r>
      <w:r w:rsidR="00925691" w:rsidRPr="00F257E0">
        <w:t>are</w:t>
      </w:r>
      <w:r w:rsidRPr="00F257E0">
        <w:t xml:space="preserve"> the </w:t>
      </w:r>
      <w:r w:rsidR="004E28C6">
        <w:t>TCM</w:t>
      </w:r>
      <w:r w:rsidRPr="00F257E0">
        <w:t xml:space="preserve"> reviews conducted by the technical assistance coordinator (TAC)</w:t>
      </w:r>
      <w:r w:rsidR="00A361AB">
        <w:t xml:space="preserve">. This </w:t>
      </w:r>
      <w:r w:rsidR="00925691">
        <w:t>includes</w:t>
      </w:r>
      <w:r w:rsidRPr="00F257E0">
        <w:t xml:space="preserve"> </w:t>
      </w:r>
      <w:r w:rsidR="00925691" w:rsidRPr="00F257E0">
        <w:t>a 100</w:t>
      </w:r>
      <w:r w:rsidRPr="00F257E0">
        <w:t xml:space="preserve">% sampling of all </w:t>
      </w:r>
      <w:r w:rsidR="00A361AB">
        <w:t>s</w:t>
      </w:r>
      <w:r w:rsidRPr="00F257E0">
        <w:t xml:space="preserve">upport </w:t>
      </w:r>
      <w:r w:rsidR="00A361AB">
        <w:t>c</w:t>
      </w:r>
      <w:r w:rsidRPr="00F257E0">
        <w:t>oordinators:</w:t>
      </w:r>
    </w:p>
    <w:p w14:paraId="6EE31DCB" w14:textId="77777777" w:rsidR="00364A74" w:rsidRPr="008709B2" w:rsidRDefault="00364A74" w:rsidP="003C5C9B">
      <w:pPr>
        <w:pStyle w:val="BulletList1"/>
      </w:pPr>
      <w:r w:rsidRPr="008709B2">
        <w:t xml:space="preserve">Verification that the </w:t>
      </w:r>
      <w:r w:rsidR="009F1B7D" w:rsidRPr="008709B2">
        <w:t>conflict-of-interest</w:t>
      </w:r>
      <w:r w:rsidRPr="008709B2">
        <w:t xml:space="preserve"> statement is included in the service support plan</w:t>
      </w:r>
    </w:p>
    <w:p w14:paraId="19FADC13" w14:textId="77777777" w:rsidR="00364A74" w:rsidRPr="00F257E0" w:rsidRDefault="00364A74" w:rsidP="003C5C9B">
      <w:pPr>
        <w:pStyle w:val="BulletList1"/>
      </w:pPr>
      <w:r w:rsidRPr="00F257E0">
        <w:t>Interaction/contact with consumers and/or their guardians to verify effectiveness of the procedures</w:t>
      </w:r>
    </w:p>
    <w:p w14:paraId="47D98AF6" w14:textId="77777777" w:rsidR="00364A74" w:rsidRPr="00567482" w:rsidRDefault="00A10E5E" w:rsidP="0091582E">
      <w:pPr>
        <w:pStyle w:val="Heading3"/>
      </w:pPr>
      <w:bookmarkStart w:id="45" w:name="_Toc521916550"/>
      <w:bookmarkStart w:id="46" w:name="_Toc226444446"/>
      <w:bookmarkEnd w:id="44"/>
      <w:r w:rsidRPr="00567482">
        <w:t xml:space="preserve">3.4 </w:t>
      </w:r>
      <w:r w:rsidR="00364A74" w:rsidRPr="00567482">
        <w:t>Individual Transition from an Institution</w:t>
      </w:r>
      <w:bookmarkEnd w:id="45"/>
      <w:bookmarkEnd w:id="46"/>
    </w:p>
    <w:p w14:paraId="570942EB" w14:textId="36F2DDE2" w:rsidR="00B80A6B" w:rsidRDefault="00EE4091" w:rsidP="000D65BA">
      <w:r>
        <w:t>SC</w:t>
      </w:r>
      <w:r w:rsidR="00364A74" w:rsidRPr="0025670E">
        <w:t xml:space="preserve">s may support an individual who is transitioning to a community living arrangement from a MO HealthNet certified nursing home or habilitation center. Services may be logged not to exceed the last 180 consecutive days the person was in the </w:t>
      </w:r>
      <w:r w:rsidR="00E97734">
        <w:t>MO HealthNet</w:t>
      </w:r>
      <w:r w:rsidR="00364A74" w:rsidRPr="0025670E">
        <w:t xml:space="preserve"> facility but must not be billed until after the date of discharge to community services.</w:t>
      </w:r>
    </w:p>
    <w:p w14:paraId="08C22046" w14:textId="1E370A89" w:rsidR="00B80A6B" w:rsidRPr="006F5D71" w:rsidRDefault="00B80A6B" w:rsidP="003C5C9B">
      <w:pPr>
        <w:pStyle w:val="BulletList1"/>
      </w:pPr>
      <w:r>
        <w:t xml:space="preserve">This does not apply to acute care hospital, or inpatient non-state-operated psychiatric settings. </w:t>
      </w:r>
      <w:r w:rsidRPr="00472FE7">
        <w:t xml:space="preserve">TCM may be </w:t>
      </w:r>
      <w:r>
        <w:t>delivered and billed in these settings.</w:t>
      </w:r>
      <w:r w:rsidRPr="00472FE7">
        <w:t xml:space="preserve"> </w:t>
      </w:r>
    </w:p>
    <w:p w14:paraId="1A5CDD7F" w14:textId="77777777" w:rsidR="00364A74" w:rsidRPr="00567482" w:rsidRDefault="00A10E5E" w:rsidP="0091582E">
      <w:pPr>
        <w:pStyle w:val="Heading3"/>
      </w:pPr>
      <w:bookmarkStart w:id="47" w:name="_Toc521916551"/>
      <w:bookmarkStart w:id="48" w:name="_Toc226444447"/>
      <w:r w:rsidRPr="00567482">
        <w:t xml:space="preserve">3.5 </w:t>
      </w:r>
      <w:r w:rsidR="00364A74" w:rsidRPr="00567482">
        <w:t xml:space="preserve">Billing an Activity for Individuals </w:t>
      </w:r>
      <w:r w:rsidR="00E97734" w:rsidRPr="00567482">
        <w:t>N</w:t>
      </w:r>
      <w:r w:rsidR="00364A74" w:rsidRPr="00567482">
        <w:t xml:space="preserve">ot on </w:t>
      </w:r>
      <w:bookmarkEnd w:id="47"/>
      <w:r w:rsidR="00364A74" w:rsidRPr="00567482">
        <w:t>Caseload</w:t>
      </w:r>
      <w:bookmarkEnd w:id="48"/>
    </w:p>
    <w:p w14:paraId="77AA1039" w14:textId="77777777" w:rsidR="00364A74" w:rsidRPr="0025670E" w:rsidRDefault="00EE4091" w:rsidP="00E17248">
      <w:r>
        <w:t>SC</w:t>
      </w:r>
      <w:r w:rsidR="00364A74" w:rsidRPr="0025670E">
        <w:t>s, supervisors, and other TCM</w:t>
      </w:r>
      <w:r w:rsidR="00364A74">
        <w:t xml:space="preserve"> </w:t>
      </w:r>
      <w:r w:rsidR="00364A74" w:rsidRPr="0025670E">
        <w:t xml:space="preserve">qualified staff may all log a TCM service as </w:t>
      </w:r>
      <w:r>
        <w:t xml:space="preserve">the </w:t>
      </w:r>
      <w:r w:rsidR="00364A74" w:rsidRPr="0025670E">
        <w:t xml:space="preserve">primary </w:t>
      </w:r>
      <w:r>
        <w:t>SC</w:t>
      </w:r>
      <w:r w:rsidR="00364A74" w:rsidRPr="0025670E">
        <w:t xml:space="preserve"> if all the following conditions apply for the individual:</w:t>
      </w:r>
    </w:p>
    <w:p w14:paraId="523D58A9" w14:textId="77777777" w:rsidR="00364A74" w:rsidRPr="0025670E" w:rsidRDefault="00364A74" w:rsidP="003C5C9B">
      <w:pPr>
        <w:pStyle w:val="BulletList1"/>
        <w:rPr>
          <w:snapToGrid w:val="0"/>
        </w:rPr>
      </w:pPr>
      <w:r w:rsidRPr="0025670E">
        <w:t>The activity being logged is a legitimate TCM activity provided to or on behalf of a specific individual</w:t>
      </w:r>
    </w:p>
    <w:p w14:paraId="167F3246" w14:textId="77777777" w:rsidR="00364A74" w:rsidRPr="0025670E" w:rsidRDefault="00364A74" w:rsidP="003C5C9B">
      <w:pPr>
        <w:pStyle w:val="BulletList1"/>
      </w:pPr>
      <w:r w:rsidRPr="0025670E">
        <w:t>The individual is eligible for TCM</w:t>
      </w:r>
    </w:p>
    <w:p w14:paraId="28B869F8" w14:textId="77777777" w:rsidR="00364A74" w:rsidRPr="0025670E" w:rsidRDefault="00364A74" w:rsidP="003C5C9B">
      <w:pPr>
        <w:pStyle w:val="BulletList1"/>
      </w:pPr>
      <w:r w:rsidRPr="0025670E">
        <w:t>The person performing the activity meets the qualifications to provide TCM</w:t>
      </w:r>
    </w:p>
    <w:p w14:paraId="45C60DF5" w14:textId="77777777" w:rsidR="00364A74" w:rsidRPr="0025670E" w:rsidRDefault="00364A74" w:rsidP="003C5C9B">
      <w:pPr>
        <w:pStyle w:val="BulletList1"/>
      </w:pPr>
      <w:r w:rsidRPr="0025670E">
        <w:t>One</w:t>
      </w:r>
      <w:r w:rsidR="00E97734">
        <w:t xml:space="preserve"> (1)</w:t>
      </w:r>
      <w:r w:rsidRPr="0025670E">
        <w:t xml:space="preserve"> person is performing the activity at the time</w:t>
      </w:r>
    </w:p>
    <w:p w14:paraId="5A12590D" w14:textId="77777777" w:rsidR="00364A74" w:rsidRPr="00567482" w:rsidRDefault="00A10E5E" w:rsidP="0091582E">
      <w:pPr>
        <w:pStyle w:val="Heading3"/>
      </w:pPr>
      <w:bookmarkStart w:id="49" w:name="_Toc521916552"/>
      <w:bookmarkStart w:id="50" w:name="_Toc226444448"/>
      <w:r w:rsidRPr="00567482">
        <w:t xml:space="preserve">3.6 </w:t>
      </w:r>
      <w:r w:rsidR="00364A74" w:rsidRPr="00567482">
        <w:t>Case Closure</w:t>
      </w:r>
      <w:bookmarkEnd w:id="49"/>
      <w:bookmarkEnd w:id="50"/>
    </w:p>
    <w:p w14:paraId="0CEF3AE4" w14:textId="77777777" w:rsidR="00364A74" w:rsidRPr="0025670E" w:rsidRDefault="00364A74" w:rsidP="00E17248">
      <w:r w:rsidRPr="0025670E">
        <w:t>Case closure involves terminating a</w:t>
      </w:r>
      <w:r w:rsidR="00664008">
        <w:t>n</w:t>
      </w:r>
      <w:r w:rsidRPr="0025670E">
        <w:t xml:space="preserve"> </w:t>
      </w:r>
      <w:r w:rsidR="00664008">
        <w:t>individual</w:t>
      </w:r>
      <w:r w:rsidRPr="0025670E">
        <w:t xml:space="preserve"> from the service delivery system.</w:t>
      </w:r>
    </w:p>
    <w:p w14:paraId="50B2F746" w14:textId="77777777" w:rsidR="00364A74" w:rsidRPr="0025670E" w:rsidRDefault="00364A74" w:rsidP="00E17248">
      <w:bookmarkStart w:id="51" w:name="_Hlk179462855"/>
      <w:r w:rsidRPr="00C64F9F">
        <w:rPr>
          <w:b/>
          <w:i/>
        </w:rPr>
        <w:t>Example</w:t>
      </w:r>
      <w:r w:rsidRPr="0025670E">
        <w:t xml:space="preserve">:  </w:t>
      </w:r>
      <w:bookmarkEnd w:id="51"/>
      <w:r w:rsidRPr="0025670E">
        <w:t xml:space="preserve">Completing discharge summaries or other forms for recording the individual’s removal from the service delivery system. Sometimes this is done </w:t>
      </w:r>
      <w:proofErr w:type="gramStart"/>
      <w:r w:rsidRPr="0025670E">
        <w:t>as a result of</w:t>
      </w:r>
      <w:proofErr w:type="gramEnd"/>
      <w:r w:rsidRPr="0025670E">
        <w:t xml:space="preserve"> the individual’s death. Although case closure services provided after the date of death should be logged, the </w:t>
      </w:r>
      <w:r w:rsidR="00EE4091">
        <w:t>SC</w:t>
      </w:r>
      <w:r w:rsidRPr="0025670E">
        <w:t xml:space="preserve"> should prevent the service </w:t>
      </w:r>
      <w:r>
        <w:t xml:space="preserve">from </w:t>
      </w:r>
      <w:r w:rsidRPr="0025670E">
        <w:t xml:space="preserve">being billed to </w:t>
      </w:r>
      <w:r w:rsidR="00720143">
        <w:t>MHD</w:t>
      </w:r>
      <w:r w:rsidRPr="0025670E">
        <w:t xml:space="preserve"> by logging with a non-billable code.</w:t>
      </w:r>
    </w:p>
    <w:p w14:paraId="7CC505FA" w14:textId="77777777" w:rsidR="00364A74" w:rsidRDefault="00AF24A3" w:rsidP="00E17248">
      <w:r>
        <w:t>Case Closures should be d</w:t>
      </w:r>
      <w:r w:rsidR="00364A74" w:rsidRPr="0025670E">
        <w:t>ocument</w:t>
      </w:r>
      <w:r>
        <w:t>ed with a</w:t>
      </w:r>
      <w:r w:rsidR="00364A74" w:rsidRPr="0025670E">
        <w:t xml:space="preserve"> case note, a discharge summary, etc., in the individual’s file.</w:t>
      </w:r>
      <w:r w:rsidR="00EE4091">
        <w:t xml:space="preserve"> Refer to </w:t>
      </w:r>
      <w:hyperlink w:anchor="_Section_7:_" w:history="1">
        <w:r w:rsidR="00EE4091" w:rsidRPr="006F5D71">
          <w:rPr>
            <w:rStyle w:val="Hyperlink"/>
          </w:rPr>
          <w:t>Section 7</w:t>
        </w:r>
      </w:hyperlink>
      <w:r w:rsidR="00EE4091">
        <w:t xml:space="preserve"> in this manual for more information on case notes.</w:t>
      </w:r>
    </w:p>
    <w:p w14:paraId="2D8347F3" w14:textId="77777777" w:rsidR="00364A74" w:rsidRPr="00567482" w:rsidRDefault="00364A74" w:rsidP="0091582E">
      <w:pPr>
        <w:pStyle w:val="Heading2"/>
        <w:rPr>
          <w:rFonts w:eastAsia="Times New Roman"/>
        </w:rPr>
      </w:pPr>
      <w:bookmarkStart w:id="52" w:name="_Toc521916592"/>
      <w:bookmarkStart w:id="53" w:name="_Toc226444449"/>
      <w:r w:rsidRPr="00567482">
        <w:lastRenderedPageBreak/>
        <w:t>Section 4</w:t>
      </w:r>
      <w:r w:rsidR="00703DFB" w:rsidRPr="00567482">
        <w:t xml:space="preserve">:  </w:t>
      </w:r>
      <w:r w:rsidRPr="00567482">
        <w:rPr>
          <w:rFonts w:eastAsia="Times New Roman"/>
        </w:rPr>
        <w:t>Administration</w:t>
      </w:r>
      <w:bookmarkEnd w:id="52"/>
      <w:bookmarkEnd w:id="53"/>
    </w:p>
    <w:p w14:paraId="206C0022" w14:textId="77777777" w:rsidR="00364A74" w:rsidRPr="00567482" w:rsidRDefault="00A10E5E" w:rsidP="0091582E">
      <w:pPr>
        <w:pStyle w:val="Heading3"/>
      </w:pPr>
      <w:bookmarkStart w:id="54" w:name="_Toc521916593"/>
      <w:bookmarkStart w:id="55" w:name="_Toc226444450"/>
      <w:r w:rsidRPr="00567482">
        <w:t xml:space="preserve">4.1 </w:t>
      </w:r>
      <w:r w:rsidR="00364A74" w:rsidRPr="00567482">
        <w:t>System Edits Prior to Billing</w:t>
      </w:r>
      <w:bookmarkEnd w:id="54"/>
      <w:bookmarkEnd w:id="55"/>
    </w:p>
    <w:p w14:paraId="6A4DDD6F" w14:textId="77777777" w:rsidR="00364A74" w:rsidRPr="008B63D6" w:rsidRDefault="00364A74" w:rsidP="00E17248">
      <w:r w:rsidRPr="008B63D6">
        <w:t xml:space="preserve">On a semi-monthly basis, staff in </w:t>
      </w:r>
      <w:r>
        <w:t xml:space="preserve">the </w:t>
      </w:r>
      <w:r w:rsidRPr="008B63D6">
        <w:t>D</w:t>
      </w:r>
      <w:r>
        <w:t xml:space="preserve">epartment of </w:t>
      </w:r>
      <w:r w:rsidRPr="008B63D6">
        <w:t>M</w:t>
      </w:r>
      <w:r>
        <w:t xml:space="preserve">ental </w:t>
      </w:r>
      <w:r w:rsidRPr="008B63D6">
        <w:t>H</w:t>
      </w:r>
      <w:r>
        <w:t>ealth (DMH)</w:t>
      </w:r>
      <w:r w:rsidRPr="008B63D6">
        <w:t xml:space="preserve"> Information Technology Services Division (ITSD) process pending </w:t>
      </w:r>
      <w:r w:rsidR="00AF24A3">
        <w:t>MO HealthNet Division (</w:t>
      </w:r>
      <w:r w:rsidR="00720143">
        <w:t>MHD</w:t>
      </w:r>
      <w:r w:rsidR="00AF24A3">
        <w:t>)</w:t>
      </w:r>
      <w:r w:rsidR="00720143">
        <w:t xml:space="preserve"> </w:t>
      </w:r>
      <w:r w:rsidRPr="008B63D6">
        <w:t xml:space="preserve">claims in the DMH </w:t>
      </w:r>
      <w:r w:rsidR="00AF24A3">
        <w:t>Customer Information Management</w:t>
      </w:r>
      <w:r w:rsidR="004007BD">
        <w:t>,</w:t>
      </w:r>
      <w:r w:rsidR="00AF24A3">
        <w:t xml:space="preserve"> Outcomes </w:t>
      </w:r>
      <w:r w:rsidR="004007BD">
        <w:t>&amp;</w:t>
      </w:r>
      <w:r w:rsidR="00AF24A3">
        <w:t xml:space="preserve"> Reporting</w:t>
      </w:r>
      <w:r w:rsidR="00AF24A3" w:rsidRPr="008B63D6">
        <w:t xml:space="preserve"> </w:t>
      </w:r>
      <w:r w:rsidR="00AF24A3">
        <w:t>(</w:t>
      </w:r>
      <w:r w:rsidRPr="008B63D6">
        <w:t>CIMOR</w:t>
      </w:r>
      <w:r w:rsidR="00AF24A3">
        <w:t>)</w:t>
      </w:r>
      <w:r w:rsidRPr="008B63D6">
        <w:t xml:space="preserve"> </w:t>
      </w:r>
      <w:r w:rsidR="00AF24A3">
        <w:t>S</w:t>
      </w:r>
      <w:r w:rsidRPr="008B63D6">
        <w:t xml:space="preserve">ystem and submit claims electronically to </w:t>
      </w:r>
      <w:r w:rsidR="00720143">
        <w:t>MHD</w:t>
      </w:r>
      <w:r w:rsidRPr="008B63D6">
        <w:t xml:space="preserve">. The program bills service data that has been entered </w:t>
      </w:r>
      <w:r w:rsidR="004007BD">
        <w:t>as an</w:t>
      </w:r>
      <w:r w:rsidRPr="008B63D6">
        <w:t xml:space="preserve"> </w:t>
      </w:r>
      <w:r w:rsidR="00720143">
        <w:t>MHD</w:t>
      </w:r>
      <w:r w:rsidRPr="008B63D6">
        <w:t xml:space="preserve"> claim since the last billing cycle. Services are not added to a </w:t>
      </w:r>
      <w:r w:rsidR="00720143">
        <w:t>MHD</w:t>
      </w:r>
      <w:r w:rsidRPr="008B63D6">
        <w:t xml:space="preserve"> claim until 30 days after the date of service. Logged data is edited for</w:t>
      </w:r>
      <w:r w:rsidR="00AF24A3">
        <w:t xml:space="preserve"> the following</w:t>
      </w:r>
      <w:r w:rsidRPr="008B63D6">
        <w:t>:</w:t>
      </w:r>
    </w:p>
    <w:p w14:paraId="4834D74C" w14:textId="77777777" w:rsidR="00364A74" w:rsidRPr="008B63D6" w:rsidRDefault="00364A74" w:rsidP="003C5C9B">
      <w:pPr>
        <w:pStyle w:val="BulletList1"/>
      </w:pPr>
      <w:r w:rsidRPr="008B63D6">
        <w:t>Billable service code</w:t>
      </w:r>
    </w:p>
    <w:p w14:paraId="2E344EA2" w14:textId="77777777" w:rsidR="00364A74" w:rsidRPr="008B63D6" w:rsidRDefault="00364A74" w:rsidP="003C5C9B">
      <w:pPr>
        <w:pStyle w:val="BulletList1"/>
      </w:pPr>
      <w:r w:rsidRPr="008B63D6">
        <w:t>Individual is MO HealthNet eligible</w:t>
      </w:r>
    </w:p>
    <w:p w14:paraId="27B97665" w14:textId="77777777" w:rsidR="00364A74" w:rsidRPr="008B63D6" w:rsidRDefault="00364A74" w:rsidP="003C5C9B">
      <w:pPr>
        <w:pStyle w:val="BulletList1"/>
      </w:pPr>
      <w:r w:rsidRPr="008B63D6">
        <w:t>Service location</w:t>
      </w:r>
    </w:p>
    <w:p w14:paraId="10FFB67E" w14:textId="77777777" w:rsidR="00364A74" w:rsidRPr="008B63D6" w:rsidRDefault="00364A74" w:rsidP="003C5C9B">
      <w:pPr>
        <w:pStyle w:val="BulletList1"/>
      </w:pPr>
      <w:r w:rsidRPr="008B63D6">
        <w:t xml:space="preserve">Individual is not in a nursing home or </w:t>
      </w:r>
      <w:r w:rsidR="00AF24A3">
        <w:t>Intermediate Care Facility for Individuals with Intellectual Disability (</w:t>
      </w:r>
      <w:r w:rsidRPr="008B63D6">
        <w:t>ICF/I</w:t>
      </w:r>
      <w:r w:rsidR="004007BD">
        <w:t>I</w:t>
      </w:r>
      <w:r w:rsidRPr="008B63D6">
        <w:t>D</w:t>
      </w:r>
      <w:r w:rsidR="00AF24A3">
        <w:t>)</w:t>
      </w:r>
      <w:r w:rsidRPr="008B63D6">
        <w:t xml:space="preserve"> level of care</w:t>
      </w:r>
    </w:p>
    <w:p w14:paraId="3D08C349" w14:textId="77777777" w:rsidR="0000135D" w:rsidRDefault="00364A74" w:rsidP="003C5C9B">
      <w:r w:rsidRPr="008B63D6">
        <w:t>The</w:t>
      </w:r>
      <w:r w:rsidR="00AF24A3">
        <w:t xml:space="preserve"> following</w:t>
      </w:r>
      <w:r w:rsidRPr="008B63D6">
        <w:t xml:space="preserve"> internal </w:t>
      </w:r>
      <w:r w:rsidR="00AF24A3">
        <w:t>Developmental Disabilities (</w:t>
      </w:r>
      <w:r w:rsidRPr="008B63D6">
        <w:t>DD</w:t>
      </w:r>
      <w:r w:rsidR="00AF24A3">
        <w:t>)</w:t>
      </w:r>
      <w:r w:rsidRPr="008B63D6">
        <w:t xml:space="preserve"> codes will not be billed to </w:t>
      </w:r>
      <w:r w:rsidR="00720143">
        <w:t>MHD</w:t>
      </w:r>
      <w:r w:rsidRPr="008B63D6">
        <w:t xml:space="preserve"> </w:t>
      </w:r>
      <w:r w:rsidR="00AF24A3">
        <w:t xml:space="preserve">as they are </w:t>
      </w:r>
      <w:r w:rsidR="00663596">
        <w:t>r</w:t>
      </w:r>
      <w:r w:rsidRPr="008B63D6">
        <w:t xml:space="preserve">egional </w:t>
      </w:r>
      <w:r w:rsidR="00663596">
        <w:t>o</w:t>
      </w:r>
      <w:r w:rsidRPr="008B63D6">
        <w:t>ffice non-billable codes</w:t>
      </w:r>
      <w:r w:rsidR="00EC022D">
        <w:t>.</w:t>
      </w:r>
    </w:p>
    <w:tbl>
      <w:tblPr>
        <w:tblpPr w:leftFromText="180" w:rightFromText="180" w:vertAnchor="text" w:tblpY="1"/>
        <w:tblOverlap w:val="neve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0"/>
        <w:gridCol w:w="4140"/>
        <w:gridCol w:w="1260"/>
        <w:gridCol w:w="3420"/>
      </w:tblGrid>
      <w:tr w:rsidR="00AF24A3" w:rsidRPr="009A21EF" w14:paraId="5D08D53B" w14:textId="77777777" w:rsidTr="004C1EC6">
        <w:trPr>
          <w:cantSplit/>
          <w:trHeight w:val="576"/>
        </w:trPr>
        <w:tc>
          <w:tcPr>
            <w:tcW w:w="1260" w:type="dxa"/>
            <w:shd w:val="clear" w:color="auto" w:fill="163E64"/>
            <w:noWrap/>
            <w:vAlign w:val="center"/>
            <w:hideMark/>
          </w:tcPr>
          <w:p w14:paraId="14389440" w14:textId="77777777" w:rsidR="00AF24A3" w:rsidRPr="009A21EF" w:rsidRDefault="00AF24A3" w:rsidP="003C5C9B">
            <w:pPr>
              <w:pStyle w:val="TextNormalTableHeader"/>
            </w:pPr>
            <w:r w:rsidRPr="009A21EF">
              <w:t>Service Code</w:t>
            </w:r>
          </w:p>
        </w:tc>
        <w:tc>
          <w:tcPr>
            <w:tcW w:w="4140" w:type="dxa"/>
            <w:shd w:val="clear" w:color="auto" w:fill="163E64"/>
            <w:noWrap/>
            <w:vAlign w:val="center"/>
            <w:hideMark/>
          </w:tcPr>
          <w:p w14:paraId="599C0EB9" w14:textId="77777777" w:rsidR="00AF24A3" w:rsidRPr="009A21EF" w:rsidRDefault="00AF24A3" w:rsidP="003C5C9B">
            <w:pPr>
              <w:pStyle w:val="TextNormalTableHeader"/>
            </w:pPr>
            <w:r w:rsidRPr="009A21EF">
              <w:t>Description</w:t>
            </w:r>
          </w:p>
        </w:tc>
        <w:tc>
          <w:tcPr>
            <w:tcW w:w="1260" w:type="dxa"/>
            <w:shd w:val="clear" w:color="auto" w:fill="163E64"/>
            <w:vAlign w:val="center"/>
          </w:tcPr>
          <w:p w14:paraId="52EDC73E" w14:textId="77777777" w:rsidR="00AF24A3" w:rsidRPr="009A21EF" w:rsidRDefault="00AF24A3" w:rsidP="003C5C9B">
            <w:pPr>
              <w:pStyle w:val="TextNormalTableHeader"/>
            </w:pPr>
            <w:r w:rsidRPr="009A21EF">
              <w:t>Service Code</w:t>
            </w:r>
          </w:p>
        </w:tc>
        <w:tc>
          <w:tcPr>
            <w:tcW w:w="3420" w:type="dxa"/>
            <w:shd w:val="clear" w:color="auto" w:fill="163E64"/>
            <w:vAlign w:val="center"/>
          </w:tcPr>
          <w:p w14:paraId="07016EEB" w14:textId="77777777" w:rsidR="00AF24A3" w:rsidRPr="009A21EF" w:rsidRDefault="00AF24A3" w:rsidP="003C5C9B">
            <w:pPr>
              <w:pStyle w:val="TextNormalTableHeader"/>
            </w:pPr>
            <w:r w:rsidRPr="009A21EF">
              <w:t>Description</w:t>
            </w:r>
          </w:p>
        </w:tc>
      </w:tr>
      <w:tr w:rsidR="00AF24A3" w:rsidRPr="009A21EF" w14:paraId="1A46F767" w14:textId="77777777" w:rsidTr="004C1EC6">
        <w:trPr>
          <w:cantSplit/>
          <w:trHeight w:val="576"/>
        </w:trPr>
        <w:tc>
          <w:tcPr>
            <w:tcW w:w="1260" w:type="dxa"/>
            <w:shd w:val="clear" w:color="F8CBAD" w:fill="F8CBAD"/>
            <w:noWrap/>
            <w:vAlign w:val="center"/>
            <w:hideMark/>
          </w:tcPr>
          <w:p w14:paraId="36E92A8D" w14:textId="77777777" w:rsidR="00AF24A3" w:rsidRPr="009A21EF" w:rsidRDefault="00AF24A3" w:rsidP="003C5C9B">
            <w:pPr>
              <w:pStyle w:val="TextNormalTableBody"/>
            </w:pPr>
            <w:r w:rsidRPr="009A21EF">
              <w:t>111111</w:t>
            </w:r>
          </w:p>
        </w:tc>
        <w:tc>
          <w:tcPr>
            <w:tcW w:w="4140" w:type="dxa"/>
            <w:shd w:val="clear" w:color="F8CBAD" w:fill="F8CBAD"/>
            <w:noWrap/>
            <w:vAlign w:val="center"/>
            <w:hideMark/>
          </w:tcPr>
          <w:p w14:paraId="2A122F34" w14:textId="77777777" w:rsidR="00AF24A3" w:rsidRPr="003C5C9B" w:rsidRDefault="00AF24A3" w:rsidP="003C5C9B">
            <w:pPr>
              <w:pStyle w:val="TextNormalTableBody2"/>
              <w:rPr>
                <w:lang w:val="fr-FR"/>
              </w:rPr>
            </w:pPr>
            <w:r w:rsidRPr="003C5C9B">
              <w:rPr>
                <w:lang w:val="fr-FR"/>
              </w:rPr>
              <w:t>Non-</w:t>
            </w:r>
            <w:proofErr w:type="spellStart"/>
            <w:r w:rsidRPr="003C5C9B">
              <w:rPr>
                <w:lang w:val="fr-FR"/>
              </w:rPr>
              <w:t>Billable</w:t>
            </w:r>
            <w:proofErr w:type="spellEnd"/>
            <w:r w:rsidRPr="003C5C9B">
              <w:rPr>
                <w:lang w:val="fr-FR"/>
              </w:rPr>
              <w:t xml:space="preserve"> Case Management Services</w:t>
            </w:r>
          </w:p>
        </w:tc>
        <w:tc>
          <w:tcPr>
            <w:tcW w:w="1260" w:type="dxa"/>
            <w:shd w:val="clear" w:color="F8CBAD" w:fill="F8CBAD"/>
            <w:vAlign w:val="center"/>
          </w:tcPr>
          <w:p w14:paraId="16A9986A" w14:textId="77777777" w:rsidR="00AF24A3" w:rsidRPr="009A21EF" w:rsidRDefault="00AF24A3" w:rsidP="003C5C9B">
            <w:pPr>
              <w:pStyle w:val="TextNormalTableBody"/>
            </w:pPr>
            <w:r w:rsidRPr="009A21EF">
              <w:t>960001</w:t>
            </w:r>
          </w:p>
        </w:tc>
        <w:tc>
          <w:tcPr>
            <w:tcW w:w="3420" w:type="dxa"/>
            <w:shd w:val="clear" w:color="F8CBAD" w:fill="F8CBAD"/>
            <w:vAlign w:val="center"/>
          </w:tcPr>
          <w:p w14:paraId="0348C8AB" w14:textId="77777777" w:rsidR="00AF24A3" w:rsidRPr="009A21EF" w:rsidRDefault="00AF24A3" w:rsidP="003C5C9B">
            <w:pPr>
              <w:pStyle w:val="TextNormalTableBody2"/>
            </w:pPr>
            <w:r w:rsidRPr="009A21EF">
              <w:t>Clinical Services Supports</w:t>
            </w:r>
          </w:p>
        </w:tc>
      </w:tr>
      <w:tr w:rsidR="00AF24A3" w:rsidRPr="009A21EF" w14:paraId="4AFDA902" w14:textId="77777777" w:rsidTr="004C1EC6">
        <w:trPr>
          <w:cantSplit/>
          <w:trHeight w:val="576"/>
        </w:trPr>
        <w:tc>
          <w:tcPr>
            <w:tcW w:w="1260" w:type="dxa"/>
            <w:shd w:val="clear" w:color="FCE4D6" w:fill="FCE4D6"/>
            <w:noWrap/>
            <w:vAlign w:val="center"/>
            <w:hideMark/>
          </w:tcPr>
          <w:p w14:paraId="2F8DF580" w14:textId="77777777" w:rsidR="00AF24A3" w:rsidRPr="009A21EF" w:rsidRDefault="00AF24A3" w:rsidP="003C5C9B">
            <w:pPr>
              <w:pStyle w:val="TextNormalTableBody"/>
            </w:pPr>
            <w:r w:rsidRPr="009A21EF">
              <w:t>000050</w:t>
            </w:r>
          </w:p>
        </w:tc>
        <w:tc>
          <w:tcPr>
            <w:tcW w:w="4140" w:type="dxa"/>
            <w:shd w:val="clear" w:color="FCE4D6" w:fill="FCE4D6"/>
            <w:noWrap/>
            <w:vAlign w:val="center"/>
            <w:hideMark/>
          </w:tcPr>
          <w:p w14:paraId="740FFA20" w14:textId="77777777" w:rsidR="00AF24A3" w:rsidRPr="009A21EF" w:rsidRDefault="00AF24A3" w:rsidP="003C5C9B">
            <w:pPr>
              <w:pStyle w:val="TextNormalTableBody2"/>
            </w:pPr>
            <w:r w:rsidRPr="009A21EF">
              <w:t>Quality Improvement</w:t>
            </w:r>
          </w:p>
        </w:tc>
        <w:tc>
          <w:tcPr>
            <w:tcW w:w="1260" w:type="dxa"/>
            <w:shd w:val="clear" w:color="FCE4D6" w:fill="FCE4D6"/>
            <w:vAlign w:val="center"/>
          </w:tcPr>
          <w:p w14:paraId="23FB9A88" w14:textId="77777777" w:rsidR="00AF24A3" w:rsidRPr="009A21EF" w:rsidRDefault="00AF24A3" w:rsidP="003C5C9B">
            <w:pPr>
              <w:pStyle w:val="TextNormalTableBody"/>
            </w:pPr>
            <w:r w:rsidRPr="009A21EF">
              <w:t>960003</w:t>
            </w:r>
          </w:p>
        </w:tc>
        <w:tc>
          <w:tcPr>
            <w:tcW w:w="3420" w:type="dxa"/>
            <w:shd w:val="clear" w:color="FCE4D6" w:fill="FCE4D6"/>
            <w:vAlign w:val="center"/>
          </w:tcPr>
          <w:p w14:paraId="06642575" w14:textId="77777777" w:rsidR="00AF24A3" w:rsidRPr="009A21EF" w:rsidRDefault="00AF24A3" w:rsidP="003C5C9B">
            <w:pPr>
              <w:pStyle w:val="TextNormalTableBody2"/>
            </w:pPr>
            <w:r w:rsidRPr="009A21EF">
              <w:t>Personal Plan Mentoring</w:t>
            </w:r>
          </w:p>
        </w:tc>
      </w:tr>
      <w:tr w:rsidR="00AF24A3" w:rsidRPr="009A21EF" w14:paraId="67D37A80" w14:textId="77777777" w:rsidTr="004C1EC6">
        <w:trPr>
          <w:cantSplit/>
          <w:trHeight w:val="576"/>
        </w:trPr>
        <w:tc>
          <w:tcPr>
            <w:tcW w:w="1260" w:type="dxa"/>
            <w:shd w:val="clear" w:color="auto" w:fill="FBD4B4" w:themeFill="accent6" w:themeFillTint="66"/>
            <w:noWrap/>
            <w:vAlign w:val="center"/>
            <w:hideMark/>
          </w:tcPr>
          <w:p w14:paraId="004991B7" w14:textId="77777777" w:rsidR="00AF24A3" w:rsidRPr="009A21EF" w:rsidRDefault="00AF24A3" w:rsidP="003C5C9B">
            <w:pPr>
              <w:pStyle w:val="TextNormalTableBody"/>
            </w:pPr>
            <w:r w:rsidRPr="009A21EF">
              <w:t>020001</w:t>
            </w:r>
          </w:p>
        </w:tc>
        <w:tc>
          <w:tcPr>
            <w:tcW w:w="4140" w:type="dxa"/>
            <w:shd w:val="clear" w:color="auto" w:fill="FBD4B4" w:themeFill="accent6" w:themeFillTint="66"/>
            <w:noWrap/>
            <w:vAlign w:val="center"/>
            <w:hideMark/>
          </w:tcPr>
          <w:p w14:paraId="2167C0BF" w14:textId="77777777" w:rsidR="00AF24A3" w:rsidRPr="009A21EF" w:rsidRDefault="00AF24A3" w:rsidP="003C5C9B">
            <w:pPr>
              <w:pStyle w:val="TextNormalTableBody2"/>
            </w:pPr>
            <w:r w:rsidRPr="009A21EF">
              <w:t>Intake/Screening Admission</w:t>
            </w:r>
          </w:p>
        </w:tc>
        <w:tc>
          <w:tcPr>
            <w:tcW w:w="1260" w:type="dxa"/>
            <w:shd w:val="clear" w:color="auto" w:fill="FBD4B4" w:themeFill="accent6" w:themeFillTint="66"/>
            <w:vAlign w:val="center"/>
          </w:tcPr>
          <w:p w14:paraId="245A19C2" w14:textId="77777777" w:rsidR="00AF24A3" w:rsidRPr="009A21EF" w:rsidRDefault="00AF24A3" w:rsidP="003C5C9B">
            <w:pPr>
              <w:pStyle w:val="TextNormalTableBody"/>
            </w:pPr>
            <w:r w:rsidRPr="009A21EF">
              <w:t>120001</w:t>
            </w:r>
          </w:p>
        </w:tc>
        <w:tc>
          <w:tcPr>
            <w:tcW w:w="3420" w:type="dxa"/>
            <w:shd w:val="clear" w:color="auto" w:fill="FBD4B4" w:themeFill="accent6" w:themeFillTint="66"/>
            <w:vAlign w:val="center"/>
          </w:tcPr>
          <w:p w14:paraId="2F9AFC72" w14:textId="77777777" w:rsidR="00AF24A3" w:rsidRPr="009A21EF" w:rsidRDefault="00AF24A3" w:rsidP="003C5C9B">
            <w:pPr>
              <w:pStyle w:val="TextNormalTableBody2"/>
            </w:pPr>
            <w:r w:rsidRPr="009A21EF">
              <w:t>Psychosocial Evaluation</w:t>
            </w:r>
          </w:p>
        </w:tc>
      </w:tr>
      <w:tr w:rsidR="00AF24A3" w:rsidRPr="009A21EF" w14:paraId="3DD82F1E" w14:textId="77777777" w:rsidTr="004C1EC6">
        <w:trPr>
          <w:cantSplit/>
          <w:trHeight w:val="576"/>
        </w:trPr>
        <w:tc>
          <w:tcPr>
            <w:tcW w:w="1260" w:type="dxa"/>
            <w:shd w:val="clear" w:color="auto" w:fill="FDE9D9" w:themeFill="accent6" w:themeFillTint="33"/>
            <w:noWrap/>
            <w:vAlign w:val="center"/>
            <w:hideMark/>
          </w:tcPr>
          <w:p w14:paraId="370F7F94" w14:textId="77777777" w:rsidR="00AF24A3" w:rsidRPr="009A21EF" w:rsidRDefault="00AF24A3" w:rsidP="003C5C9B">
            <w:pPr>
              <w:pStyle w:val="TextNormalTableBody"/>
            </w:pPr>
            <w:r w:rsidRPr="009A21EF">
              <w:t>395001</w:t>
            </w:r>
          </w:p>
        </w:tc>
        <w:tc>
          <w:tcPr>
            <w:tcW w:w="4140" w:type="dxa"/>
            <w:shd w:val="clear" w:color="auto" w:fill="FDE9D9" w:themeFill="accent6" w:themeFillTint="33"/>
            <w:noWrap/>
            <w:vAlign w:val="center"/>
            <w:hideMark/>
          </w:tcPr>
          <w:p w14:paraId="689E2D00" w14:textId="77777777" w:rsidR="00AF24A3" w:rsidRPr="009A21EF" w:rsidRDefault="00AF24A3" w:rsidP="003C5C9B">
            <w:pPr>
              <w:pStyle w:val="TextNormalTableBody2"/>
            </w:pPr>
            <w:r w:rsidRPr="009A21EF">
              <w:t>Consumer Advocacy</w:t>
            </w:r>
          </w:p>
        </w:tc>
        <w:tc>
          <w:tcPr>
            <w:tcW w:w="1260" w:type="dxa"/>
            <w:shd w:val="clear" w:color="auto" w:fill="FDE9D9" w:themeFill="accent6" w:themeFillTint="33"/>
            <w:vAlign w:val="center"/>
          </w:tcPr>
          <w:p w14:paraId="173149D8" w14:textId="77777777" w:rsidR="00AF24A3" w:rsidRPr="009A21EF" w:rsidRDefault="00AF24A3" w:rsidP="003C5C9B">
            <w:pPr>
              <w:pStyle w:val="TextNormalTableBody"/>
            </w:pPr>
            <w:r w:rsidRPr="009A21EF">
              <w:t>9</w:t>
            </w:r>
            <w:r w:rsidR="00603DEF">
              <w:t>7</w:t>
            </w:r>
            <w:r w:rsidRPr="009A21EF">
              <w:t>0001</w:t>
            </w:r>
          </w:p>
        </w:tc>
        <w:tc>
          <w:tcPr>
            <w:tcW w:w="3420" w:type="dxa"/>
            <w:shd w:val="clear" w:color="auto" w:fill="FDE9D9" w:themeFill="accent6" w:themeFillTint="33"/>
            <w:vAlign w:val="center"/>
          </w:tcPr>
          <w:p w14:paraId="58EAAC13" w14:textId="77777777" w:rsidR="00AF24A3" w:rsidRPr="009A21EF" w:rsidRDefault="00603DEF" w:rsidP="003C5C9B">
            <w:pPr>
              <w:pStyle w:val="TextNormalTableBody2"/>
            </w:pPr>
            <w:r>
              <w:t>Staff Development</w:t>
            </w:r>
          </w:p>
        </w:tc>
      </w:tr>
      <w:tr w:rsidR="00094497" w:rsidRPr="009A21EF" w14:paraId="3CB61908" w14:textId="77777777" w:rsidTr="004C1EC6">
        <w:trPr>
          <w:cantSplit/>
          <w:trHeight w:val="576"/>
        </w:trPr>
        <w:tc>
          <w:tcPr>
            <w:tcW w:w="1260" w:type="dxa"/>
            <w:shd w:val="clear" w:color="auto" w:fill="FBD4B4" w:themeFill="accent6" w:themeFillTint="66"/>
            <w:noWrap/>
            <w:vAlign w:val="center"/>
            <w:hideMark/>
          </w:tcPr>
          <w:p w14:paraId="3326DB45" w14:textId="2F2BD576" w:rsidR="00094497" w:rsidRPr="009A21EF" w:rsidRDefault="00094497" w:rsidP="00094497">
            <w:pPr>
              <w:pStyle w:val="TextNormalTableBody"/>
            </w:pPr>
            <w:r w:rsidRPr="009A21EF">
              <w:t>900001</w:t>
            </w:r>
          </w:p>
        </w:tc>
        <w:tc>
          <w:tcPr>
            <w:tcW w:w="4140" w:type="dxa"/>
            <w:shd w:val="clear" w:color="auto" w:fill="FBD4B4" w:themeFill="accent6" w:themeFillTint="66"/>
            <w:noWrap/>
            <w:vAlign w:val="center"/>
            <w:hideMark/>
          </w:tcPr>
          <w:p w14:paraId="74B6A77A" w14:textId="4740590C" w:rsidR="00094497" w:rsidRPr="009A21EF" w:rsidRDefault="00094497" w:rsidP="00094497">
            <w:pPr>
              <w:pStyle w:val="TextNormalTableBody2"/>
            </w:pPr>
            <w:r w:rsidRPr="009A21EF">
              <w:t>Other Community Indirect Services</w:t>
            </w:r>
          </w:p>
        </w:tc>
        <w:tc>
          <w:tcPr>
            <w:tcW w:w="1260" w:type="dxa"/>
            <w:shd w:val="clear" w:color="auto" w:fill="FBD4B4" w:themeFill="accent6" w:themeFillTint="66"/>
            <w:vAlign w:val="center"/>
          </w:tcPr>
          <w:p w14:paraId="1E43E31E" w14:textId="6AFB60C6" w:rsidR="00094497" w:rsidRPr="009A21EF" w:rsidRDefault="00094497" w:rsidP="00094497">
            <w:pPr>
              <w:pStyle w:val="TextNormalTableBody"/>
            </w:pPr>
          </w:p>
        </w:tc>
        <w:tc>
          <w:tcPr>
            <w:tcW w:w="3420" w:type="dxa"/>
            <w:shd w:val="clear" w:color="auto" w:fill="FBD4B4" w:themeFill="accent6" w:themeFillTint="66"/>
            <w:vAlign w:val="center"/>
          </w:tcPr>
          <w:p w14:paraId="2D6CA9AD" w14:textId="48BE20A6" w:rsidR="00094497" w:rsidRPr="009A21EF" w:rsidRDefault="00094497" w:rsidP="00094497">
            <w:pPr>
              <w:pStyle w:val="TextNormalTableBody2"/>
            </w:pPr>
          </w:p>
        </w:tc>
      </w:tr>
    </w:tbl>
    <w:p w14:paraId="7407B992" w14:textId="77777777" w:rsidR="00364A74" w:rsidRPr="003C5C9B" w:rsidRDefault="00364A74" w:rsidP="0091582E">
      <w:pPr>
        <w:pStyle w:val="Heading2"/>
        <w:rPr>
          <w:rFonts w:eastAsia="Times New Roman"/>
          <w:lang w:val="fr-FR"/>
        </w:rPr>
      </w:pPr>
      <w:bookmarkStart w:id="56" w:name="_Toc521916553"/>
      <w:bookmarkStart w:id="57" w:name="_Toc226444451"/>
      <w:r w:rsidRPr="003C5C9B">
        <w:rPr>
          <w:rFonts w:eastAsia="Times New Roman"/>
          <w:lang w:val="fr-FR"/>
        </w:rPr>
        <w:t xml:space="preserve">Section </w:t>
      </w:r>
      <w:proofErr w:type="gramStart"/>
      <w:r w:rsidRPr="003C5C9B">
        <w:rPr>
          <w:rFonts w:eastAsia="Times New Roman"/>
          <w:lang w:val="fr-FR"/>
        </w:rPr>
        <w:t>5</w:t>
      </w:r>
      <w:r w:rsidR="00703DFB" w:rsidRPr="003C5C9B">
        <w:rPr>
          <w:rFonts w:eastAsia="Times New Roman"/>
          <w:lang w:val="fr-FR"/>
        </w:rPr>
        <w:t>:</w:t>
      </w:r>
      <w:proofErr w:type="gramEnd"/>
      <w:r w:rsidR="00703DFB" w:rsidRPr="003C5C9B">
        <w:rPr>
          <w:rFonts w:eastAsia="Times New Roman"/>
          <w:lang w:val="fr-FR"/>
        </w:rPr>
        <w:t xml:space="preserve">  </w:t>
      </w:r>
      <w:r w:rsidRPr="003C5C9B">
        <w:rPr>
          <w:rFonts w:eastAsia="Times New Roman"/>
          <w:lang w:val="fr-FR"/>
        </w:rPr>
        <w:t>Service Limitations and Non-</w:t>
      </w:r>
      <w:proofErr w:type="spellStart"/>
      <w:r w:rsidRPr="003C5C9B">
        <w:rPr>
          <w:rFonts w:eastAsia="Times New Roman"/>
          <w:lang w:val="fr-FR"/>
        </w:rPr>
        <w:t>Billable</w:t>
      </w:r>
      <w:proofErr w:type="spellEnd"/>
      <w:r w:rsidRPr="003C5C9B">
        <w:rPr>
          <w:rFonts w:eastAsia="Times New Roman"/>
          <w:lang w:val="fr-FR"/>
        </w:rPr>
        <w:t xml:space="preserve"> </w:t>
      </w:r>
      <w:proofErr w:type="spellStart"/>
      <w:r w:rsidRPr="003C5C9B">
        <w:rPr>
          <w:rFonts w:eastAsia="Times New Roman"/>
          <w:lang w:val="fr-FR"/>
        </w:rPr>
        <w:t>Activities</w:t>
      </w:r>
      <w:bookmarkEnd w:id="56"/>
      <w:bookmarkEnd w:id="57"/>
      <w:proofErr w:type="spellEnd"/>
    </w:p>
    <w:p w14:paraId="6767059B" w14:textId="77777777" w:rsidR="00634877" w:rsidRPr="003C5C9B" w:rsidRDefault="00634877" w:rsidP="0091582E">
      <w:pPr>
        <w:pStyle w:val="Heading3"/>
        <w:rPr>
          <w:lang w:val="fr-FR"/>
        </w:rPr>
      </w:pPr>
      <w:bookmarkStart w:id="58" w:name="_Toc226444452"/>
      <w:r w:rsidRPr="003C5C9B">
        <w:rPr>
          <w:lang w:val="fr-FR"/>
        </w:rPr>
        <w:t>5.1 Service Limitations</w:t>
      </w:r>
      <w:bookmarkEnd w:id="58"/>
    </w:p>
    <w:p w14:paraId="764EF6FA" w14:textId="77777777" w:rsidR="00364A74" w:rsidRPr="00B84AF1" w:rsidRDefault="00364A74" w:rsidP="00E17248">
      <w:pPr>
        <w:rPr>
          <w:color w:val="215868" w:themeColor="accent5" w:themeShade="80"/>
        </w:rPr>
      </w:pPr>
      <w:r w:rsidRPr="00B84AF1">
        <w:t xml:space="preserve">Missouri State Plan for </w:t>
      </w:r>
      <w:r w:rsidR="00AF24A3">
        <w:t>Developmental Disabilities (</w:t>
      </w:r>
      <w:r w:rsidRPr="00B84AF1">
        <w:t>DD</w:t>
      </w:r>
      <w:r w:rsidR="00AF24A3">
        <w:t>)</w:t>
      </w:r>
      <w:r w:rsidRPr="00B84AF1">
        <w:t xml:space="preserve"> </w:t>
      </w:r>
      <w:r w:rsidR="0000135D">
        <w:t>c</w:t>
      </w:r>
      <w:r w:rsidR="0000135D" w:rsidRPr="00B84AF1">
        <w:t xml:space="preserve">ase </w:t>
      </w:r>
      <w:r w:rsidR="0000135D">
        <w:t>m</w:t>
      </w:r>
      <w:r w:rsidR="0000135D" w:rsidRPr="00B84AF1">
        <w:t xml:space="preserve">anagement </w:t>
      </w:r>
      <w:r w:rsidRPr="00B84AF1">
        <w:t>does not include the following:</w:t>
      </w:r>
    </w:p>
    <w:p w14:paraId="4E65D5B2" w14:textId="77777777" w:rsidR="00364A74" w:rsidRPr="00CF787C" w:rsidRDefault="00364A74" w:rsidP="003C5C9B">
      <w:pPr>
        <w:pStyle w:val="BulletList1"/>
      </w:pPr>
      <w:r w:rsidRPr="00CF787C">
        <w:lastRenderedPageBreak/>
        <w:t xml:space="preserve">Activities not consistent with the definition of case management services under </w:t>
      </w:r>
      <w:r w:rsidR="00AF24A3">
        <w:t>S</w:t>
      </w:r>
      <w:r w:rsidRPr="00CF787C">
        <w:t xml:space="preserve">ection </w:t>
      </w:r>
      <w:r w:rsidR="00D14270" w:rsidRPr="00CF787C">
        <w:t>6</w:t>
      </w:r>
      <w:r w:rsidR="00D14270">
        <w:t>05</w:t>
      </w:r>
      <w:r w:rsidR="00D14270" w:rsidRPr="00CF787C">
        <w:t>2</w:t>
      </w:r>
      <w:r w:rsidRPr="00CF787C">
        <w:t xml:space="preserve"> of the Deficit Reduction Act. The direct delivery of an underlying medical, education, social, or other service to which the eligible individual has been referred</w:t>
      </w:r>
      <w:r w:rsidR="00EC022D">
        <w:t>.</w:t>
      </w:r>
    </w:p>
    <w:p w14:paraId="33C3F7B0" w14:textId="77777777" w:rsidR="00364A74" w:rsidRPr="00CF787C" w:rsidRDefault="00364A74" w:rsidP="003C5C9B">
      <w:pPr>
        <w:pStyle w:val="BulletList1"/>
      </w:pPr>
      <w:r w:rsidRPr="00CF787C">
        <w:t>Activities integral to the administration of foster care programs</w:t>
      </w:r>
    </w:p>
    <w:p w14:paraId="0001F59B" w14:textId="77777777" w:rsidR="00364A74" w:rsidRPr="00CF787C" w:rsidRDefault="00364A74" w:rsidP="003C5C9B">
      <w:pPr>
        <w:pStyle w:val="BulletList1"/>
      </w:pPr>
      <w:r w:rsidRPr="00CF787C">
        <w:t>Activities for which third parties are liable to pay</w:t>
      </w:r>
    </w:p>
    <w:p w14:paraId="6637E68A" w14:textId="77777777" w:rsidR="00364A74" w:rsidRPr="00EC022D" w:rsidRDefault="00AF24A3" w:rsidP="003C5C9B">
      <w:pPr>
        <w:pStyle w:val="BulletList1"/>
      </w:pPr>
      <w:r>
        <w:t>Targeted Case Management (</w:t>
      </w:r>
      <w:r w:rsidR="00364A74" w:rsidRPr="00EC022D">
        <w:t>TCM</w:t>
      </w:r>
      <w:r>
        <w:t>)</w:t>
      </w:r>
      <w:r w:rsidR="00364A74" w:rsidRPr="00EC022D">
        <w:t xml:space="preserve"> shall not be billed while an individual is in a nursing facility, or a state operated or private Intermediate Care Facility for </w:t>
      </w:r>
      <w:r>
        <w:t>I</w:t>
      </w:r>
      <w:r w:rsidR="00364A74" w:rsidRPr="00EC022D">
        <w:t>ndividuals with an Intellectual Disability/Developmental Disability (I</w:t>
      </w:r>
      <w:r>
        <w:t>CF</w:t>
      </w:r>
      <w:r w:rsidR="00364A74" w:rsidRPr="00EC022D">
        <w:t>/</w:t>
      </w:r>
      <w:r>
        <w:t>I</w:t>
      </w:r>
      <w:r w:rsidR="00355D13">
        <w:t>I</w:t>
      </w:r>
      <w:r w:rsidR="00364A74" w:rsidRPr="00EC022D">
        <w:t xml:space="preserve">D). However, for individuals who reside in these </w:t>
      </w:r>
      <w:r>
        <w:t>MO HealthNet Division (</w:t>
      </w:r>
      <w:r w:rsidR="00720143">
        <w:t>MHD</w:t>
      </w:r>
      <w:r>
        <w:t>)</w:t>
      </w:r>
      <w:r w:rsidR="00720143">
        <w:t xml:space="preserve"> </w:t>
      </w:r>
      <w:r w:rsidR="00364A74" w:rsidRPr="00EC022D">
        <w:t xml:space="preserve">qualifying institutions, who are transitioning into the community, support coordination is only billable as TCM during the last 180 consecutive days of their stay while transitioning to the community. Support coordination may not be billed to </w:t>
      </w:r>
      <w:r w:rsidR="00720143">
        <w:t>MHD</w:t>
      </w:r>
      <w:r w:rsidR="00364A74" w:rsidRPr="00EC022D">
        <w:t xml:space="preserve"> as TCM for reimbursement until the individual has been discharged from the institution and enrolled in community services.</w:t>
      </w:r>
    </w:p>
    <w:p w14:paraId="099434EC" w14:textId="77777777" w:rsidR="00364A74" w:rsidRPr="00EC022D" w:rsidRDefault="00364A74" w:rsidP="003C5C9B">
      <w:pPr>
        <w:pStyle w:val="BulletList1"/>
      </w:pPr>
      <w:r w:rsidRPr="00EC022D">
        <w:t>TCM may not be provided to individuals in an Institution for Mental Disease (IMD) who are between the ages of 22 and 64, nor to individuals who are inmates of public institutions</w:t>
      </w:r>
    </w:p>
    <w:p w14:paraId="15BEFB95" w14:textId="77777777" w:rsidR="00364A74" w:rsidRPr="00EC022D" w:rsidRDefault="00364A74" w:rsidP="003C5C9B">
      <w:pPr>
        <w:pStyle w:val="BulletList1"/>
      </w:pPr>
      <w:r w:rsidRPr="00EC022D">
        <w:t>TCM shall not be billed while an individual is in a state-operated psychiatric facility</w:t>
      </w:r>
    </w:p>
    <w:p w14:paraId="5AC63F4C" w14:textId="77777777" w:rsidR="00364A74" w:rsidRPr="00EC022D" w:rsidRDefault="00364A74" w:rsidP="003C5C9B">
      <w:pPr>
        <w:pStyle w:val="BulletList1"/>
      </w:pPr>
      <w:r w:rsidRPr="00EC022D">
        <w:t xml:space="preserve">TCM shall not be billed for time spent collecting information and determining if an individual is eligible for the Division of DD </w:t>
      </w:r>
      <w:r w:rsidR="00663596" w:rsidRPr="00EC022D">
        <w:t>r</w:t>
      </w:r>
      <w:r w:rsidRPr="00EC022D">
        <w:t xml:space="preserve">egional </w:t>
      </w:r>
      <w:r w:rsidR="00663596" w:rsidRPr="00EC022D">
        <w:t>o</w:t>
      </w:r>
      <w:r w:rsidRPr="00EC022D">
        <w:t>ffice services</w:t>
      </w:r>
    </w:p>
    <w:p w14:paraId="02771AFC" w14:textId="77777777" w:rsidR="00364A74" w:rsidRPr="001C7922" w:rsidRDefault="00364A74" w:rsidP="003C5C9B">
      <w:pPr>
        <w:pStyle w:val="BulletList1"/>
      </w:pPr>
      <w:r w:rsidRPr="001C7922">
        <w:t>TCM shall not be billed for time spent helping an individual initially applying for MO HealthNet</w:t>
      </w:r>
      <w:r w:rsidR="00AF24A3">
        <w:t xml:space="preserve"> coverage</w:t>
      </w:r>
      <w:r w:rsidRPr="001C7922">
        <w:t xml:space="preserve">. Once the individual is MO HealthNet eligible, TCM received to assist the individual with subsequent reinvestigations for MO HealthNet eligibility may be billable TCM. </w:t>
      </w:r>
      <w:r w:rsidR="005C102F">
        <w:t>F</w:t>
      </w:r>
      <w:r w:rsidRPr="001C7922">
        <w:t xml:space="preserve">or TCM to be billable, the individual must have current eligibility for Division of </w:t>
      </w:r>
      <w:r w:rsidR="00AF24A3">
        <w:t>DD</w:t>
      </w:r>
      <w:r w:rsidRPr="001C7922">
        <w:t xml:space="preserve"> and be MO HealthNet-eligible on the dates the billable TCM occurred. Further, the activities must meet the definitions for billable TCM as outlined in this manual. The TCM documentation must clearly describe the TCM activities associated with MO HealthNet eligibility reinvestigations.</w:t>
      </w:r>
    </w:p>
    <w:p w14:paraId="2E52D6E4" w14:textId="77777777" w:rsidR="00364A74" w:rsidRPr="00EC022D" w:rsidRDefault="00364A74" w:rsidP="003C5C9B">
      <w:pPr>
        <w:pStyle w:val="BulletList1"/>
      </w:pPr>
      <w:r w:rsidRPr="00EC022D">
        <w:t xml:space="preserve">TCM must not </w:t>
      </w:r>
      <w:r w:rsidR="007B6453">
        <w:t>restrict</w:t>
      </w:r>
      <w:r w:rsidRPr="00EC022D">
        <w:t xml:space="preserve"> access to other </w:t>
      </w:r>
      <w:r w:rsidR="00720143">
        <w:t>MHD</w:t>
      </w:r>
      <w:r w:rsidRPr="00EC022D">
        <w:t xml:space="preserve"> services</w:t>
      </w:r>
    </w:p>
    <w:p w14:paraId="3B0ABC27" w14:textId="77777777" w:rsidR="00364A74" w:rsidRPr="00EC022D" w:rsidRDefault="00364A74" w:rsidP="003C5C9B">
      <w:pPr>
        <w:pStyle w:val="BulletList1"/>
      </w:pPr>
      <w:r w:rsidRPr="00EC022D">
        <w:t xml:space="preserve">TCM shall not be solely responsible for authorizing or denying access to other </w:t>
      </w:r>
      <w:r w:rsidR="00720143">
        <w:t>MHD</w:t>
      </w:r>
      <w:r w:rsidRPr="00EC022D">
        <w:t xml:space="preserve"> services, such as DD Home and Community-Based </w:t>
      </w:r>
      <w:r w:rsidR="00634877">
        <w:t>(HCB</w:t>
      </w:r>
      <w:r w:rsidR="00A23840">
        <w:t>S</w:t>
      </w:r>
      <w:r w:rsidR="00634877">
        <w:t xml:space="preserve">) </w:t>
      </w:r>
      <w:r w:rsidRPr="00EC022D">
        <w:t>Waiver services</w:t>
      </w:r>
      <w:r w:rsidR="00A23840">
        <w:t xml:space="preserve"> or state plan services.</w:t>
      </w:r>
    </w:p>
    <w:p w14:paraId="25E0EE0D" w14:textId="77777777" w:rsidR="00364A74" w:rsidRPr="00EC022D" w:rsidRDefault="00364A74" w:rsidP="003C5C9B">
      <w:pPr>
        <w:pStyle w:val="BulletList1"/>
      </w:pPr>
      <w:r w:rsidRPr="00EC022D">
        <w:t>A MO HealthNet-eligible individual is not required to receive support coordination that is billable as TCM as a condition of receiving other MO HealthNet state plan services</w:t>
      </w:r>
    </w:p>
    <w:p w14:paraId="41191FF2" w14:textId="77777777" w:rsidR="00364A74" w:rsidRPr="00EC022D" w:rsidRDefault="00364A74" w:rsidP="003C5C9B">
      <w:pPr>
        <w:pStyle w:val="BulletList1"/>
      </w:pPr>
      <w:r w:rsidRPr="00EC022D">
        <w:lastRenderedPageBreak/>
        <w:t xml:space="preserve">A MO HealthNet-eligible individual is not required to receive other </w:t>
      </w:r>
      <w:r w:rsidR="00116B29">
        <w:t>MHD</w:t>
      </w:r>
      <w:r w:rsidRPr="00EC022D">
        <w:t xml:space="preserve"> services, such as DD </w:t>
      </w:r>
      <w:r w:rsidR="003677D7">
        <w:t>HCBS</w:t>
      </w:r>
      <w:r w:rsidRPr="00EC022D">
        <w:t xml:space="preserve"> Waiver services, as a condition of receiving support coordination that is billable as TCM</w:t>
      </w:r>
    </w:p>
    <w:p w14:paraId="7BEB5BBB" w14:textId="77777777" w:rsidR="00364A74" w:rsidRPr="00EC022D" w:rsidRDefault="00364A74" w:rsidP="003C5C9B">
      <w:pPr>
        <w:pStyle w:val="BulletList1"/>
      </w:pPr>
      <w:r w:rsidRPr="00EC022D">
        <w:t>TCM is only available for the cost of support coordination if there are no other third parties liable to pay for those services, including reimbursement under medical, social, educational, or other programs</w:t>
      </w:r>
    </w:p>
    <w:p w14:paraId="0F2B0674" w14:textId="77777777" w:rsidR="00364A74" w:rsidRPr="00EC022D" w:rsidRDefault="007B6453" w:rsidP="003C5C9B">
      <w:pPr>
        <w:pStyle w:val="BulletList1"/>
      </w:pPr>
      <w:r w:rsidRPr="007B6453">
        <w:t>TCM payment must not duplicate payments made by other programs for the same service</w:t>
      </w:r>
      <w:r w:rsidR="00355D13">
        <w:t>.</w:t>
      </w:r>
    </w:p>
    <w:p w14:paraId="00A34AD0" w14:textId="77777777" w:rsidR="00364A74" w:rsidRPr="00567482" w:rsidRDefault="00A10E5E" w:rsidP="0091582E">
      <w:pPr>
        <w:pStyle w:val="Heading3"/>
      </w:pPr>
      <w:bookmarkStart w:id="59" w:name="_Toc521916557"/>
      <w:bookmarkStart w:id="60" w:name="_Toc226444453"/>
      <w:r w:rsidRPr="00567482">
        <w:t>5.</w:t>
      </w:r>
      <w:r w:rsidR="003B3534" w:rsidRPr="00A5348D">
        <w:t>2</w:t>
      </w:r>
      <w:r w:rsidR="003B3534" w:rsidRPr="00567482">
        <w:t xml:space="preserve"> </w:t>
      </w:r>
      <w:r w:rsidR="00364A74" w:rsidRPr="00567482">
        <w:t>Accompanying an Individual</w:t>
      </w:r>
      <w:bookmarkEnd w:id="59"/>
      <w:bookmarkEnd w:id="60"/>
    </w:p>
    <w:p w14:paraId="1379C9A8" w14:textId="77777777" w:rsidR="00364A74" w:rsidRPr="00F15569" w:rsidRDefault="00364A74" w:rsidP="00E17248">
      <w:r w:rsidRPr="00F15569">
        <w:t xml:space="preserve">Under certain conditions, the </w:t>
      </w:r>
      <w:r w:rsidR="003B3534">
        <w:t xml:space="preserve">SC </w:t>
      </w:r>
      <w:r w:rsidRPr="00F15569">
        <w:t xml:space="preserve">is required to accompany an individual to explain, to advocate or otherwise intervene in, or to augment a process in which the individual’s access to services is being questioned or determined. Likewise, accompanying a person into the community may be necessary for planning or linking to services, or to observe and monitor the effectiveness of the supports being provided. </w:t>
      </w:r>
      <w:r w:rsidR="004076EC" w:rsidRPr="00F15569">
        <w:t>T</w:t>
      </w:r>
      <w:r w:rsidRPr="00F15569">
        <w:t>he Center</w:t>
      </w:r>
      <w:r w:rsidR="004076EC" w:rsidRPr="00F15569">
        <w:t>s</w:t>
      </w:r>
      <w:r w:rsidRPr="00F15569">
        <w:t xml:space="preserve"> for Medicare &amp; Medicaid Services (CMS) position on direct service starts with the definition of TCM in the Social Security Act</w:t>
      </w:r>
      <w:r w:rsidR="004076EC" w:rsidRPr="00F15569">
        <w:t xml:space="preserve"> which states,</w:t>
      </w:r>
      <w:r w:rsidR="008C52C1" w:rsidRPr="00F15569">
        <w:t xml:space="preserve"> “</w:t>
      </w:r>
      <w:r w:rsidRPr="00F15569">
        <w:t xml:space="preserve">services which will assist individuals in gaining access to needed medical, social, educational and other services.” According to CMS, TCM is a service that connects an individual with another service. Therefore, if the </w:t>
      </w:r>
      <w:r w:rsidR="003B3534">
        <w:t>SC</w:t>
      </w:r>
      <w:r w:rsidRPr="00F15569">
        <w:t xml:space="preserve"> provides any support to the individual, particularly involving “counseling, accompanying, or transporting,” CMS calls it a direct service, which is not billable. Billable activities are described in </w:t>
      </w:r>
      <w:hyperlink w:anchor="_Section_3:_" w:history="1">
        <w:r w:rsidR="004076EC" w:rsidRPr="006F5D71">
          <w:rPr>
            <w:rStyle w:val="Hyperlink"/>
          </w:rPr>
          <w:t>S</w:t>
        </w:r>
        <w:r w:rsidRPr="006F5D71">
          <w:rPr>
            <w:rStyle w:val="Hyperlink"/>
          </w:rPr>
          <w:t xml:space="preserve">ection </w:t>
        </w:r>
        <w:r w:rsidR="004076EC" w:rsidRPr="006F5D71">
          <w:rPr>
            <w:rStyle w:val="Hyperlink"/>
          </w:rPr>
          <w:t>3</w:t>
        </w:r>
      </w:hyperlink>
      <w:r w:rsidR="004076EC" w:rsidRPr="00F15569">
        <w:t xml:space="preserve"> </w:t>
      </w:r>
      <w:r w:rsidRPr="00F15569">
        <w:t>of this manual.</w:t>
      </w:r>
    </w:p>
    <w:p w14:paraId="4239FF6F" w14:textId="77777777" w:rsidR="00364A74" w:rsidRPr="00567482" w:rsidRDefault="00A10E5E" w:rsidP="0091582E">
      <w:pPr>
        <w:pStyle w:val="Heading3"/>
      </w:pPr>
      <w:bookmarkStart w:id="61" w:name="_Toc521916558"/>
      <w:bookmarkStart w:id="62" w:name="_Toc226444454"/>
      <w:r w:rsidRPr="00567482">
        <w:t>5.</w:t>
      </w:r>
      <w:r w:rsidR="00A5348D">
        <w:t>3</w:t>
      </w:r>
      <w:r w:rsidR="00A5348D" w:rsidRPr="00567482">
        <w:t xml:space="preserve"> </w:t>
      </w:r>
      <w:r w:rsidR="00364A74" w:rsidRPr="00567482">
        <w:t>Multiple Agencies</w:t>
      </w:r>
      <w:bookmarkEnd w:id="61"/>
      <w:bookmarkEnd w:id="62"/>
    </w:p>
    <w:p w14:paraId="46091CA7" w14:textId="77777777" w:rsidR="00364A74" w:rsidRPr="00F15569" w:rsidRDefault="00364A74" w:rsidP="00E17248">
      <w:r w:rsidRPr="00F15569">
        <w:t>When an individual is enrolled in multiple agencies, they are likely to have a case manager</w:t>
      </w:r>
      <w:r w:rsidR="004076EC" w:rsidRPr="00F15569">
        <w:t xml:space="preserve"> </w:t>
      </w:r>
      <w:r w:rsidRPr="00F15569">
        <w:t>for each. If those case managers are performing the same activity, CMS would only consider one</w:t>
      </w:r>
      <w:r w:rsidR="004076EC" w:rsidRPr="00F15569">
        <w:t xml:space="preserve"> (1)</w:t>
      </w:r>
      <w:r w:rsidRPr="00F15569">
        <w:t xml:space="preserve"> of them to be eligible for payment by </w:t>
      </w:r>
      <w:r w:rsidR="00116B29" w:rsidRPr="00F15569">
        <w:t>MHD</w:t>
      </w:r>
      <w:r w:rsidRPr="00F15569">
        <w:t>. However, if the various case managers have clearly different functions, only the time spent doing the same activity would be duplicative.</w:t>
      </w:r>
    </w:p>
    <w:p w14:paraId="669D1439" w14:textId="77777777" w:rsidR="00364A74" w:rsidRPr="00F15569" w:rsidRDefault="00364A74" w:rsidP="00E17248">
      <w:r w:rsidRPr="00F15569">
        <w:t xml:space="preserve">For instance, individuals served by the Division of DD may have a dual diagnosis of a mental illness and receive case management from an administrative agent for the </w:t>
      </w:r>
      <w:r w:rsidR="004076EC" w:rsidRPr="00F15569">
        <w:t xml:space="preserve">Department of Mental Health (DMH) </w:t>
      </w:r>
      <w:r w:rsidRPr="00F15569">
        <w:t>Division of Behavioral Health Services</w:t>
      </w:r>
      <w:r w:rsidR="004076EC" w:rsidRPr="00F15569">
        <w:t xml:space="preserve"> (DBH)</w:t>
      </w:r>
      <w:r w:rsidRPr="00F15569">
        <w:t>. When conducting an activity together, the two</w:t>
      </w:r>
      <w:r w:rsidR="004076EC" w:rsidRPr="00F15569">
        <w:t xml:space="preserve"> (2)</w:t>
      </w:r>
      <w:r w:rsidRPr="00F15569">
        <w:t xml:space="preserve"> </w:t>
      </w:r>
      <w:r w:rsidR="00A5348D">
        <w:t>SC</w:t>
      </w:r>
      <w:r w:rsidRPr="00F15569">
        <w:t xml:space="preserve">s should determine who is primary and who is secondary. When the activities overlap, such as during a planning meeting, the secondary </w:t>
      </w:r>
      <w:r w:rsidR="00A5348D">
        <w:t>SC</w:t>
      </w:r>
      <w:r w:rsidRPr="00F15569">
        <w:t xml:space="preserve"> must </w:t>
      </w:r>
      <w:r w:rsidR="004076EC" w:rsidRPr="00F15569">
        <w:t xml:space="preserve">account </w:t>
      </w:r>
      <w:r w:rsidRPr="00F15569">
        <w:t>for their time in the meeting by logging a non-billable code.</w:t>
      </w:r>
    </w:p>
    <w:p w14:paraId="331DBB94" w14:textId="77777777" w:rsidR="00364A74" w:rsidRPr="00F15569" w:rsidRDefault="00364A74" w:rsidP="00E17248">
      <w:r w:rsidRPr="00F15569">
        <w:t xml:space="preserve">Another example is </w:t>
      </w:r>
      <w:r w:rsidR="00E515D0" w:rsidRPr="00F15569">
        <w:t>a</w:t>
      </w:r>
      <w:r w:rsidRPr="00F15569">
        <w:t xml:space="preserve"> young child who may have a case manager from the Healthy Children and Youth (HCY) program for assistance with physical health problems and a </w:t>
      </w:r>
      <w:r w:rsidR="00A5348D">
        <w:t>SC</w:t>
      </w:r>
      <w:r w:rsidRPr="00F15569">
        <w:t xml:space="preserve"> from the Division of DD to assist with supports for mental or behavioral problems. Again, </w:t>
      </w:r>
      <w:proofErr w:type="gramStart"/>
      <w:r w:rsidRPr="00F15569">
        <w:t>these two</w:t>
      </w:r>
      <w:r w:rsidR="004076EC" w:rsidRPr="00F15569">
        <w:t xml:space="preserve"> (2)</w:t>
      </w:r>
      <w:r w:rsidRPr="00F15569">
        <w:t xml:space="preserve"> case</w:t>
      </w:r>
      <w:proofErr w:type="gramEnd"/>
      <w:r w:rsidRPr="00F15569">
        <w:t xml:space="preserve"> managers </w:t>
      </w:r>
      <w:r w:rsidR="004076EC" w:rsidRPr="00F15569">
        <w:t>must</w:t>
      </w:r>
      <w:r w:rsidRPr="00F15569">
        <w:t xml:space="preserve"> work together, but whe</w:t>
      </w:r>
      <w:r w:rsidR="004076EC" w:rsidRPr="00F15569">
        <w:t>n</w:t>
      </w:r>
      <w:r w:rsidRPr="00F15569">
        <w:t xml:space="preserve"> they are both attending the same meeting or talking with each other, one</w:t>
      </w:r>
      <w:r w:rsidR="004076EC" w:rsidRPr="00F15569">
        <w:t xml:space="preserve"> </w:t>
      </w:r>
      <w:r w:rsidR="004076EC" w:rsidRPr="00F15569">
        <w:lastRenderedPageBreak/>
        <w:t>(1)</w:t>
      </w:r>
      <w:r w:rsidRPr="00F15569">
        <w:t xml:space="preserve"> needs to be the primary </w:t>
      </w:r>
      <w:r w:rsidR="00A5348D">
        <w:t>SC</w:t>
      </w:r>
      <w:r w:rsidRPr="00F15569">
        <w:t xml:space="preserve"> and the other the secondary.</w:t>
      </w:r>
      <w:r w:rsidR="004076EC" w:rsidRPr="00F15569">
        <w:t xml:space="preserve"> Refer to the </w:t>
      </w:r>
      <w:hyperlink r:id="rId34" w:history="1">
        <w:r w:rsidR="004076EC" w:rsidRPr="006F5D71">
          <w:rPr>
            <w:rStyle w:val="Hyperlink"/>
          </w:rPr>
          <w:t xml:space="preserve">Healthy Children and Youth </w:t>
        </w:r>
        <w:r w:rsidR="007F7F06" w:rsidRPr="006F5D71">
          <w:rPr>
            <w:rStyle w:val="Hyperlink"/>
          </w:rPr>
          <w:t xml:space="preserve">(HCY) </w:t>
        </w:r>
        <w:r w:rsidR="004076EC" w:rsidRPr="006F5D71">
          <w:rPr>
            <w:rStyle w:val="Hyperlink"/>
          </w:rPr>
          <w:t>Provider Manual</w:t>
        </w:r>
      </w:hyperlink>
      <w:r w:rsidR="004076EC" w:rsidRPr="00F15569">
        <w:t xml:space="preserve"> for more information on HCY. </w:t>
      </w:r>
    </w:p>
    <w:p w14:paraId="16B1F3AF" w14:textId="77777777" w:rsidR="00364A74" w:rsidRPr="00567482" w:rsidRDefault="00A10E5E" w:rsidP="000D682D">
      <w:pPr>
        <w:pStyle w:val="Heading3"/>
      </w:pPr>
      <w:bookmarkStart w:id="63" w:name="_Toc226444455"/>
      <w:bookmarkStart w:id="64" w:name="_Toc521916559"/>
      <w:r w:rsidRPr="00567482">
        <w:t>5.</w:t>
      </w:r>
      <w:r w:rsidR="00A5348D">
        <w:t>4</w:t>
      </w:r>
      <w:r w:rsidR="00A5348D" w:rsidRPr="00567482">
        <w:t xml:space="preserve"> </w:t>
      </w:r>
      <w:r w:rsidR="00A5348D">
        <w:t xml:space="preserve">Non-Billable </w:t>
      </w:r>
      <w:r w:rsidR="00364A74" w:rsidRPr="00567482">
        <w:t>Activities</w:t>
      </w:r>
      <w:bookmarkEnd w:id="63"/>
      <w:r w:rsidR="00364A74" w:rsidRPr="00567482">
        <w:t xml:space="preserve"> </w:t>
      </w:r>
      <w:bookmarkEnd w:id="64"/>
    </w:p>
    <w:p w14:paraId="43DE4F06" w14:textId="77777777" w:rsidR="00364A74" w:rsidRPr="000C4C29" w:rsidRDefault="005A48E0" w:rsidP="00E17248">
      <w:r w:rsidRPr="003D25D2">
        <w:t xml:space="preserve">Each provider is responsible for developing their own logging system, which may be either on paper or a computer system. </w:t>
      </w:r>
      <w:r>
        <w:t xml:space="preserve">Refer to </w:t>
      </w:r>
      <w:hyperlink w:anchor="_Section_7:_" w:history="1">
        <w:r w:rsidRPr="006F5D71">
          <w:rPr>
            <w:rStyle w:val="Hyperlink"/>
          </w:rPr>
          <w:t>Section 7</w:t>
        </w:r>
      </w:hyperlink>
      <w:r>
        <w:t xml:space="preserve"> in this manual for more information. </w:t>
      </w:r>
      <w:r w:rsidR="00364A74" w:rsidRPr="000C4C29">
        <w:t>If a provider wants the logging system to include all their staff</w:t>
      </w:r>
      <w:r w:rsidR="00E7116B">
        <w:t>’</w:t>
      </w:r>
      <w:r w:rsidR="00364A74" w:rsidRPr="000C4C29">
        <w:t xml:space="preserve">s activities, including those that are not billable, the provider may consider developing additional codes for staff to use that will be excluded by their </w:t>
      </w:r>
      <w:r w:rsidR="00116B29">
        <w:t>MHD</w:t>
      </w:r>
      <w:r w:rsidR="00364A74">
        <w:t xml:space="preserve"> </w:t>
      </w:r>
      <w:r w:rsidR="00364A74" w:rsidRPr="000C4C29">
        <w:t>billing system.</w:t>
      </w:r>
    </w:p>
    <w:p w14:paraId="428A79D6" w14:textId="77777777" w:rsidR="005A48E0" w:rsidRPr="000C4C29" w:rsidRDefault="00364A74" w:rsidP="00E17248">
      <w:r w:rsidRPr="000C4C29">
        <w:t>N</w:t>
      </w:r>
      <w:r>
        <w:t>OTE</w:t>
      </w:r>
      <w:r w:rsidRPr="000C4C29">
        <w:t xml:space="preserve">: </w:t>
      </w:r>
      <w:r w:rsidR="005A48E0">
        <w:t>The Division of DD</w:t>
      </w:r>
      <w:r w:rsidR="005A48E0" w:rsidRPr="000C4C29">
        <w:t xml:space="preserve"> </w:t>
      </w:r>
      <w:r w:rsidRPr="000C4C29">
        <w:t xml:space="preserve">has a code for non-billable case management </w:t>
      </w:r>
      <w:r w:rsidR="004076EC" w:rsidRPr="000C4C29">
        <w:t xml:space="preserve">(111111) </w:t>
      </w:r>
      <w:r w:rsidRPr="000C4C29">
        <w:t>which it uses to track support coordination activities that it does not bill to</w:t>
      </w:r>
      <w:r>
        <w:t xml:space="preserve"> </w:t>
      </w:r>
      <w:r w:rsidR="00116B29">
        <w:t>MHD</w:t>
      </w:r>
      <w:r w:rsidRPr="000C4C29">
        <w:t>. Providers may want to utilize this option.</w:t>
      </w:r>
    </w:p>
    <w:p w14:paraId="5570ECB8" w14:textId="77777777" w:rsidR="00AC2E07" w:rsidRPr="00AC2E07" w:rsidRDefault="005A48E0" w:rsidP="00E17248">
      <w:r w:rsidRPr="000C4C29">
        <w:t>Activities that do not fall under billable support coordination must be logged with the appropriate service system code.</w:t>
      </w:r>
      <w:r>
        <w:t xml:space="preserve"> </w:t>
      </w:r>
      <w:r w:rsidR="00364A74" w:rsidRPr="00567482">
        <w:t xml:space="preserve">The </w:t>
      </w:r>
      <w:r w:rsidR="003D5E43" w:rsidRPr="00567482">
        <w:t>f</w:t>
      </w:r>
      <w:r w:rsidR="00364A74" w:rsidRPr="00567482">
        <w:t xml:space="preserve">ollowing are activities which </w:t>
      </w:r>
      <w:r w:rsidR="00F13A0F">
        <w:t>SC</w:t>
      </w:r>
      <w:r w:rsidR="00364A74" w:rsidRPr="00567482">
        <w:t xml:space="preserve">s sometimes </w:t>
      </w:r>
      <w:r>
        <w:t xml:space="preserve">perform but </w:t>
      </w:r>
      <w:r w:rsidR="00364A74" w:rsidRPr="000D682D">
        <w:t>are not billable as TCM services.</w:t>
      </w:r>
      <w:bookmarkStart w:id="65" w:name="_Toc521916560"/>
      <w:r>
        <w:t xml:space="preserve"> </w:t>
      </w:r>
      <w:r w:rsidRPr="000C4C29">
        <w:t xml:space="preserve">Do not use </w:t>
      </w:r>
      <w:r>
        <w:t>MHD</w:t>
      </w:r>
      <w:r w:rsidRPr="000C4C29">
        <w:t xml:space="preserve"> billable </w:t>
      </w:r>
      <w:r>
        <w:t>TCM</w:t>
      </w:r>
      <w:r w:rsidRPr="000C4C29">
        <w:t xml:space="preserve"> codes</w:t>
      </w:r>
      <w:r>
        <w:t xml:space="preserve"> to bill for the following activities</w:t>
      </w:r>
      <w:r w:rsidR="00285F85">
        <w:t>.</w:t>
      </w:r>
    </w:p>
    <w:p w14:paraId="683630D9" w14:textId="77777777" w:rsidR="004F404F" w:rsidRPr="000D682D" w:rsidRDefault="00364A74" w:rsidP="000D682D">
      <w:pPr>
        <w:pStyle w:val="Heading4"/>
        <w:rPr>
          <w:rFonts w:eastAsiaTheme="minorHAnsi" w:cs="Tahoma"/>
          <w:color w:val="auto"/>
          <w:sz w:val="23"/>
          <w:szCs w:val="23"/>
        </w:rPr>
      </w:pPr>
      <w:bookmarkStart w:id="66" w:name="_Toc226444456"/>
      <w:r w:rsidRPr="005C102F">
        <w:t>Knowledge Enrichment</w:t>
      </w:r>
      <w:bookmarkEnd w:id="65"/>
      <w:bookmarkEnd w:id="66"/>
    </w:p>
    <w:p w14:paraId="01FCE527" w14:textId="77777777" w:rsidR="004F404F" w:rsidRPr="00AC2E07" w:rsidRDefault="00364A74" w:rsidP="00DA260A">
      <w:r w:rsidRPr="000D682D">
        <w:t>Continuing one’s education and professional growth, which includes attending conferences and seminars, is a critical activity. Because it is not specifically for the benefit of one</w:t>
      </w:r>
      <w:r w:rsidR="000830C5" w:rsidRPr="000D682D">
        <w:t xml:space="preserve"> (1)</w:t>
      </w:r>
      <w:r w:rsidRPr="000D682D">
        <w:t xml:space="preserve"> individual, it cannot be billed as TCM.</w:t>
      </w:r>
    </w:p>
    <w:p w14:paraId="5DEFC75B" w14:textId="77777777" w:rsidR="00364A74" w:rsidRPr="00567482" w:rsidRDefault="00364A74" w:rsidP="000D682D">
      <w:pPr>
        <w:pStyle w:val="Heading4"/>
      </w:pPr>
      <w:bookmarkStart w:id="67" w:name="_Toc521916561"/>
      <w:bookmarkStart w:id="68" w:name="_Toc226444457"/>
      <w:r w:rsidRPr="00285F85">
        <w:t>Networking</w:t>
      </w:r>
      <w:bookmarkEnd w:id="67"/>
      <w:bookmarkEnd w:id="68"/>
    </w:p>
    <w:p w14:paraId="52BFE51F" w14:textId="77777777" w:rsidR="00364A74" w:rsidRPr="00654F4E" w:rsidRDefault="00364A74" w:rsidP="00E17248">
      <w:r w:rsidRPr="00654F4E">
        <w:t xml:space="preserve">Networking </w:t>
      </w:r>
      <w:r w:rsidR="00AC2E07" w:rsidRPr="00654F4E">
        <w:t xml:space="preserve">which </w:t>
      </w:r>
      <w:r w:rsidRPr="00654F4E">
        <w:t xml:space="preserve">involves developing community relationships and community support systems that benefit the lives of individuals with </w:t>
      </w:r>
      <w:r w:rsidR="00BA359E" w:rsidRPr="00654F4E">
        <w:t>DD</w:t>
      </w:r>
      <w:r w:rsidRPr="00654F4E">
        <w:t xml:space="preserve"> and their families. Networking differs from linking resources in that it is not related to specific supports for a particular individual or family. Therefore, it cannot be billed as TCM.</w:t>
      </w:r>
    </w:p>
    <w:p w14:paraId="26C5B8CB" w14:textId="77777777" w:rsidR="004F404F" w:rsidRPr="000D682D" w:rsidRDefault="00364A74" w:rsidP="00E04125">
      <w:pPr>
        <w:pStyle w:val="Heading4"/>
        <w:rPr>
          <w:rFonts w:asciiTheme="minorHAnsi" w:eastAsiaTheme="minorHAnsi" w:hAnsiTheme="minorHAnsi" w:cs="Tahoma"/>
          <w:color w:val="auto"/>
        </w:rPr>
      </w:pPr>
      <w:bookmarkStart w:id="69" w:name="_Toc521916562"/>
      <w:bookmarkStart w:id="70" w:name="_Toc226444458"/>
      <w:r w:rsidRPr="000D682D">
        <w:t xml:space="preserve">Direct </w:t>
      </w:r>
      <w:r w:rsidRPr="003C5C9B">
        <w:rPr>
          <w:szCs w:val="23"/>
        </w:rPr>
        <w:t>Support</w:t>
      </w:r>
      <w:bookmarkEnd w:id="69"/>
      <w:bookmarkEnd w:id="70"/>
    </w:p>
    <w:p w14:paraId="0A4F181E" w14:textId="77777777" w:rsidR="00AC2E07" w:rsidRPr="00654F4E" w:rsidRDefault="00CC402D" w:rsidP="00E17248">
      <w:r w:rsidRPr="00654F4E">
        <w:t>SC</w:t>
      </w:r>
      <w:r w:rsidR="00364A74" w:rsidRPr="00654F4E">
        <w:t xml:space="preserve">s sometimes provide direct support to an individual such as helping them move to a new apartment or transporting them to a store or appointment, or helping the individual pay a bill. Any service which is direct support is not billable as TCM. Additional examples of </w:t>
      </w:r>
      <w:r w:rsidR="000830C5" w:rsidRPr="00654F4E">
        <w:t>direct support</w:t>
      </w:r>
      <w:r w:rsidR="00364A74" w:rsidRPr="00654F4E">
        <w:t xml:space="preserve"> services are helping an individual shop, helping </w:t>
      </w:r>
      <w:r w:rsidR="00BA359E" w:rsidRPr="00654F4E">
        <w:t xml:space="preserve">with </w:t>
      </w:r>
      <w:r w:rsidR="00364A74" w:rsidRPr="00654F4E">
        <w:t>laundry, balancing a checkbook, counseling, training, etc.</w:t>
      </w:r>
    </w:p>
    <w:p w14:paraId="175CFE9C" w14:textId="77777777" w:rsidR="00AC2E07" w:rsidRPr="00654F4E" w:rsidRDefault="004F404F" w:rsidP="00E17248">
      <w:r w:rsidRPr="00654F4E">
        <w:rPr>
          <w:b/>
          <w:i/>
        </w:rPr>
        <w:t>Example</w:t>
      </w:r>
      <w:r w:rsidRPr="00654F4E">
        <w:t xml:space="preserve">: </w:t>
      </w:r>
      <w:r w:rsidR="003E7D9A" w:rsidRPr="00654F4E">
        <w:t xml:space="preserve"> </w:t>
      </w:r>
      <w:r w:rsidRPr="00654F4E">
        <w:t xml:space="preserve">The examples </w:t>
      </w:r>
      <w:r w:rsidR="00BA359E" w:rsidRPr="00654F4E">
        <w:t>of activities logged below are, as stated, neither crisis intervention nor case management; rather, these descriptions indicate direct support, which is not billable to MHD.</w:t>
      </w:r>
    </w:p>
    <w:p w14:paraId="65A053A0" w14:textId="77777777" w:rsidR="00AC2E07" w:rsidRPr="00654F4E" w:rsidRDefault="00BA359E" w:rsidP="003C5C9B">
      <w:pPr>
        <w:pStyle w:val="BulletList1"/>
      </w:pPr>
      <w:r w:rsidRPr="00654F4E">
        <w:t xml:space="preserve">‘Took Jack to pick-up his clothes’ </w:t>
      </w:r>
    </w:p>
    <w:p w14:paraId="52B520BA" w14:textId="77777777" w:rsidR="00AC2E07" w:rsidRPr="00654F4E" w:rsidRDefault="00BA359E" w:rsidP="003C5C9B">
      <w:pPr>
        <w:pStyle w:val="BulletList1"/>
      </w:pPr>
      <w:r w:rsidRPr="00654F4E">
        <w:lastRenderedPageBreak/>
        <w:t>‘Transported Mary to court appointment’</w:t>
      </w:r>
    </w:p>
    <w:p w14:paraId="09B5663A" w14:textId="77777777" w:rsidR="00BA359E" w:rsidRPr="00654F4E" w:rsidRDefault="00BA359E" w:rsidP="003C5C9B">
      <w:pPr>
        <w:pStyle w:val="BulletList1"/>
      </w:pPr>
      <w:r w:rsidRPr="00654F4E">
        <w:t xml:space="preserve">‘Took Jim to the park’ </w:t>
      </w:r>
    </w:p>
    <w:p w14:paraId="0F1F6CB4" w14:textId="77777777" w:rsidR="00BA359E" w:rsidRPr="00654F4E" w:rsidRDefault="00BA359E" w:rsidP="003C5C9B">
      <w:pPr>
        <w:pStyle w:val="BulletList1"/>
      </w:pPr>
      <w:r w:rsidRPr="00654F4E">
        <w:t>‘Helped Susan move to her new apartment’</w:t>
      </w:r>
    </w:p>
    <w:p w14:paraId="439A009E" w14:textId="77777777" w:rsidR="00BA359E" w:rsidRPr="00654F4E" w:rsidRDefault="00BA359E" w:rsidP="003C5C9B">
      <w:pPr>
        <w:pStyle w:val="BulletList1"/>
      </w:pPr>
      <w:r w:rsidRPr="00654F4E">
        <w:t>‘Assisted Terry with shopping’</w:t>
      </w:r>
    </w:p>
    <w:p w14:paraId="06169554" w14:textId="77777777" w:rsidR="000D1179" w:rsidRPr="00A05851" w:rsidRDefault="00364A74" w:rsidP="000D682D">
      <w:pPr>
        <w:pStyle w:val="Heading4"/>
      </w:pPr>
      <w:bookmarkStart w:id="71" w:name="_Toc521916563"/>
      <w:bookmarkStart w:id="72" w:name="_Toc226444459"/>
      <w:r w:rsidRPr="00A05851">
        <w:t>Crisis Intervention</w:t>
      </w:r>
      <w:bookmarkEnd w:id="71"/>
      <w:bookmarkEnd w:id="72"/>
      <w:r w:rsidR="00AC2E07" w:rsidRPr="000D682D">
        <w:t xml:space="preserve"> </w:t>
      </w:r>
    </w:p>
    <w:p w14:paraId="2B6B6885" w14:textId="77777777" w:rsidR="00364A74" w:rsidRPr="00AC2E07" w:rsidRDefault="00364A74" w:rsidP="00E17248">
      <w:r w:rsidRPr="00AC2E07">
        <w:t>Providing support directly to an individual during a crisis might include data collection, oversight</w:t>
      </w:r>
      <w:r w:rsidR="000830C5" w:rsidRPr="00AC2E07">
        <w:t>,</w:t>
      </w:r>
      <w:r w:rsidRPr="00AC2E07">
        <w:t xml:space="preserve"> or instruction. However, since this is direct clinical intervention (direct support), it is not billable as </w:t>
      </w:r>
      <w:r w:rsidR="000830C5" w:rsidRPr="00AC2E07">
        <w:t>TCM</w:t>
      </w:r>
      <w:r w:rsidRPr="00AC2E07">
        <w:t xml:space="preserve">. Connecting an individual with crisis intervention services </w:t>
      </w:r>
      <w:r w:rsidR="002D0E1B" w:rsidRPr="00AC2E07">
        <w:t xml:space="preserve">may </w:t>
      </w:r>
      <w:r w:rsidRPr="00AC2E07">
        <w:t>be billed as TCM under Linking Resources.</w:t>
      </w:r>
      <w:r w:rsidR="000830C5" w:rsidRPr="00AC2E07">
        <w:t xml:space="preserve"> Refer to </w:t>
      </w:r>
      <w:hyperlink w:anchor="_8.4_Service_Codes" w:history="1">
        <w:r w:rsidR="000830C5" w:rsidRPr="0024576C">
          <w:rPr>
            <w:rStyle w:val="Hyperlink"/>
          </w:rPr>
          <w:t>Section 8.4</w:t>
        </w:r>
      </w:hyperlink>
      <w:r w:rsidR="000830C5" w:rsidRPr="00AC2E07">
        <w:t xml:space="preserve"> in this manual for service code information.</w:t>
      </w:r>
    </w:p>
    <w:p w14:paraId="52958836" w14:textId="77777777" w:rsidR="004F404F" w:rsidRPr="004F404F" w:rsidRDefault="00364A74" w:rsidP="00E16E6E">
      <w:pPr>
        <w:pStyle w:val="Heading4"/>
      </w:pPr>
      <w:bookmarkStart w:id="73" w:name="_Toc521916564"/>
      <w:bookmarkStart w:id="74" w:name="_Toc226444460"/>
      <w:r w:rsidRPr="00BD1A58">
        <w:t xml:space="preserve">Abuse </w:t>
      </w:r>
      <w:r w:rsidR="002D0E1B" w:rsidRPr="00BD1A58">
        <w:t xml:space="preserve">and </w:t>
      </w:r>
      <w:r w:rsidRPr="00BD1A58">
        <w:t>Neglect Investigations</w:t>
      </w:r>
      <w:bookmarkEnd w:id="73"/>
      <w:bookmarkEnd w:id="74"/>
      <w:r w:rsidR="00AC2E07" w:rsidRPr="00E16E6E">
        <w:t xml:space="preserve"> </w:t>
      </w:r>
    </w:p>
    <w:p w14:paraId="4D976DE9" w14:textId="77777777" w:rsidR="00364A74" w:rsidRPr="00AC2E07" w:rsidRDefault="00364A74" w:rsidP="00E17248">
      <w:r w:rsidRPr="00AC2E07">
        <w:t xml:space="preserve">While resolving situations of abuse or neglect may involve TCM activities such as </w:t>
      </w:r>
      <w:r w:rsidR="002D0E1B" w:rsidRPr="00AC2E07">
        <w:t xml:space="preserve">Planning Supports </w:t>
      </w:r>
      <w:r w:rsidRPr="00AC2E07">
        <w:t xml:space="preserve">and </w:t>
      </w:r>
      <w:r w:rsidR="002D0E1B" w:rsidRPr="00AC2E07">
        <w:t>Linking Resources</w:t>
      </w:r>
      <w:r w:rsidRPr="00AC2E07">
        <w:t>, conducting the investigation is not billable.</w:t>
      </w:r>
    </w:p>
    <w:p w14:paraId="45606BDF" w14:textId="77777777" w:rsidR="004F404F" w:rsidRPr="00E16E6E" w:rsidRDefault="00364A74" w:rsidP="00E16E6E">
      <w:pPr>
        <w:pStyle w:val="Heading4"/>
        <w:rPr>
          <w:rFonts w:eastAsiaTheme="minorHAnsi" w:cs="Tahoma"/>
          <w:color w:val="auto"/>
          <w:sz w:val="23"/>
          <w:szCs w:val="23"/>
        </w:rPr>
      </w:pPr>
      <w:bookmarkStart w:id="75" w:name="_Toc521916565"/>
      <w:bookmarkStart w:id="76" w:name="_Toc226444461"/>
      <w:r w:rsidRPr="004F404F">
        <w:t>Certification Survey Function</w:t>
      </w:r>
      <w:bookmarkEnd w:id="75"/>
      <w:bookmarkEnd w:id="76"/>
    </w:p>
    <w:p w14:paraId="1F1716E4" w14:textId="77777777" w:rsidR="00364A74" w:rsidRPr="00AC2E07" w:rsidRDefault="00364A74" w:rsidP="00E17248">
      <w:r w:rsidRPr="00AC2E07">
        <w:t xml:space="preserve">Attending a certification survey function such as an enhancement planning meeting is not billable unless one </w:t>
      </w:r>
      <w:r w:rsidR="002D0E1B" w:rsidRPr="00AC2E07">
        <w:t xml:space="preserve">(1) </w:t>
      </w:r>
      <w:r w:rsidRPr="00AC2E07">
        <w:t xml:space="preserve">of the individuals being discussed is in the </w:t>
      </w:r>
      <w:r w:rsidR="002D0E1B" w:rsidRPr="00AC2E07">
        <w:t>SC</w:t>
      </w:r>
      <w:r w:rsidRPr="00AC2E07">
        <w:t>s caseload. In this case, time spent helping to plan enhancement, which will benefit this individual, would be billable.</w:t>
      </w:r>
      <w:r w:rsidR="000830C5" w:rsidRPr="00AC2E07">
        <w:t xml:space="preserve"> Refer to </w:t>
      </w:r>
      <w:hyperlink w:anchor="_8.4_Service_Codes" w:history="1">
        <w:r w:rsidR="000830C5" w:rsidRPr="0024576C">
          <w:rPr>
            <w:rStyle w:val="Hyperlink"/>
          </w:rPr>
          <w:t>Section 8.4</w:t>
        </w:r>
      </w:hyperlink>
      <w:r w:rsidR="000830C5" w:rsidRPr="00AC2E07">
        <w:t xml:space="preserve"> in this manual for service code information.</w:t>
      </w:r>
    </w:p>
    <w:p w14:paraId="53D5EA3D" w14:textId="77777777" w:rsidR="004F404F" w:rsidRPr="00396E8F" w:rsidRDefault="00364A74" w:rsidP="00E16E6E">
      <w:pPr>
        <w:pStyle w:val="Heading4"/>
      </w:pPr>
      <w:bookmarkStart w:id="77" w:name="_Toc521916566"/>
      <w:bookmarkStart w:id="78" w:name="_Toc226444462"/>
      <w:r w:rsidRPr="00E16E6E">
        <w:t>Utilization Review</w:t>
      </w:r>
      <w:bookmarkEnd w:id="77"/>
      <w:bookmarkEnd w:id="78"/>
      <w:r w:rsidR="00AC2E07" w:rsidRPr="00E16E6E">
        <w:t xml:space="preserve"> </w:t>
      </w:r>
    </w:p>
    <w:p w14:paraId="508815F4" w14:textId="77777777" w:rsidR="00364A74" w:rsidRPr="00AC2E07" w:rsidRDefault="00364A74" w:rsidP="00E17248">
      <w:r w:rsidRPr="00AC2E07">
        <w:t xml:space="preserve">The time a </w:t>
      </w:r>
      <w:r w:rsidR="002D0E1B" w:rsidRPr="00AC2E07">
        <w:t>SC</w:t>
      </w:r>
      <w:r w:rsidRPr="00AC2E07">
        <w:t xml:space="preserve"> spends serving on the Utilization Review Committee (URC) is not billable. Time a </w:t>
      </w:r>
      <w:r w:rsidR="002D0E1B" w:rsidRPr="00AC2E07">
        <w:t>SC</w:t>
      </w:r>
      <w:r w:rsidRPr="00AC2E07">
        <w:t xml:space="preserve"> spends advocating to the URC on behalf of an individual may be billable.</w:t>
      </w:r>
      <w:r w:rsidR="000830C5" w:rsidRPr="00AC2E07">
        <w:t xml:space="preserve"> Refer to </w:t>
      </w:r>
      <w:hyperlink w:anchor="_8.4_Service_Codes" w:history="1">
        <w:r w:rsidR="000830C5" w:rsidRPr="00D20BB3">
          <w:rPr>
            <w:rStyle w:val="Hyperlink"/>
          </w:rPr>
          <w:t>Section 8.4</w:t>
        </w:r>
      </w:hyperlink>
      <w:r w:rsidR="000830C5" w:rsidRPr="00AC2E07">
        <w:t xml:space="preserve"> in this manual for service code information.</w:t>
      </w:r>
    </w:p>
    <w:p w14:paraId="0FBF0BC8" w14:textId="77777777" w:rsidR="00364A74" w:rsidRPr="00A3775F" w:rsidRDefault="00364A74" w:rsidP="00E16E6E">
      <w:pPr>
        <w:pStyle w:val="Heading2"/>
        <w:rPr>
          <w:color w:val="E97132"/>
          <w:szCs w:val="23"/>
        </w:rPr>
      </w:pPr>
      <w:bookmarkStart w:id="79" w:name="_Toc521916569"/>
      <w:bookmarkStart w:id="80" w:name="_Toc226444463"/>
      <w:r w:rsidRPr="00A3775F">
        <w:rPr>
          <w:rFonts w:eastAsia="Times New Roman"/>
          <w:color w:val="E97132"/>
          <w:szCs w:val="23"/>
        </w:rPr>
        <w:t>Section</w:t>
      </w:r>
      <w:r w:rsidR="00A45BC0" w:rsidRPr="00A3775F">
        <w:rPr>
          <w:rFonts w:eastAsia="Times New Roman"/>
          <w:color w:val="E97132"/>
          <w:szCs w:val="23"/>
        </w:rPr>
        <w:t xml:space="preserve"> </w:t>
      </w:r>
      <w:r w:rsidRPr="00A3775F">
        <w:rPr>
          <w:rFonts w:eastAsia="Times New Roman"/>
          <w:color w:val="E97132"/>
          <w:szCs w:val="23"/>
        </w:rPr>
        <w:t>6</w:t>
      </w:r>
      <w:r w:rsidR="00703DFB" w:rsidRPr="00A3775F">
        <w:rPr>
          <w:rFonts w:eastAsia="Times New Roman"/>
          <w:color w:val="E97132"/>
          <w:szCs w:val="23"/>
        </w:rPr>
        <w:t xml:space="preserve">: </w:t>
      </w:r>
      <w:r w:rsidRPr="00A3775F">
        <w:rPr>
          <w:rFonts w:eastAsia="Times New Roman"/>
          <w:color w:val="E97132"/>
          <w:szCs w:val="23"/>
        </w:rPr>
        <w:t>Home and Community</w:t>
      </w:r>
      <w:r w:rsidR="00612FBF" w:rsidRPr="00A3775F">
        <w:rPr>
          <w:rFonts w:eastAsia="Times New Roman"/>
          <w:color w:val="E97132"/>
          <w:szCs w:val="23"/>
        </w:rPr>
        <w:t xml:space="preserve"> </w:t>
      </w:r>
      <w:r w:rsidR="00A45BC0" w:rsidRPr="00A3775F">
        <w:rPr>
          <w:rFonts w:eastAsia="Times New Roman"/>
          <w:color w:val="E97132"/>
          <w:szCs w:val="23"/>
        </w:rPr>
        <w:t>Based Services</w:t>
      </w:r>
      <w:r w:rsidRPr="00A3775F">
        <w:rPr>
          <w:rFonts w:eastAsia="Times New Roman"/>
          <w:color w:val="E97132"/>
          <w:szCs w:val="23"/>
        </w:rPr>
        <w:t xml:space="preserve"> Waivers</w:t>
      </w:r>
      <w:bookmarkEnd w:id="79"/>
      <w:bookmarkEnd w:id="80"/>
    </w:p>
    <w:p w14:paraId="2F33BED7" w14:textId="77777777" w:rsidR="00DB52BF" w:rsidRPr="00011A92" w:rsidRDefault="00364A74" w:rsidP="00E17248">
      <w:bookmarkStart w:id="81" w:name="_Hlk179822542"/>
      <w:r w:rsidRPr="00011A92">
        <w:t xml:space="preserve">All </w:t>
      </w:r>
      <w:r w:rsidR="000830C5" w:rsidRPr="00011A92">
        <w:t>Targeted Case Management (</w:t>
      </w:r>
      <w:r w:rsidRPr="00011A92">
        <w:t>TCM</w:t>
      </w:r>
      <w:r w:rsidR="000830C5" w:rsidRPr="00011A92">
        <w:t>)</w:t>
      </w:r>
      <w:r w:rsidRPr="00011A92">
        <w:t xml:space="preserve"> entities may also administer certain functions related to the Home</w:t>
      </w:r>
      <w:r w:rsidR="00E64CA8" w:rsidRPr="00011A92">
        <w:t xml:space="preserve"> and </w:t>
      </w:r>
      <w:r w:rsidRPr="00011A92">
        <w:t>Community</w:t>
      </w:r>
      <w:r w:rsidR="00576DD2">
        <w:t>-</w:t>
      </w:r>
      <w:r w:rsidR="00F63249" w:rsidRPr="00011A92">
        <w:t>B</w:t>
      </w:r>
      <w:r w:rsidRPr="00011A92">
        <w:t>ased</w:t>
      </w:r>
      <w:r w:rsidR="00E64CA8" w:rsidRPr="00011A92">
        <w:t xml:space="preserve"> </w:t>
      </w:r>
      <w:r w:rsidR="00F63249" w:rsidRPr="00011A92">
        <w:t xml:space="preserve">Services (HCBS) </w:t>
      </w:r>
      <w:r w:rsidR="000830C5" w:rsidRPr="00011A92">
        <w:t xml:space="preserve">Waivers which </w:t>
      </w:r>
      <w:r w:rsidR="00EB4A39" w:rsidRPr="00011A92">
        <w:t>include</w:t>
      </w:r>
      <w:r w:rsidR="000830C5" w:rsidRPr="00011A92">
        <w:t xml:space="preserve"> </w:t>
      </w:r>
      <w:r w:rsidRPr="00011A92">
        <w:t>Comprehensive</w:t>
      </w:r>
      <w:r w:rsidR="000830C5" w:rsidRPr="00011A92">
        <w:t xml:space="preserve"> Waiver</w:t>
      </w:r>
      <w:r w:rsidRPr="00011A92">
        <w:t>,</w:t>
      </w:r>
      <w:r w:rsidR="00E64CA8" w:rsidRPr="00011A92">
        <w:t xml:space="preserve"> </w:t>
      </w:r>
      <w:r w:rsidRPr="00011A92">
        <w:t>Community Support</w:t>
      </w:r>
      <w:r w:rsidR="000830C5" w:rsidRPr="00011A92">
        <w:t xml:space="preserve"> Waiver</w:t>
      </w:r>
      <w:r w:rsidRPr="00011A92">
        <w:t>, Missouri Children’s Developmental Disabilities</w:t>
      </w:r>
      <w:r w:rsidR="000830C5" w:rsidRPr="00011A92">
        <w:t xml:space="preserve"> Waiver</w:t>
      </w:r>
      <w:r w:rsidRPr="00011A92">
        <w:t xml:space="preserve"> and the Partnership for Hope</w:t>
      </w:r>
      <w:r w:rsidR="000830C5" w:rsidRPr="00011A92">
        <w:t xml:space="preserve"> Waiver</w:t>
      </w:r>
      <w:r w:rsidRPr="00011A92">
        <w:t xml:space="preserve">. The requirements of the waivers are explained in the </w:t>
      </w:r>
      <w:hyperlink r:id="rId35" w:history="1">
        <w:r w:rsidRPr="0024576C">
          <w:rPr>
            <w:rStyle w:val="Hyperlink"/>
          </w:rPr>
          <w:t xml:space="preserve">Developmental Disabilities Waiver </w:t>
        </w:r>
        <w:r w:rsidR="000830C5" w:rsidRPr="0024576C">
          <w:rPr>
            <w:rStyle w:val="Hyperlink"/>
          </w:rPr>
          <w:t xml:space="preserve">Provider </w:t>
        </w:r>
        <w:r w:rsidRPr="0024576C">
          <w:rPr>
            <w:rStyle w:val="Hyperlink"/>
          </w:rPr>
          <w:t>Manual</w:t>
        </w:r>
      </w:hyperlink>
      <w:r w:rsidRPr="00011A92">
        <w:t xml:space="preserve">. </w:t>
      </w:r>
      <w:r w:rsidR="001C281F">
        <w:t xml:space="preserve">Refer to </w:t>
      </w:r>
      <w:hyperlink r:id="rId36" w:history="1">
        <w:r w:rsidR="001C281F" w:rsidRPr="0024576C">
          <w:rPr>
            <w:rStyle w:val="Hyperlink"/>
          </w:rPr>
          <w:t>Missouri Waiver Programs</w:t>
        </w:r>
      </w:hyperlink>
      <w:r w:rsidR="001C281F">
        <w:t xml:space="preserve"> for more information. </w:t>
      </w:r>
      <w:r w:rsidRPr="00011A92">
        <w:t>However, there are additional requirements related to the administration of these waiver programs, as follows.</w:t>
      </w:r>
      <w:r w:rsidR="000830C5" w:rsidRPr="00011A92">
        <w:t xml:space="preserve"> </w:t>
      </w:r>
      <w:bookmarkStart w:id="82" w:name="_Toc521916570"/>
      <w:bookmarkEnd w:id="81"/>
    </w:p>
    <w:p w14:paraId="6F2D0702" w14:textId="77777777" w:rsidR="00364A74" w:rsidRPr="00A3775F" w:rsidRDefault="00A10E5E" w:rsidP="00853F3A">
      <w:pPr>
        <w:pStyle w:val="Heading3"/>
      </w:pPr>
      <w:bookmarkStart w:id="83" w:name="_Toc226444464"/>
      <w:r w:rsidRPr="00A3775F">
        <w:lastRenderedPageBreak/>
        <w:t xml:space="preserve">6.1 </w:t>
      </w:r>
      <w:r w:rsidR="00364A74" w:rsidRPr="00A3775F">
        <w:t>Eligibility Determination</w:t>
      </w:r>
      <w:bookmarkEnd w:id="82"/>
      <w:bookmarkEnd w:id="83"/>
    </w:p>
    <w:p w14:paraId="2D72CDD1" w14:textId="77777777" w:rsidR="00364A74" w:rsidRPr="00D35B02" w:rsidRDefault="00E328A5" w:rsidP="00E17248">
      <w:r>
        <w:t xml:space="preserve">Division of Developmental Disabilities (DD) </w:t>
      </w:r>
      <w:r w:rsidR="000D1179">
        <w:t>r</w:t>
      </w:r>
      <w:r w:rsidR="00364A74" w:rsidRPr="00520940">
        <w:t xml:space="preserve">egional </w:t>
      </w:r>
      <w:r w:rsidR="00663596">
        <w:t>o</w:t>
      </w:r>
      <w:r w:rsidR="00364A74" w:rsidRPr="00520940">
        <w:t xml:space="preserve">ffice, County Board, and other </w:t>
      </w:r>
      <w:r w:rsidR="00364A74">
        <w:t>n</w:t>
      </w:r>
      <w:r w:rsidR="00364A74" w:rsidRPr="00D35B02">
        <w:t>ot-for-</w:t>
      </w:r>
      <w:r w:rsidR="00364A74">
        <w:t>p</w:t>
      </w:r>
      <w:r w:rsidR="00364A74" w:rsidRPr="00D35B02">
        <w:t xml:space="preserve">rofit agency support coordinators </w:t>
      </w:r>
      <w:r w:rsidR="000D1179">
        <w:t xml:space="preserve">(SCs) </w:t>
      </w:r>
      <w:r w:rsidR="00364A74" w:rsidRPr="00D35B02">
        <w:t xml:space="preserve">may perform assessments and develop required level of care evaluations to assist in establishing eligibility for the waiver programs, but final eligibility must be determined by the </w:t>
      </w:r>
      <w:r w:rsidR="000830C5">
        <w:t>Division of</w:t>
      </w:r>
      <w:r w:rsidR="00701D3B">
        <w:t xml:space="preserve"> </w:t>
      </w:r>
      <w:r w:rsidR="000830C5">
        <w:t xml:space="preserve">DD </w:t>
      </w:r>
      <w:r w:rsidR="00663596">
        <w:t>r</w:t>
      </w:r>
      <w:r w:rsidR="00364A74" w:rsidRPr="00D35B02">
        <w:t xml:space="preserve">egional </w:t>
      </w:r>
      <w:r w:rsidR="00663596">
        <w:t>o</w:t>
      </w:r>
      <w:r w:rsidR="00364A74" w:rsidRPr="00D35B02">
        <w:t>ffices.</w:t>
      </w:r>
    </w:p>
    <w:p w14:paraId="284E8898" w14:textId="77777777" w:rsidR="00364A74" w:rsidRPr="00A3775F" w:rsidRDefault="00A10E5E" w:rsidP="00853F3A">
      <w:pPr>
        <w:pStyle w:val="Heading3"/>
      </w:pPr>
      <w:bookmarkStart w:id="84" w:name="_Toc521916571"/>
      <w:bookmarkStart w:id="85" w:name="_Toc226444465"/>
      <w:r w:rsidRPr="00A3775F">
        <w:t xml:space="preserve">6.2 </w:t>
      </w:r>
      <w:bookmarkEnd w:id="84"/>
      <w:r w:rsidR="007F7F06">
        <w:t>Person-Centered Service Plan</w:t>
      </w:r>
      <w:bookmarkEnd w:id="85"/>
    </w:p>
    <w:p w14:paraId="67DAF580" w14:textId="77777777" w:rsidR="00364A74" w:rsidRPr="00011A92" w:rsidRDefault="00364A74" w:rsidP="00E17248">
      <w:r w:rsidRPr="00011A92">
        <w:t xml:space="preserve">All waiver services must be included in an approved </w:t>
      </w:r>
      <w:r w:rsidR="009451E9">
        <w:t>Person-Centered Service Plan (</w:t>
      </w:r>
      <w:r w:rsidR="00570E63" w:rsidRPr="005C102F">
        <w:t>PCSP</w:t>
      </w:r>
      <w:r w:rsidR="009451E9">
        <w:t>)</w:t>
      </w:r>
      <w:r w:rsidRPr="005C102F">
        <w:t xml:space="preserve"> prior to service delivery. The </w:t>
      </w:r>
      <w:r w:rsidR="00570E63" w:rsidRPr="005C102F">
        <w:t xml:space="preserve">PCSP </w:t>
      </w:r>
      <w:r w:rsidRPr="005C102F">
        <w:t xml:space="preserve">process and plan must include all elements required by </w:t>
      </w:r>
      <w:hyperlink r:id="rId37" w:history="1">
        <w:r w:rsidRPr="00D20BB3">
          <w:rPr>
            <w:rStyle w:val="Hyperlink"/>
          </w:rPr>
          <w:t>42 CFR 441.301 (c</w:t>
        </w:r>
        <w:r w:rsidR="00575086" w:rsidRPr="00D20BB3">
          <w:rPr>
            <w:rStyle w:val="Hyperlink"/>
          </w:rPr>
          <w:t>)(</w:t>
        </w:r>
        <w:r w:rsidRPr="00D20BB3">
          <w:rPr>
            <w:rStyle w:val="Hyperlink"/>
          </w:rPr>
          <w:t>1)-(3)</w:t>
        </w:r>
      </w:hyperlink>
      <w:r w:rsidRPr="005C102F">
        <w:t xml:space="preserve">. Furthermore, the type of plan acceptable under the waivers is a </w:t>
      </w:r>
      <w:r w:rsidR="00570E63">
        <w:t>PCSP</w:t>
      </w:r>
      <w:r w:rsidR="00570E63" w:rsidRPr="00011A92">
        <w:t xml:space="preserve"> </w:t>
      </w:r>
      <w:r w:rsidRPr="00011A92">
        <w:t xml:space="preserve">developed in accordance with developmental disabilities </w:t>
      </w:r>
      <w:hyperlink r:id="rId38" w:history="1">
        <w:r w:rsidRPr="0024576C">
          <w:rPr>
            <w:rStyle w:val="Hyperlink"/>
          </w:rPr>
          <w:t>Individual Support Plan</w:t>
        </w:r>
        <w:r w:rsidR="00E328A5" w:rsidRPr="0024576C">
          <w:rPr>
            <w:rStyle w:val="Hyperlink"/>
          </w:rPr>
          <w:t xml:space="preserve"> </w:t>
        </w:r>
        <w:r w:rsidRPr="0024576C">
          <w:rPr>
            <w:rStyle w:val="Hyperlink"/>
          </w:rPr>
          <w:t>Guide</w:t>
        </w:r>
      </w:hyperlink>
      <w:r w:rsidRPr="00A3775F">
        <w:rPr>
          <w:rStyle w:val="Hyperlink"/>
          <w:b w:val="0"/>
          <w:color w:val="auto"/>
          <w:u w:val="none"/>
        </w:rPr>
        <w:t>.</w:t>
      </w:r>
      <w:r w:rsidRPr="00011A92">
        <w:t xml:space="preserve"> </w:t>
      </w:r>
      <w:r w:rsidR="009451E9" w:rsidRPr="009451E9">
        <w:t>PCSP’s</w:t>
      </w:r>
      <w:r w:rsidR="009451E9" w:rsidRPr="00011A92">
        <w:t xml:space="preserve"> </w:t>
      </w:r>
      <w:r w:rsidRPr="00011A92">
        <w:t xml:space="preserve">may be developed by the TCM entity </w:t>
      </w:r>
      <w:r w:rsidR="00E328A5">
        <w:t>SC</w:t>
      </w:r>
      <w:r w:rsidRPr="00011A92">
        <w:t xml:space="preserve">s, but they shall be subject to review by the </w:t>
      </w:r>
      <w:r w:rsidR="00701D3B" w:rsidRPr="00011A92">
        <w:t xml:space="preserve">Division of DD </w:t>
      </w:r>
      <w:r w:rsidR="00663596" w:rsidRPr="00011A92">
        <w:t>r</w:t>
      </w:r>
      <w:r w:rsidRPr="00011A92">
        <w:t xml:space="preserve">egional </w:t>
      </w:r>
      <w:r w:rsidR="00663596" w:rsidRPr="00011A92">
        <w:t>o</w:t>
      </w:r>
      <w:r w:rsidRPr="00011A92">
        <w:t>ffices and review</w:t>
      </w:r>
      <w:r w:rsidR="00A50D38">
        <w:t>ed</w:t>
      </w:r>
      <w:r w:rsidRPr="00011A92">
        <w:t xml:space="preserve"> by the </w:t>
      </w:r>
      <w:r w:rsidR="00701D3B" w:rsidRPr="00011A92">
        <w:t>MO HealthNet Division (</w:t>
      </w:r>
      <w:r w:rsidR="00116B29" w:rsidRPr="00011A92">
        <w:t>MHD</w:t>
      </w:r>
      <w:r w:rsidR="00701D3B" w:rsidRPr="00011A92">
        <w:t>)</w:t>
      </w:r>
      <w:r w:rsidRPr="00011A92">
        <w:t xml:space="preserve">. </w:t>
      </w:r>
      <w:r w:rsidR="005C102F">
        <w:t>PCSPs</w:t>
      </w:r>
      <w:r w:rsidRPr="00011A92">
        <w:t xml:space="preserve"> shall also be subject to Division of DD Utilization Review processes. County Boards, and other not-for-profit TCM agencies are encouraged to use the Division</w:t>
      </w:r>
      <w:r w:rsidR="004473D5" w:rsidRPr="00011A92">
        <w:t xml:space="preserve"> of DD</w:t>
      </w:r>
      <w:r w:rsidRPr="00011A92">
        <w:t>’s process; however, they may use their own process if the standards equal or exceed the Division</w:t>
      </w:r>
      <w:r w:rsidR="00A50D38">
        <w:t xml:space="preserve"> of DD’s</w:t>
      </w:r>
      <w:r w:rsidRPr="00011A92">
        <w:t xml:space="preserve">. The </w:t>
      </w:r>
      <w:r w:rsidR="00663596" w:rsidRPr="00011A92">
        <w:t>r</w:t>
      </w:r>
      <w:r w:rsidRPr="00011A92">
        <w:t xml:space="preserve">egional </w:t>
      </w:r>
      <w:r w:rsidR="00663596" w:rsidRPr="00011A92">
        <w:t>o</w:t>
      </w:r>
      <w:r w:rsidRPr="00011A92">
        <w:t>ffice will provide technical assistance as requested.</w:t>
      </w:r>
    </w:p>
    <w:p w14:paraId="560917E0" w14:textId="77777777" w:rsidR="00364A74" w:rsidRPr="00011A92" w:rsidRDefault="00364A74" w:rsidP="00E17248">
      <w:bookmarkStart w:id="86" w:name="_Hlk179822731"/>
      <w:r w:rsidRPr="00011A92">
        <w:t>Re-assessments of individuals’ needs to medical, social, educational</w:t>
      </w:r>
      <w:r w:rsidR="00701D3B" w:rsidRPr="00011A92">
        <w:t>,</w:t>
      </w:r>
      <w:r w:rsidRPr="00011A92">
        <w:t xml:space="preserve"> and other services shall be completed annually at a minimum, or more frequently as the individual’s needs change.</w:t>
      </w:r>
    </w:p>
    <w:p w14:paraId="35E5C730" w14:textId="77777777" w:rsidR="00364A74" w:rsidRPr="00A3775F" w:rsidRDefault="00A10E5E" w:rsidP="00853F3A">
      <w:pPr>
        <w:pStyle w:val="Heading3"/>
      </w:pPr>
      <w:bookmarkStart w:id="87" w:name="_Toc521916572"/>
      <w:bookmarkStart w:id="88" w:name="_Toc226444466"/>
      <w:bookmarkEnd w:id="86"/>
      <w:r w:rsidRPr="00A3775F">
        <w:t xml:space="preserve">6.3 </w:t>
      </w:r>
      <w:r w:rsidR="00822FCA" w:rsidRPr="00A3775F">
        <w:t xml:space="preserve">Case Management Service </w:t>
      </w:r>
      <w:r w:rsidR="00364A74" w:rsidRPr="00A3775F">
        <w:t>Freedom of Choice</w:t>
      </w:r>
      <w:bookmarkEnd w:id="87"/>
      <w:bookmarkEnd w:id="88"/>
    </w:p>
    <w:p w14:paraId="4B175BF9" w14:textId="77777777" w:rsidR="00364A74" w:rsidRPr="00241899" w:rsidRDefault="00BE3ECD" w:rsidP="00E17248">
      <w:r>
        <w:t xml:space="preserve">Services are </w:t>
      </w:r>
      <w:r w:rsidR="00364A74" w:rsidRPr="00241899">
        <w:t xml:space="preserve">targeted </w:t>
      </w:r>
      <w:r>
        <w:t xml:space="preserve">to </w:t>
      </w:r>
      <w:r w:rsidR="00364A74" w:rsidRPr="00241899">
        <w:t xml:space="preserve">eligible individuals who have </w:t>
      </w:r>
      <w:r w:rsidR="00822FCA">
        <w:t>DD</w:t>
      </w:r>
      <w:r w:rsidR="00364A74" w:rsidRPr="00241899">
        <w:t xml:space="preserve">. Providers are limited to providers of case management services capable of ensuring that individuals with </w:t>
      </w:r>
      <w:r w:rsidR="00822FCA">
        <w:t>DD</w:t>
      </w:r>
      <w:r w:rsidR="00364A74" w:rsidRPr="00241899">
        <w:t xml:space="preserve"> receive needed services.</w:t>
      </w:r>
    </w:p>
    <w:p w14:paraId="5A3029A3" w14:textId="77777777" w:rsidR="00364A74" w:rsidRPr="00241899" w:rsidRDefault="00364A74" w:rsidP="00E17248">
      <w:r w:rsidRPr="00241899">
        <w:t xml:space="preserve">The </w:t>
      </w:r>
      <w:r>
        <w:t>s</w:t>
      </w:r>
      <w:r w:rsidRPr="00241899">
        <w:t xml:space="preserve">tate assures that the provision of case management services will not restrict an individual’s free choice of providers in violation of </w:t>
      </w:r>
      <w:r w:rsidR="00822FCA">
        <w:t>S</w:t>
      </w:r>
      <w:r w:rsidRPr="00241899">
        <w:t xml:space="preserve">ection </w:t>
      </w:r>
      <w:r w:rsidRPr="00493176">
        <w:t>1902(a</w:t>
      </w:r>
      <w:r w:rsidR="00575086" w:rsidRPr="00493176">
        <w:t>) (</w:t>
      </w:r>
      <w:r w:rsidRPr="00493176">
        <w:t>23) o</w:t>
      </w:r>
      <w:r w:rsidRPr="00241899">
        <w:t xml:space="preserve">f the </w:t>
      </w:r>
      <w:r w:rsidR="00822FCA">
        <w:t xml:space="preserve">Social Security </w:t>
      </w:r>
      <w:r w:rsidRPr="00241899">
        <w:t>Act</w:t>
      </w:r>
      <w:r w:rsidR="00822FCA">
        <w:t>:</w:t>
      </w:r>
    </w:p>
    <w:p w14:paraId="04BA2550" w14:textId="77777777" w:rsidR="00364A74" w:rsidRPr="00241899" w:rsidRDefault="00364A74" w:rsidP="003C5C9B">
      <w:pPr>
        <w:pStyle w:val="BulletList1"/>
      </w:pPr>
      <w:r w:rsidRPr="00241899">
        <w:t xml:space="preserve">Eligible individuals will have free choice of any qualified </w:t>
      </w:r>
      <w:r w:rsidR="00822FCA">
        <w:t xml:space="preserve">MO HealthNet </w:t>
      </w:r>
      <w:r w:rsidRPr="00241899">
        <w:t>providers of other medical care under the plan.</w:t>
      </w:r>
    </w:p>
    <w:p w14:paraId="74363265" w14:textId="77777777" w:rsidR="00364A74" w:rsidRPr="00241899" w:rsidRDefault="00364A74" w:rsidP="003C5C9B">
      <w:pPr>
        <w:pStyle w:val="BulletList1"/>
      </w:pPr>
      <w:bookmarkStart w:id="89" w:name="_Hlk214300362"/>
      <w:r w:rsidRPr="00241899">
        <w:t xml:space="preserve">Eligible individuals may not choose the same entity to provide both case management and waiver services </w:t>
      </w:r>
      <w:r w:rsidR="002E53C1" w:rsidRPr="00EE3319">
        <w:t>as stated in</w:t>
      </w:r>
      <w:r w:rsidR="002E53C1">
        <w:rPr>
          <w:color w:val="163E64"/>
        </w:rPr>
        <w:t xml:space="preserve"> </w:t>
      </w:r>
      <w:hyperlink r:id="rId39" w:anchor="p-441.301" w:history="1">
        <w:r w:rsidRPr="0024576C">
          <w:rPr>
            <w:rStyle w:val="Hyperlink"/>
          </w:rPr>
          <w:t>42 CFR 441.301(c</w:t>
        </w:r>
        <w:r w:rsidR="00575086" w:rsidRPr="0024576C">
          <w:rPr>
            <w:rStyle w:val="Hyperlink"/>
          </w:rPr>
          <w:t>) (</w:t>
        </w:r>
        <w:r w:rsidRPr="0024576C">
          <w:rPr>
            <w:rStyle w:val="Hyperlink"/>
          </w:rPr>
          <w:t>1)</w:t>
        </w:r>
      </w:hyperlink>
      <w:r w:rsidRPr="00241899">
        <w:t xml:space="preserve">. </w:t>
      </w:r>
      <w:bookmarkEnd w:id="89"/>
      <w:r w:rsidRPr="00241899">
        <w:t>The case manager will educate and inform the individual on choices of TCM entities and waiver providers to prevent conflicted arrangements.</w:t>
      </w:r>
      <w:r w:rsidR="00822FCA">
        <w:t xml:space="preserve"> Refer to </w:t>
      </w:r>
      <w:hyperlink w:anchor="_3.3_Conflict_Free" w:history="1">
        <w:r w:rsidR="00822FCA" w:rsidRPr="0024576C">
          <w:rPr>
            <w:rStyle w:val="Hyperlink"/>
          </w:rPr>
          <w:t>Section 3.3</w:t>
        </w:r>
      </w:hyperlink>
      <w:r w:rsidR="00822FCA">
        <w:t xml:space="preserve"> in this manual for more information.</w:t>
      </w:r>
    </w:p>
    <w:p w14:paraId="5E383FB4" w14:textId="77777777" w:rsidR="00364A74" w:rsidRPr="00A3775F" w:rsidRDefault="00A10E5E" w:rsidP="004F3369">
      <w:pPr>
        <w:pStyle w:val="Heading3"/>
      </w:pPr>
      <w:bookmarkStart w:id="90" w:name="_Toc521916573"/>
      <w:bookmarkStart w:id="91" w:name="_Toc226444467"/>
      <w:r w:rsidRPr="00A3775F">
        <w:t xml:space="preserve">6.4 </w:t>
      </w:r>
      <w:r w:rsidR="00364A74" w:rsidRPr="00A3775F">
        <w:t xml:space="preserve">Waiver </w:t>
      </w:r>
      <w:r w:rsidR="00822FCA" w:rsidRPr="00A3775F">
        <w:t xml:space="preserve">Freedom of </w:t>
      </w:r>
      <w:r w:rsidR="00364A74" w:rsidRPr="00A3775F">
        <w:t>Choice</w:t>
      </w:r>
      <w:bookmarkEnd w:id="90"/>
      <w:bookmarkEnd w:id="91"/>
    </w:p>
    <w:p w14:paraId="2EF0D5B3" w14:textId="77777777" w:rsidR="00364A74" w:rsidRPr="00011A92" w:rsidRDefault="00364A74" w:rsidP="00E17248">
      <w:r w:rsidRPr="00011A92">
        <w:t xml:space="preserve">Individuals and their guardians must be given free choice of all available waiver service providers. </w:t>
      </w:r>
      <w:r w:rsidR="00570E63" w:rsidRPr="004F3369">
        <w:t>PCSP</w:t>
      </w:r>
      <w:r w:rsidR="00570E63" w:rsidRPr="005C102F">
        <w:t xml:space="preserve">s </w:t>
      </w:r>
      <w:r w:rsidRPr="005C102F">
        <w:t>for</w:t>
      </w:r>
      <w:r w:rsidRPr="00011A92">
        <w:t xml:space="preserve"> waivered services must not restrict choice. This requires the </w:t>
      </w:r>
      <w:r w:rsidR="00C14216">
        <w:t>SC</w:t>
      </w:r>
      <w:r w:rsidRPr="00011A92">
        <w:t xml:space="preserve"> to give all pertinent information and not to bias individuals’ free choice.</w:t>
      </w:r>
    </w:p>
    <w:p w14:paraId="684310C9" w14:textId="77777777" w:rsidR="00364A74" w:rsidRPr="00011A92" w:rsidRDefault="00364A74" w:rsidP="00E17248">
      <w:r w:rsidRPr="00011A92">
        <w:lastRenderedPageBreak/>
        <w:t xml:space="preserve">All waiver services </w:t>
      </w:r>
      <w:r w:rsidR="005B4A3E" w:rsidRPr="00011A92">
        <w:t xml:space="preserve">must </w:t>
      </w:r>
      <w:r w:rsidRPr="00011A92">
        <w:t xml:space="preserve">be necessary to the support of the individual in the community, as determined by a planning team and approved by the </w:t>
      </w:r>
      <w:r w:rsidR="00663596" w:rsidRPr="00011A92">
        <w:t>r</w:t>
      </w:r>
      <w:r w:rsidRPr="00011A92">
        <w:t xml:space="preserve">egional </w:t>
      </w:r>
      <w:r w:rsidR="00663596" w:rsidRPr="00011A92">
        <w:t>o</w:t>
      </w:r>
      <w:r w:rsidRPr="00011A92">
        <w:t>ffice.</w:t>
      </w:r>
    </w:p>
    <w:p w14:paraId="6FE7EA46" w14:textId="77777777" w:rsidR="00364A74" w:rsidRPr="00011A92" w:rsidRDefault="00364A74" w:rsidP="00E17248">
      <w:r w:rsidRPr="00011A92">
        <w:t xml:space="preserve">The individual (or family or guardian) </w:t>
      </w:r>
      <w:r w:rsidR="00E8067E" w:rsidRPr="00011A92">
        <w:t xml:space="preserve">must </w:t>
      </w:r>
      <w:r w:rsidRPr="00011A92">
        <w:t>be informed about services available under the waiver.</w:t>
      </w:r>
    </w:p>
    <w:p w14:paraId="2F1377EA" w14:textId="77777777" w:rsidR="00364A74" w:rsidRPr="00011A92" w:rsidRDefault="00364A74" w:rsidP="00E17248">
      <w:bookmarkStart w:id="92" w:name="_Hlk179823226"/>
      <w:r w:rsidRPr="00011A92">
        <w:t xml:space="preserve">The individual </w:t>
      </w:r>
      <w:r w:rsidR="005B4A3E" w:rsidRPr="00011A92">
        <w:t xml:space="preserve">must </w:t>
      </w:r>
      <w:r w:rsidRPr="00011A92">
        <w:t xml:space="preserve">be informed about which waiver services are considered necessary to support them successfully and why the decision was made. This decision is reached through an assessment and planning process, with consensus being the goal. Nonetheless, the individual may appeal the decision if they are dissatisfied. The </w:t>
      </w:r>
      <w:r w:rsidR="00C14216">
        <w:t>SC</w:t>
      </w:r>
      <w:r w:rsidRPr="00011A92">
        <w:t xml:space="preserve"> must then explain both the informal and formal </w:t>
      </w:r>
      <w:r w:rsidR="008764BF" w:rsidRPr="00011A92">
        <w:t>process</w:t>
      </w:r>
      <w:r w:rsidRPr="00011A92">
        <w:t xml:space="preserve"> for appeal.</w:t>
      </w:r>
    </w:p>
    <w:bookmarkEnd w:id="92"/>
    <w:p w14:paraId="18EC28D9" w14:textId="77777777" w:rsidR="00364A74" w:rsidRPr="00011A92" w:rsidRDefault="00364A74" w:rsidP="00E17248">
      <w:r w:rsidRPr="00011A92">
        <w:t>Individuals have the right to reject any or all waiver services. This may result in participation in the waiver not being feasible, but it is the individual’s choice. Termination from the waiver, following due process notification is required.</w:t>
      </w:r>
    </w:p>
    <w:p w14:paraId="36E7C255" w14:textId="77777777" w:rsidR="00822FCA" w:rsidRPr="00011A92" w:rsidRDefault="00822FCA" w:rsidP="00E17248">
      <w:r w:rsidRPr="00011A92">
        <w:t xml:space="preserve">Refer to the </w:t>
      </w:r>
      <w:hyperlink r:id="rId40" w:history="1">
        <w:r w:rsidRPr="0024576C">
          <w:rPr>
            <w:rStyle w:val="Hyperlink"/>
          </w:rPr>
          <w:t>DD Provider Manual</w:t>
        </w:r>
      </w:hyperlink>
      <w:r w:rsidRPr="00011A92">
        <w:t xml:space="preserve"> for more information. </w:t>
      </w:r>
    </w:p>
    <w:p w14:paraId="741704E0" w14:textId="77777777" w:rsidR="00364A74" w:rsidRPr="00A3775F" w:rsidRDefault="00A10E5E" w:rsidP="004F3369">
      <w:pPr>
        <w:pStyle w:val="Heading3"/>
      </w:pPr>
      <w:bookmarkStart w:id="93" w:name="_Toc356396917"/>
      <w:bookmarkStart w:id="94" w:name="_Toc521916574"/>
      <w:bookmarkStart w:id="95" w:name="_Toc226444468"/>
      <w:r w:rsidRPr="00A3775F">
        <w:t xml:space="preserve">6.5 </w:t>
      </w:r>
      <w:r w:rsidR="00364A74" w:rsidRPr="00A3775F">
        <w:t>Due Process and Appeal</w:t>
      </w:r>
      <w:bookmarkEnd w:id="93"/>
      <w:r w:rsidR="00364A74" w:rsidRPr="00A3775F">
        <w:t>s</w:t>
      </w:r>
      <w:bookmarkEnd w:id="94"/>
      <w:bookmarkEnd w:id="95"/>
    </w:p>
    <w:p w14:paraId="322308F3" w14:textId="77777777" w:rsidR="00364A74" w:rsidRPr="00654F4E" w:rsidRDefault="00364A74" w:rsidP="00E17248">
      <w:bookmarkStart w:id="96" w:name="_Hlk179823850"/>
      <w:r w:rsidRPr="00654F4E">
        <w:t xml:space="preserve">Medicaid rights of due process are extended to </w:t>
      </w:r>
      <w:r w:rsidR="008764BF" w:rsidRPr="00654F4E">
        <w:t xml:space="preserve">individuals </w:t>
      </w:r>
      <w:r w:rsidRPr="00654F4E">
        <w:t>who participate in the DD Waivers. S</w:t>
      </w:r>
      <w:r w:rsidR="00C14216" w:rsidRPr="00654F4E">
        <w:t>C</w:t>
      </w:r>
      <w:r w:rsidRPr="00654F4E">
        <w:t xml:space="preserve">s provide the </w:t>
      </w:r>
      <w:hyperlink r:id="rId41" w:history="1">
        <w:r w:rsidR="00822FCA" w:rsidRPr="0024576C">
          <w:rPr>
            <w:rStyle w:val="Hyperlink"/>
          </w:rPr>
          <w:t>Knowing Your R</w:t>
        </w:r>
        <w:r w:rsidRPr="0024576C">
          <w:rPr>
            <w:rStyle w:val="Hyperlink"/>
          </w:rPr>
          <w:t>ights</w:t>
        </w:r>
        <w:r w:rsidR="00822FCA" w:rsidRPr="0024576C">
          <w:rPr>
            <w:rStyle w:val="Hyperlink"/>
          </w:rPr>
          <w:t xml:space="preserve">: </w:t>
        </w:r>
        <w:r w:rsidR="003E7D9A" w:rsidRPr="0024576C">
          <w:rPr>
            <w:rStyle w:val="Hyperlink"/>
          </w:rPr>
          <w:t xml:space="preserve"> </w:t>
        </w:r>
        <w:r w:rsidR="00822FCA" w:rsidRPr="0024576C">
          <w:rPr>
            <w:rStyle w:val="Hyperlink"/>
          </w:rPr>
          <w:t>A Guide for Individuals with Development Disabilities to Understanding Rights and Responsibilities</w:t>
        </w:r>
      </w:hyperlink>
      <w:r w:rsidRPr="00654F4E">
        <w:t xml:space="preserve"> to individuals upon entry to the waiver and at least annually during the </w:t>
      </w:r>
      <w:r w:rsidR="005B4A3E" w:rsidRPr="00654F4E">
        <w:t>person-centered</w:t>
      </w:r>
      <w:r w:rsidRPr="00654F4E">
        <w:t xml:space="preserve"> planning process. </w:t>
      </w:r>
      <w:r w:rsidR="00CB5913" w:rsidRPr="00654F4E">
        <w:t>Additional</w:t>
      </w:r>
      <w:r w:rsidRPr="00654F4E">
        <w:t xml:space="preserve"> information </w:t>
      </w:r>
      <w:r w:rsidR="00CB5913" w:rsidRPr="00654F4E">
        <w:t xml:space="preserve">about rights </w:t>
      </w:r>
      <w:r w:rsidRPr="00654F4E">
        <w:t xml:space="preserve">is posted on the </w:t>
      </w:r>
      <w:hyperlink r:id="rId42" w:history="1">
        <w:r w:rsidR="009D1F40" w:rsidRPr="0024576C">
          <w:rPr>
            <w:rStyle w:val="Hyperlink"/>
          </w:rPr>
          <w:t>Division of DD</w:t>
        </w:r>
        <w:r w:rsidR="00E25449" w:rsidRPr="0024576C">
          <w:rPr>
            <w:rStyle w:val="Hyperlink"/>
          </w:rPr>
          <w:t xml:space="preserve"> website</w:t>
        </w:r>
      </w:hyperlink>
      <w:r w:rsidRPr="00654F4E">
        <w:rPr>
          <w:rStyle w:val="Hyperlink"/>
          <w:b w:val="0"/>
          <w:color w:val="auto"/>
          <w:u w:val="none"/>
        </w:rPr>
        <w:t>.</w:t>
      </w:r>
      <w:r w:rsidRPr="00654F4E">
        <w:t xml:space="preserve"> Individuals have free choice of contracted provider and have the cho</w:t>
      </w:r>
      <w:r w:rsidR="00E64CA8" w:rsidRPr="00654F4E">
        <w:t xml:space="preserve">ice of </w:t>
      </w:r>
      <w:r w:rsidR="00F63249" w:rsidRPr="00654F4E">
        <w:t>HCBS</w:t>
      </w:r>
      <w:r w:rsidRPr="00654F4E">
        <w:t xml:space="preserve"> or institutional services. </w:t>
      </w:r>
    </w:p>
    <w:bookmarkEnd w:id="96"/>
    <w:p w14:paraId="7E3ECF27" w14:textId="77777777" w:rsidR="004B25C6" w:rsidRPr="00654F4E" w:rsidRDefault="00364A74" w:rsidP="00E17248">
      <w:r w:rsidRPr="00654F4E">
        <w:t xml:space="preserve">When adverse action is necessary such as termination, reduction of services, suspension of services, etc. the </w:t>
      </w:r>
      <w:r w:rsidR="00993CDE" w:rsidRPr="004F3369">
        <w:rPr>
          <w:rStyle w:val="Hyperlink"/>
          <w:b w:val="0"/>
          <w:color w:val="000000" w:themeColor="text1"/>
          <w:u w:val="none"/>
        </w:rPr>
        <w:t>Division of DD regional office</w:t>
      </w:r>
      <w:r w:rsidRPr="00654F4E">
        <w:t xml:space="preserve"> is responsible for notifying the participant in writing at least ten (10) days prior to any action being taken. The </w:t>
      </w:r>
      <w:r w:rsidR="00972C2A" w:rsidRPr="00654F4E">
        <w:t>SC</w:t>
      </w:r>
      <w:r w:rsidRPr="00654F4E">
        <w:t xml:space="preserve"> is copied on the notice. Individuals have the right to appeal anytime adverse decisions are made or actions are taken. S</w:t>
      </w:r>
      <w:r w:rsidR="00972C2A" w:rsidRPr="00654F4E">
        <w:t>C</w:t>
      </w:r>
      <w:r w:rsidRPr="00654F4E">
        <w:t xml:space="preserve">s </w:t>
      </w:r>
      <w:proofErr w:type="gramStart"/>
      <w:r w:rsidRPr="00654F4E">
        <w:t>provide assistance to</w:t>
      </w:r>
      <w:proofErr w:type="gramEnd"/>
      <w:r w:rsidRPr="00654F4E">
        <w:t xml:space="preserve"> individuals in pursuing a fair hearing if requested by the individual. </w:t>
      </w:r>
      <w:r w:rsidR="00984C92" w:rsidRPr="00654F4E">
        <w:t xml:space="preserve">Refer to </w:t>
      </w:r>
      <w:hyperlink w:anchor="_6.6_Responsibility_of" w:history="1">
        <w:r w:rsidR="00984C92" w:rsidRPr="0024576C">
          <w:rPr>
            <w:rStyle w:val="Hyperlink"/>
          </w:rPr>
          <w:t>Section 6.6</w:t>
        </w:r>
      </w:hyperlink>
      <w:r w:rsidR="00984C92" w:rsidRPr="00654F4E">
        <w:t xml:space="preserve"> in this manual for more information. </w:t>
      </w:r>
      <w:r w:rsidRPr="00654F4E">
        <w:t xml:space="preserve">Upon notification of the intent to appeal an adverse action, services are automatically continued until resolution of the appeal. Notification of appeal can be made </w:t>
      </w:r>
      <w:r w:rsidR="003A0A2C" w:rsidRPr="00654F4E">
        <w:t xml:space="preserve">to </w:t>
      </w:r>
      <w:r w:rsidR="00465F73" w:rsidRPr="00654F4E">
        <w:t>Department of Mental Health</w:t>
      </w:r>
      <w:r w:rsidR="003A0A2C" w:rsidRPr="00654F4E">
        <w:t xml:space="preserve"> by contacting the </w:t>
      </w:r>
      <w:r w:rsidR="00972C2A" w:rsidRPr="00654F4E">
        <w:t xml:space="preserve">appropriate </w:t>
      </w:r>
      <w:hyperlink r:id="rId43" w:history="1">
        <w:r w:rsidR="00972C2A" w:rsidRPr="0024576C">
          <w:rPr>
            <w:rStyle w:val="Hyperlink"/>
          </w:rPr>
          <w:t>Regional Office</w:t>
        </w:r>
      </w:hyperlink>
      <w:r w:rsidR="003A0A2C" w:rsidRPr="00654F4E">
        <w:t xml:space="preserve">. </w:t>
      </w:r>
    </w:p>
    <w:p w14:paraId="2CF04435" w14:textId="77777777" w:rsidR="005B0CC3" w:rsidRPr="00654F4E" w:rsidRDefault="004B25C6" w:rsidP="00E17248">
      <w:r w:rsidRPr="00654F4E">
        <w:t xml:space="preserve">Notification of appeal can be made to the Department of Social Services by </w:t>
      </w:r>
      <w:r w:rsidR="00970D16" w:rsidRPr="00654F4E">
        <w:t>calling (800) 392-2161 or by mail:</w:t>
      </w:r>
    </w:p>
    <w:p w14:paraId="187571AF" w14:textId="77777777" w:rsidR="00970D16" w:rsidRPr="003C5C9B" w:rsidRDefault="00970D16" w:rsidP="00E9062D">
      <w:pPr>
        <w:pStyle w:val="NoSpacing"/>
        <w:spacing w:before="160" w:line="320" w:lineRule="atLeast"/>
        <w:ind w:left="2160" w:firstLine="720"/>
        <w:contextualSpacing/>
        <w:rPr>
          <w:lang w:val="fr-FR"/>
        </w:rPr>
      </w:pPr>
      <w:r w:rsidRPr="003C5C9B">
        <w:rPr>
          <w:lang w:val="fr-FR"/>
        </w:rPr>
        <w:t>Participant Services Agent</w:t>
      </w:r>
    </w:p>
    <w:p w14:paraId="6C97048A" w14:textId="77777777" w:rsidR="00922796" w:rsidRPr="003C5C9B" w:rsidRDefault="00970D16" w:rsidP="00E9062D">
      <w:pPr>
        <w:pStyle w:val="NoSpacing"/>
        <w:spacing w:before="160" w:line="320" w:lineRule="atLeast"/>
        <w:ind w:left="2160" w:firstLine="720"/>
        <w:contextualSpacing/>
        <w:rPr>
          <w:lang w:val="fr-FR"/>
        </w:rPr>
      </w:pPr>
      <w:r w:rsidRPr="003C5C9B">
        <w:rPr>
          <w:lang w:val="fr-FR"/>
        </w:rPr>
        <w:t>P.O. Box 3535</w:t>
      </w:r>
    </w:p>
    <w:p w14:paraId="78960449" w14:textId="77777777" w:rsidR="00984C92" w:rsidRPr="00654F4E" w:rsidRDefault="00970D16" w:rsidP="00E17248">
      <w:pPr>
        <w:pStyle w:val="NoSpacing"/>
        <w:spacing w:before="160" w:line="320" w:lineRule="atLeast"/>
        <w:ind w:left="2160" w:firstLine="720"/>
        <w:contextualSpacing/>
      </w:pPr>
      <w:r w:rsidRPr="00654F4E">
        <w:t>Jefferson City, MO 65102</w:t>
      </w:r>
    </w:p>
    <w:p w14:paraId="2E2F62ED" w14:textId="77777777" w:rsidR="00984C92" w:rsidRPr="00654F4E" w:rsidRDefault="009C759D" w:rsidP="00E17248">
      <w:r w:rsidRPr="00654F4E">
        <w:lastRenderedPageBreak/>
        <w:t xml:space="preserve">While not required to do so, individuals are encouraged to begin with </w:t>
      </w:r>
      <w:hyperlink r:id="rId44" w:history="1">
        <w:r w:rsidRPr="00654F4E">
          <w:t>DMH’s appeal process</w:t>
        </w:r>
      </w:hyperlink>
      <w:r w:rsidRPr="00654F4E">
        <w:t xml:space="preserve"> </w:t>
      </w:r>
      <w:r w:rsidR="00050970" w:rsidRPr="00654F4E">
        <w:t>b</w:t>
      </w:r>
      <w:r w:rsidR="0052046F" w:rsidRPr="00654F4E">
        <w:t xml:space="preserve">y </w:t>
      </w:r>
      <w:hyperlink r:id="rId45" w:history="1">
        <w:r w:rsidR="0052046F" w:rsidRPr="00654F4E">
          <w:rPr>
            <w:rStyle w:val="Hyperlink"/>
            <w:b w:val="0"/>
            <w:color w:val="auto"/>
            <w:u w:val="none"/>
          </w:rPr>
          <w:t>contacting the appropriate</w:t>
        </w:r>
        <w:r w:rsidR="0052046F" w:rsidRPr="00654F4E">
          <w:rPr>
            <w:rStyle w:val="Hyperlink"/>
            <w:color w:val="auto"/>
            <w:u w:val="none"/>
          </w:rPr>
          <w:t xml:space="preserve"> </w:t>
        </w:r>
        <w:r w:rsidR="00F2430C" w:rsidRPr="0024576C">
          <w:rPr>
            <w:rStyle w:val="Hyperlink"/>
          </w:rPr>
          <w:t>R</w:t>
        </w:r>
        <w:r w:rsidR="0052046F" w:rsidRPr="0024576C">
          <w:rPr>
            <w:rStyle w:val="Hyperlink"/>
          </w:rPr>
          <w:t xml:space="preserve">egional </w:t>
        </w:r>
        <w:r w:rsidR="00F2430C" w:rsidRPr="0024576C">
          <w:rPr>
            <w:rStyle w:val="Hyperlink"/>
          </w:rPr>
          <w:t>O</w:t>
        </w:r>
        <w:r w:rsidR="0052046F" w:rsidRPr="0024576C">
          <w:rPr>
            <w:rStyle w:val="Hyperlink"/>
          </w:rPr>
          <w:t>ffice</w:t>
        </w:r>
      </w:hyperlink>
      <w:r w:rsidR="0052046F" w:rsidRPr="00654F4E">
        <w:rPr>
          <w:rStyle w:val="Hyperlink"/>
          <w:u w:val="none"/>
        </w:rPr>
        <w:t xml:space="preserve">. </w:t>
      </w:r>
      <w:r w:rsidRPr="00654F4E">
        <w:t>The DMH appeal system shall not be a substitute for the DSS state fair hearing process. The individual may appeal to MHD, before, during and after exhausting the DMH process. Once the individual begins the appeal process with MHD, all appeal rights with DMH end</w:t>
      </w:r>
      <w:r w:rsidR="00050970" w:rsidRPr="00654F4E">
        <w:t>,</w:t>
      </w:r>
      <w:r w:rsidRPr="00654F4E">
        <w:t xml:space="preserve"> as MHD would supersede a decision by DMH. </w:t>
      </w:r>
    </w:p>
    <w:p w14:paraId="6AF2E20E" w14:textId="77777777" w:rsidR="00364A74" w:rsidRPr="00654F4E" w:rsidRDefault="00364A74" w:rsidP="00E17248">
      <w:r w:rsidRPr="00654F4E">
        <w:t>Appeals related to MO HealthNet eligibility decisions are the responsibility of the Family Support Division (FSD). For additional information</w:t>
      </w:r>
      <w:r w:rsidR="00050970" w:rsidRPr="00654F4E">
        <w:t>,</w:t>
      </w:r>
      <w:r w:rsidRPr="00654F4E">
        <w:t xml:space="preserve"> contact</w:t>
      </w:r>
      <w:r w:rsidR="00984C92" w:rsidRPr="00654F4E">
        <w:t xml:space="preserve"> the FSD Information Line at (855) 373-4636. For additional contact information, visit </w:t>
      </w:r>
      <w:hyperlink r:id="rId46" w:history="1">
        <w:r w:rsidR="00984C92" w:rsidRPr="0024576C">
          <w:rPr>
            <w:rStyle w:val="Hyperlink"/>
          </w:rPr>
          <w:t>Contact Us</w:t>
        </w:r>
      </w:hyperlink>
      <w:r w:rsidR="00984C92" w:rsidRPr="00654F4E">
        <w:t xml:space="preserve">. </w:t>
      </w:r>
      <w:r w:rsidRPr="00654F4E">
        <w:t xml:space="preserve"> </w:t>
      </w:r>
      <w:bookmarkStart w:id="97" w:name="_Toc521916575"/>
    </w:p>
    <w:p w14:paraId="02D729A0" w14:textId="77777777" w:rsidR="00364A74" w:rsidRPr="00E9062D" w:rsidRDefault="00A10E5E" w:rsidP="004F3369">
      <w:pPr>
        <w:pStyle w:val="Heading3"/>
      </w:pPr>
      <w:bookmarkStart w:id="98" w:name="_6.6_Responsibility_of"/>
      <w:bookmarkStart w:id="99" w:name="_Toc226444469"/>
      <w:bookmarkEnd w:id="98"/>
      <w:r w:rsidRPr="00E9062D">
        <w:t xml:space="preserve">6.6 </w:t>
      </w:r>
      <w:r w:rsidR="00364A74" w:rsidRPr="00E9062D">
        <w:t>Responsibility of the Support Coordinator</w:t>
      </w:r>
      <w:bookmarkEnd w:id="97"/>
      <w:r w:rsidR="00984C92" w:rsidRPr="00E9062D">
        <w:t xml:space="preserve"> in Appeal Process</w:t>
      </w:r>
      <w:bookmarkEnd w:id="99"/>
    </w:p>
    <w:p w14:paraId="1364A064" w14:textId="77777777" w:rsidR="00364A74" w:rsidRPr="00D35B02" w:rsidRDefault="00364A74" w:rsidP="00E17248">
      <w:r w:rsidRPr="00D35B02">
        <w:t>When adverse action concerning waiver eligibility, denial</w:t>
      </w:r>
      <w:r w:rsidR="00984C92">
        <w:t>,</w:t>
      </w:r>
      <w:r w:rsidRPr="00D35B02">
        <w:t xml:space="preserve"> or reduction in services occur</w:t>
      </w:r>
      <w:r w:rsidR="00984C92">
        <w:t>s</w:t>
      </w:r>
      <w:r w:rsidRPr="00D35B02">
        <w:t xml:space="preserve">, the </w:t>
      </w:r>
      <w:r w:rsidR="00105857">
        <w:t>SC</w:t>
      </w:r>
      <w:r w:rsidRPr="00D35B02">
        <w:t xml:space="preserve"> may assist individuals requesting an appeal and preparing for the hearing.</w:t>
      </w:r>
    </w:p>
    <w:p w14:paraId="1669D7D4" w14:textId="77777777" w:rsidR="00364A74" w:rsidRDefault="00364A74" w:rsidP="00E17248">
      <w:r w:rsidRPr="00D35B02">
        <w:t xml:space="preserve">If the adverse action concerns termination or reduction of services, the individual may request </w:t>
      </w:r>
      <w:r>
        <w:t xml:space="preserve">that </w:t>
      </w:r>
      <w:r w:rsidRPr="00D35B02">
        <w:t xml:space="preserve">the disputed service(s) be continued until the hearing is held and a decision is made on the appeal. If the agency’s decision is upheld, the individual may be required to pay for the continued services. If the agency’s </w:t>
      </w:r>
      <w:r w:rsidRPr="007E0950">
        <w:t>decision</w:t>
      </w:r>
      <w:r w:rsidRPr="00D35B02">
        <w:t xml:space="preserve"> is overturned, the individual will not be responsible for the cost of services.</w:t>
      </w:r>
    </w:p>
    <w:p w14:paraId="75898CAC" w14:textId="77777777" w:rsidR="004D59C2" w:rsidRPr="00E9062D" w:rsidRDefault="004D59C2" w:rsidP="004F3369">
      <w:pPr>
        <w:pStyle w:val="Heading3"/>
      </w:pPr>
      <w:bookmarkStart w:id="100" w:name="_Toc226444470"/>
      <w:r w:rsidRPr="00E9062D">
        <w:t>6.7 Value-Based Payment</w:t>
      </w:r>
      <w:bookmarkEnd w:id="100"/>
    </w:p>
    <w:p w14:paraId="38E68637" w14:textId="77777777" w:rsidR="004D59C2" w:rsidRPr="00755D02" w:rsidRDefault="004D59C2" w:rsidP="004D59C2">
      <w:pPr>
        <w:pStyle w:val="NoSpacing"/>
        <w:spacing w:before="160" w:line="320" w:lineRule="atLeast"/>
      </w:pPr>
      <w:bookmarkStart w:id="101" w:name="_Hlk180040832"/>
      <w:r w:rsidRPr="00755D02">
        <w:t xml:space="preserve">Value-based payment (VBP) is an approach that offers a way to transition from a </w:t>
      </w:r>
      <w:r w:rsidR="00984C92" w:rsidRPr="00755D02">
        <w:t>F</w:t>
      </w:r>
      <w:r w:rsidRPr="00755D02">
        <w:t>ee</w:t>
      </w:r>
      <w:r w:rsidR="00984C92" w:rsidRPr="00755D02">
        <w:t xml:space="preserve"> </w:t>
      </w:r>
      <w:proofErr w:type="gramStart"/>
      <w:r w:rsidR="00984C92" w:rsidRPr="00755D02">
        <w:t>F</w:t>
      </w:r>
      <w:r w:rsidRPr="00755D02">
        <w:t>or</w:t>
      </w:r>
      <w:proofErr w:type="gramEnd"/>
      <w:r w:rsidR="00984C92" w:rsidRPr="00755D02">
        <w:t xml:space="preserve"> S</w:t>
      </w:r>
      <w:r w:rsidRPr="00755D02">
        <w:t>ervice</w:t>
      </w:r>
      <w:r w:rsidR="00984C92" w:rsidRPr="00755D02">
        <w:t xml:space="preserve"> (FFS)</w:t>
      </w:r>
      <w:r w:rsidRPr="00755D02">
        <w:t xml:space="preserve"> payment where providers are reimbursed based on the quantity of services they provide, to a system that reimburses providers based on the value and quality of the services they provide.</w:t>
      </w:r>
      <w:r w:rsidR="00F54453" w:rsidRPr="00755D02">
        <w:t xml:space="preserve"> Refer to </w:t>
      </w:r>
      <w:hyperlink r:id="rId47" w:history="1">
        <w:r w:rsidR="00F54453" w:rsidRPr="0024576C">
          <w:rPr>
            <w:rStyle w:val="Hyperlink"/>
          </w:rPr>
          <w:t>DMH Value Based Payments (VBP)</w:t>
        </w:r>
      </w:hyperlink>
      <w:r w:rsidR="00F54453" w:rsidRPr="00755D02">
        <w:t xml:space="preserve"> for additional incentive detail</w:t>
      </w:r>
      <w:r w:rsidR="00273FB6" w:rsidRPr="00755D02">
        <w:t>s</w:t>
      </w:r>
      <w:r w:rsidR="00F54453" w:rsidRPr="00755D02">
        <w:t>.</w:t>
      </w:r>
    </w:p>
    <w:p w14:paraId="7EB7BCD3" w14:textId="77777777" w:rsidR="00610C4F" w:rsidRPr="00755D02" w:rsidRDefault="00610C4F" w:rsidP="004D59C2">
      <w:pPr>
        <w:pStyle w:val="NoSpacing"/>
        <w:spacing w:before="160" w:line="320" w:lineRule="atLeast"/>
      </w:pPr>
      <w:r w:rsidRPr="00755D02">
        <w:t>DD TCM providers are eligible for the following three (3) types of value-based payments:</w:t>
      </w:r>
    </w:p>
    <w:p w14:paraId="69D3EA7A" w14:textId="77777777" w:rsidR="004D59C2" w:rsidRPr="00755D02" w:rsidRDefault="004D59C2" w:rsidP="003C5C9B">
      <w:pPr>
        <w:pStyle w:val="BulletList1"/>
      </w:pPr>
      <w:bookmarkStart w:id="102" w:name="_Hlk180040213"/>
      <w:r w:rsidRPr="00755D02">
        <w:t xml:space="preserve">DD TCM providers are eligible for a VBP when the DD TCM staff serving in the role of the Health Risk Screening Tool (HRST) rater are engaged in completing the initial HRST for waiver participants. </w:t>
      </w:r>
      <w:r w:rsidR="00086164" w:rsidRPr="00755D02">
        <w:t xml:space="preserve"> </w:t>
      </w:r>
      <w:r w:rsidRPr="00755D02">
        <w:t xml:space="preserve">The performance period </w:t>
      </w:r>
      <w:r w:rsidR="008505C7" w:rsidRPr="00755D02">
        <w:t xml:space="preserve">is </w:t>
      </w:r>
      <w:r w:rsidRPr="00755D02">
        <w:t>a state fiscal year (SFY)</w:t>
      </w:r>
      <w:r w:rsidR="008505C7" w:rsidRPr="00755D02">
        <w:t>,</w:t>
      </w:r>
      <w:r w:rsidRPr="00755D02">
        <w:t xml:space="preserve"> </w:t>
      </w:r>
      <w:r w:rsidR="008505C7" w:rsidRPr="00755D02">
        <w:t>July 1 through June 30</w:t>
      </w:r>
      <w:r w:rsidR="00273FB6" w:rsidRPr="00755D02">
        <w:t>,</w:t>
      </w:r>
      <w:r w:rsidRPr="00755D02">
        <w:t xml:space="preserve"> starting </w:t>
      </w:r>
      <w:r w:rsidR="009A293C" w:rsidRPr="00755D02">
        <w:t>SFY</w:t>
      </w:r>
      <w:r w:rsidRPr="00755D02">
        <w:t xml:space="preserve"> 2023. The VBP is a standardized one-time payment rate of $72.20 per waiver participant for completi</w:t>
      </w:r>
      <w:r w:rsidR="00E527DE" w:rsidRPr="00755D02">
        <w:t>on</w:t>
      </w:r>
      <w:r w:rsidRPr="00755D02">
        <w:t xml:space="preserve"> of the initial HRST for the waiver participants in the electronic system prior to the end of SFY 2023. The VBP will be disbursed within </w:t>
      </w:r>
      <w:r w:rsidR="00425C2D" w:rsidRPr="00755D02">
        <w:t>six (</w:t>
      </w:r>
      <w:r w:rsidRPr="00755D02">
        <w:t>6</w:t>
      </w:r>
      <w:r w:rsidR="00425C2D" w:rsidRPr="00755D02">
        <w:t>)</w:t>
      </w:r>
      <w:r w:rsidRPr="00755D02">
        <w:t xml:space="preserve"> months following the end of </w:t>
      </w:r>
      <w:r w:rsidR="007A7624" w:rsidRPr="00755D02">
        <w:t xml:space="preserve">the </w:t>
      </w:r>
      <w:r w:rsidRPr="00755D02">
        <w:t>SFY</w:t>
      </w:r>
      <w:r w:rsidR="00086164" w:rsidRPr="00755D02">
        <w:t xml:space="preserve"> </w:t>
      </w:r>
      <w:r w:rsidRPr="00755D02">
        <w:t>2023.</w:t>
      </w:r>
    </w:p>
    <w:bookmarkEnd w:id="102"/>
    <w:p w14:paraId="01D74608" w14:textId="77777777" w:rsidR="000F0EE4" w:rsidRPr="00755D02" w:rsidRDefault="00495E94" w:rsidP="003C5C9B">
      <w:pPr>
        <w:pStyle w:val="BulletList1"/>
      </w:pPr>
      <w:r w:rsidRPr="00755D02">
        <w:t xml:space="preserve">DD TCM providers are eligible for a </w:t>
      </w:r>
      <w:r w:rsidR="00F45034" w:rsidRPr="00755D02">
        <w:t>reporting payment</w:t>
      </w:r>
      <w:r w:rsidR="009A293C" w:rsidRPr="00755D02">
        <w:t xml:space="preserve"> for submitting data elements when DD TCM staff serving in the role of the HRST rater have completed all three </w:t>
      </w:r>
      <w:r w:rsidR="001A24F7" w:rsidRPr="00755D02">
        <w:t xml:space="preserve">(3) </w:t>
      </w:r>
      <w:r w:rsidR="009A293C" w:rsidRPr="00755D02">
        <w:t xml:space="preserve">components of the MO Person-Centered Thinking (PCT) training. The performance period </w:t>
      </w:r>
      <w:r w:rsidR="008505C7" w:rsidRPr="00755D02">
        <w:t>is</w:t>
      </w:r>
      <w:r w:rsidR="009A293C" w:rsidRPr="00755D02">
        <w:t xml:space="preserve"> </w:t>
      </w:r>
      <w:proofErr w:type="gramStart"/>
      <w:r w:rsidR="009A293C" w:rsidRPr="00755D02">
        <w:t>a</w:t>
      </w:r>
      <w:proofErr w:type="gramEnd"/>
      <w:r w:rsidR="009A293C" w:rsidRPr="00755D02">
        <w:t xml:space="preserve"> SFY</w:t>
      </w:r>
      <w:r w:rsidR="008505C7" w:rsidRPr="00755D02">
        <w:t>, July 1 through June 30</w:t>
      </w:r>
      <w:r w:rsidR="00273FB6" w:rsidRPr="00755D02">
        <w:t>,</w:t>
      </w:r>
      <w:r w:rsidR="009A293C" w:rsidRPr="00755D02">
        <w:t xml:space="preserve"> </w:t>
      </w:r>
      <w:r w:rsidR="003E51BA" w:rsidRPr="00755D02">
        <w:t xml:space="preserve">starting </w:t>
      </w:r>
      <w:r w:rsidR="005F7089" w:rsidRPr="00755D02">
        <w:t>July</w:t>
      </w:r>
      <w:r w:rsidR="00834A74" w:rsidRPr="00755D02">
        <w:t xml:space="preserve"> 1</w:t>
      </w:r>
      <w:r w:rsidR="009A293C" w:rsidRPr="00755D02">
        <w:t xml:space="preserve"> of SFY 2025 and ending </w:t>
      </w:r>
      <w:r w:rsidR="00834A74" w:rsidRPr="00755D02">
        <w:t xml:space="preserve">June 30 </w:t>
      </w:r>
      <w:r w:rsidR="009A293C" w:rsidRPr="00755D02">
        <w:t xml:space="preserve">of SFY 2025. The data element reporting period is quarterly for a standardized one-time payment rate of $1,196.00 to the TCM </w:t>
      </w:r>
      <w:r w:rsidR="008045E0" w:rsidRPr="00755D02">
        <w:t>provider</w:t>
      </w:r>
      <w:r w:rsidR="009A293C" w:rsidRPr="00755D02">
        <w:t xml:space="preserve"> for each staff serving in the role of the MO HRST </w:t>
      </w:r>
      <w:r w:rsidR="00E527DE" w:rsidRPr="00755D02">
        <w:t>R</w:t>
      </w:r>
      <w:r w:rsidR="009A293C" w:rsidRPr="00755D02">
        <w:t xml:space="preserve">ater </w:t>
      </w:r>
      <w:r w:rsidR="009C2A7A" w:rsidRPr="00755D02">
        <w:t>who</w:t>
      </w:r>
      <w:r w:rsidR="009A293C" w:rsidRPr="00755D02">
        <w:t xml:space="preserve"> </w:t>
      </w:r>
      <w:r w:rsidR="009A293C" w:rsidRPr="00755D02">
        <w:lastRenderedPageBreak/>
        <w:t>complete</w:t>
      </w:r>
      <w:r w:rsidR="009C2A7A" w:rsidRPr="00755D02">
        <w:t>s</w:t>
      </w:r>
      <w:r w:rsidR="009A293C" w:rsidRPr="00755D02">
        <w:t xml:space="preserve"> the designated MO PCT training and submit</w:t>
      </w:r>
      <w:r w:rsidR="009C2A7A" w:rsidRPr="00755D02">
        <w:t>s</w:t>
      </w:r>
      <w:r w:rsidR="009A293C" w:rsidRPr="00755D02">
        <w:t xml:space="preserve"> the data elements to the state. The reporting payment will be disbursed within </w:t>
      </w:r>
      <w:r w:rsidR="009C2A7A" w:rsidRPr="00755D02">
        <w:t>six (</w:t>
      </w:r>
      <w:r w:rsidR="009A293C" w:rsidRPr="00755D02">
        <w:t>6</w:t>
      </w:r>
      <w:r w:rsidR="009C2A7A" w:rsidRPr="00755D02">
        <w:t>)</w:t>
      </w:r>
      <w:r w:rsidR="009A293C" w:rsidRPr="00755D02">
        <w:t xml:space="preserve"> months following the end of SFY 2025.</w:t>
      </w:r>
    </w:p>
    <w:p w14:paraId="3AA6501D" w14:textId="77777777" w:rsidR="000F0EE4" w:rsidRPr="00755D02" w:rsidRDefault="0094599F" w:rsidP="003C5C9B">
      <w:pPr>
        <w:pStyle w:val="BulletList1"/>
      </w:pPr>
      <w:r w:rsidRPr="00755D02">
        <w:t xml:space="preserve">DD TCM providers are eligible for a </w:t>
      </w:r>
      <w:r w:rsidR="00F45034" w:rsidRPr="00755D02">
        <w:t>reporting payment</w:t>
      </w:r>
      <w:r w:rsidR="000F0EE4" w:rsidRPr="00755D02">
        <w:t xml:space="preserve"> for submitting data elements when DD TCM staff serving in the role of the HRST rater have completed the Fatal Five for Case Managers training in the electronic system. The performance </w:t>
      </w:r>
      <w:r w:rsidR="003E51BA" w:rsidRPr="00755D02">
        <w:t xml:space="preserve">is </w:t>
      </w:r>
      <w:proofErr w:type="gramStart"/>
      <w:r w:rsidR="000F0EE4" w:rsidRPr="00755D02">
        <w:t>a</w:t>
      </w:r>
      <w:proofErr w:type="gramEnd"/>
      <w:r w:rsidR="000F0EE4" w:rsidRPr="00755D02">
        <w:t xml:space="preserve"> SFY</w:t>
      </w:r>
      <w:r w:rsidR="003E51BA" w:rsidRPr="00755D02">
        <w:t>,</w:t>
      </w:r>
      <w:r w:rsidR="000F0EE4" w:rsidRPr="00755D02">
        <w:t xml:space="preserve"> </w:t>
      </w:r>
      <w:r w:rsidR="003E51BA" w:rsidRPr="00755D02">
        <w:t>July 1 through June 30</w:t>
      </w:r>
      <w:r w:rsidR="00273FB6" w:rsidRPr="00755D02">
        <w:t>,</w:t>
      </w:r>
      <w:r w:rsidR="003E51BA" w:rsidRPr="00755D02">
        <w:t xml:space="preserve"> </w:t>
      </w:r>
      <w:r w:rsidR="000F0EE4" w:rsidRPr="00755D02">
        <w:t xml:space="preserve">starting </w:t>
      </w:r>
      <w:r w:rsidR="00834A74" w:rsidRPr="00755D02">
        <w:t xml:space="preserve">July 1 </w:t>
      </w:r>
      <w:r w:rsidR="000F0EE4" w:rsidRPr="00755D02">
        <w:t>of</w:t>
      </w:r>
      <w:r w:rsidR="005F7089" w:rsidRPr="00755D02">
        <w:t xml:space="preserve"> </w:t>
      </w:r>
      <w:r w:rsidR="000F0EE4" w:rsidRPr="00755D02">
        <w:t xml:space="preserve">SFY 2025 and ending </w:t>
      </w:r>
      <w:r w:rsidR="00834A74" w:rsidRPr="00755D02">
        <w:t xml:space="preserve">June 30 </w:t>
      </w:r>
      <w:r w:rsidR="000F0EE4" w:rsidRPr="00755D02">
        <w:t xml:space="preserve">of SFY 2025. The data element reporting period is quarterly for a standardized one-time payment rate of $520.00 to the TCM </w:t>
      </w:r>
      <w:r w:rsidR="008045E0" w:rsidRPr="00755D02">
        <w:t>provider</w:t>
      </w:r>
      <w:r w:rsidR="000F0EE4" w:rsidRPr="00755D02">
        <w:t xml:space="preserve"> for each assigned staff serving in the role </w:t>
      </w:r>
      <w:r w:rsidR="00273FB6" w:rsidRPr="00755D02">
        <w:t>of </w:t>
      </w:r>
      <w:r w:rsidR="000F0EE4" w:rsidRPr="00755D02">
        <w:t>MO HRST Rater</w:t>
      </w:r>
      <w:r w:rsidR="00273FB6" w:rsidRPr="00755D02">
        <w:t>,</w:t>
      </w:r>
      <w:r w:rsidR="000F0EE4" w:rsidRPr="00755D02">
        <w:t xml:space="preserve"> </w:t>
      </w:r>
      <w:r w:rsidR="009C2A7A" w:rsidRPr="00755D02">
        <w:t>who</w:t>
      </w:r>
      <w:r w:rsidR="000F0EE4" w:rsidRPr="00755D02">
        <w:t xml:space="preserve"> completes the designated Fatal Five for Case Managers training and submit</w:t>
      </w:r>
      <w:r w:rsidR="009C2A7A" w:rsidRPr="00755D02">
        <w:t>s</w:t>
      </w:r>
      <w:r w:rsidR="000F0EE4" w:rsidRPr="00755D02">
        <w:t xml:space="preserve"> the data elements to the state. The reporting payment will be disbursed within </w:t>
      </w:r>
      <w:r w:rsidR="009C2A7A" w:rsidRPr="00755D02">
        <w:t>six (</w:t>
      </w:r>
      <w:r w:rsidR="000F0EE4" w:rsidRPr="00755D02">
        <w:t>6</w:t>
      </w:r>
      <w:r w:rsidR="009C2A7A" w:rsidRPr="00755D02">
        <w:t>)</w:t>
      </w:r>
      <w:r w:rsidR="000F0EE4" w:rsidRPr="00755D02">
        <w:t xml:space="preserve"> months following </w:t>
      </w:r>
      <w:bookmarkEnd w:id="101"/>
      <w:r w:rsidR="000F0EE4" w:rsidRPr="00755D02">
        <w:t>the end of SFY 2025.</w:t>
      </w:r>
      <w:bookmarkStart w:id="103" w:name="_Toc521916576"/>
    </w:p>
    <w:p w14:paraId="195C2CA6" w14:textId="77777777" w:rsidR="00364A74" w:rsidRPr="00E9062D" w:rsidRDefault="00364A74" w:rsidP="004F3369">
      <w:pPr>
        <w:pStyle w:val="Heading2"/>
        <w:rPr>
          <w:rFonts w:eastAsia="Times New Roman"/>
        </w:rPr>
      </w:pPr>
      <w:bookmarkStart w:id="104" w:name="_Section_7:_"/>
      <w:bookmarkStart w:id="105" w:name="_Toc226444471"/>
      <w:bookmarkEnd w:id="104"/>
      <w:r w:rsidRPr="00E9062D">
        <w:rPr>
          <w:rFonts w:eastAsia="Times New Roman"/>
        </w:rPr>
        <w:t>Section 7</w:t>
      </w:r>
      <w:r w:rsidR="00703DFB" w:rsidRPr="00E9062D">
        <w:rPr>
          <w:rFonts w:eastAsia="Times New Roman"/>
        </w:rPr>
        <w:t xml:space="preserve">:  </w:t>
      </w:r>
      <w:r w:rsidRPr="00E9062D">
        <w:rPr>
          <w:rFonts w:eastAsia="Times New Roman"/>
        </w:rPr>
        <w:t>Adequate Documentation</w:t>
      </w:r>
      <w:bookmarkEnd w:id="103"/>
      <w:bookmarkEnd w:id="105"/>
    </w:p>
    <w:p w14:paraId="0029AB0F" w14:textId="77777777" w:rsidR="00364A74" w:rsidRPr="003D25D2" w:rsidRDefault="00364A74" w:rsidP="00E17248">
      <w:r w:rsidRPr="003D25D2">
        <w:t xml:space="preserve">As </w:t>
      </w:r>
      <w:r w:rsidR="00E527DE">
        <w:t>Targeted Case Management (</w:t>
      </w:r>
      <w:r w:rsidRPr="003D25D2">
        <w:t>TCM</w:t>
      </w:r>
      <w:r w:rsidR="00E527DE">
        <w:t>)</w:t>
      </w:r>
      <w:r w:rsidRPr="003D25D2">
        <w:t xml:space="preserve"> services are provided, the support coordinator</w:t>
      </w:r>
      <w:r w:rsidR="00105857">
        <w:t xml:space="preserve"> (SC)</w:t>
      </w:r>
      <w:r w:rsidRPr="003D25D2">
        <w:t xml:space="preserve"> is responsible for logging the activity. The Division</w:t>
      </w:r>
      <w:r w:rsidR="004473D5">
        <w:t xml:space="preserve"> of DD</w:t>
      </w:r>
      <w:r w:rsidRPr="003D25D2">
        <w:t>’s information system</w:t>
      </w:r>
      <w:r w:rsidR="00E527DE">
        <w:t>,</w:t>
      </w:r>
      <w:r w:rsidRPr="003D25D2">
        <w:t xml:space="preserve"> </w:t>
      </w:r>
      <w:r w:rsidR="00E527DE">
        <w:t>Customer Information Management</w:t>
      </w:r>
      <w:r w:rsidR="00CB5913">
        <w:t>,</w:t>
      </w:r>
      <w:r w:rsidR="00E527DE">
        <w:t xml:space="preserve"> Outcomes </w:t>
      </w:r>
      <w:r w:rsidR="00CB5913">
        <w:t>&amp;</w:t>
      </w:r>
      <w:r w:rsidR="00E527DE">
        <w:t xml:space="preserve"> Reporting</w:t>
      </w:r>
      <w:r w:rsidR="00E527DE" w:rsidRPr="003D25D2">
        <w:t xml:space="preserve"> </w:t>
      </w:r>
      <w:r w:rsidR="00E527DE">
        <w:t>(</w:t>
      </w:r>
      <w:r w:rsidRPr="003D25D2">
        <w:t>CIMOR</w:t>
      </w:r>
      <w:r w:rsidR="00E527DE">
        <w:t>),</w:t>
      </w:r>
      <w:r w:rsidRPr="003D25D2">
        <w:t xml:space="preserve"> includes TCM logging screens so that </w:t>
      </w:r>
      <w:r w:rsidR="00105857">
        <w:t>SC</w:t>
      </w:r>
      <w:r w:rsidRPr="003D25D2">
        <w:t>s can log activities directly into the system as services are provided. The automated system also has an expandable field for entering a narrative explanation, which, in this manual, is called a case note</w:t>
      </w:r>
      <w:r w:rsidR="00E527DE">
        <w:t>.</w:t>
      </w:r>
    </w:p>
    <w:p w14:paraId="59940E41" w14:textId="77777777" w:rsidR="00364A74" w:rsidRDefault="000021CF" w:rsidP="00E17248">
      <w:r w:rsidRPr="003D25D2">
        <w:t>For</w:t>
      </w:r>
      <w:r w:rsidR="00364A74" w:rsidRPr="003D25D2">
        <w:t xml:space="preserve"> TCM services to be billed to </w:t>
      </w:r>
      <w:r w:rsidR="00E527DE">
        <w:t>the MO HealthNet Division (</w:t>
      </w:r>
      <w:r w:rsidR="00CE5C51">
        <w:t>MHD</w:t>
      </w:r>
      <w:r w:rsidR="00E527DE">
        <w:t>)</w:t>
      </w:r>
      <w:r w:rsidR="00364A74" w:rsidRPr="003D25D2">
        <w:t xml:space="preserve">, there must be an identifiable charge related to an identifiable and allowable service that was rendered by a qualified provider on behalf of an eligible </w:t>
      </w:r>
      <w:r w:rsidR="00364A74">
        <w:t xml:space="preserve">individual </w:t>
      </w:r>
      <w:r w:rsidR="00364A74" w:rsidRPr="003D25D2">
        <w:t>included in the target group.</w:t>
      </w:r>
    </w:p>
    <w:p w14:paraId="1FF3A91C" w14:textId="77777777" w:rsidR="00E527DE" w:rsidRPr="003D25D2" w:rsidRDefault="00E527DE" w:rsidP="00E17248">
      <w:r w:rsidRPr="003D25D2">
        <w:t xml:space="preserve">Each provider is responsible for developing their own logging system, which may be either on paper or a computer system. The provider must ensure that the system collects </w:t>
      </w:r>
      <w:r>
        <w:t xml:space="preserve">the </w:t>
      </w:r>
      <w:r w:rsidRPr="003D25D2">
        <w:t>minimum required information specified below.</w:t>
      </w:r>
    </w:p>
    <w:p w14:paraId="61AB62B3" w14:textId="77777777" w:rsidR="00364A74" w:rsidRPr="00E9062D" w:rsidRDefault="00A10E5E" w:rsidP="00EE3319">
      <w:pPr>
        <w:pStyle w:val="Heading3"/>
      </w:pPr>
      <w:bookmarkStart w:id="106" w:name="_Toc521916577"/>
      <w:bookmarkStart w:id="107" w:name="_Toc226444472"/>
      <w:r w:rsidRPr="00E9062D">
        <w:t xml:space="preserve">7.1 </w:t>
      </w:r>
      <w:r w:rsidR="00364A74" w:rsidRPr="00E9062D">
        <w:t>Required Information</w:t>
      </w:r>
      <w:bookmarkEnd w:id="106"/>
      <w:bookmarkEnd w:id="107"/>
    </w:p>
    <w:p w14:paraId="06F64A77" w14:textId="77777777" w:rsidR="00364A74" w:rsidRPr="00654F4E" w:rsidRDefault="00364A74" w:rsidP="00E17248">
      <w:r w:rsidRPr="00654F4E">
        <w:t xml:space="preserve">Missouri State plan for </w:t>
      </w:r>
      <w:r w:rsidR="00E527DE" w:rsidRPr="00654F4E">
        <w:t>Developmental Disabilities (</w:t>
      </w:r>
      <w:r w:rsidRPr="00654F4E">
        <w:t>DD</w:t>
      </w:r>
      <w:r w:rsidR="00E527DE" w:rsidRPr="00654F4E">
        <w:t>)</w:t>
      </w:r>
      <w:r w:rsidRPr="00654F4E">
        <w:t xml:space="preserve"> Case Management for individuals with </w:t>
      </w:r>
      <w:r w:rsidR="00E527DE" w:rsidRPr="00654F4E">
        <w:t>DD</w:t>
      </w:r>
      <w:r w:rsidRPr="00654F4E">
        <w:t xml:space="preserve"> indicates providers shall maintain case records that document the following for all individuals receiving case management</w:t>
      </w:r>
      <w:r w:rsidR="00E527DE" w:rsidRPr="00654F4E">
        <w:t>. Case records must include the following required information</w:t>
      </w:r>
      <w:r w:rsidRPr="00654F4E">
        <w:t>:</w:t>
      </w:r>
    </w:p>
    <w:p w14:paraId="31937E1D" w14:textId="77777777" w:rsidR="00364A74" w:rsidRPr="00654F4E" w:rsidRDefault="00E527DE" w:rsidP="003C5C9B">
      <w:pPr>
        <w:pStyle w:val="BulletList1"/>
      </w:pPr>
      <w:r w:rsidRPr="00654F4E">
        <w:t>N</w:t>
      </w:r>
      <w:r w:rsidR="00364A74" w:rsidRPr="00654F4E">
        <w:t>ame of the individual</w:t>
      </w:r>
    </w:p>
    <w:p w14:paraId="0259F1EF" w14:textId="77777777" w:rsidR="00364A74" w:rsidRPr="00654F4E" w:rsidRDefault="00E527DE" w:rsidP="003C5C9B">
      <w:pPr>
        <w:pStyle w:val="BulletList1"/>
      </w:pPr>
      <w:r w:rsidRPr="00654F4E">
        <w:t>D</w:t>
      </w:r>
      <w:r w:rsidR="00364A74" w:rsidRPr="00654F4E">
        <w:t>ates of the case management service</w:t>
      </w:r>
      <w:r w:rsidR="008546A6" w:rsidRPr="00654F4E">
        <w:t xml:space="preserve"> (month/day/year)</w:t>
      </w:r>
    </w:p>
    <w:p w14:paraId="4FA317AB" w14:textId="77777777" w:rsidR="00364A74" w:rsidRPr="00654F4E" w:rsidRDefault="00E527DE" w:rsidP="003C5C9B">
      <w:pPr>
        <w:pStyle w:val="BulletList1"/>
      </w:pPr>
      <w:r w:rsidRPr="00654F4E">
        <w:t>N</w:t>
      </w:r>
      <w:r w:rsidR="00364A74" w:rsidRPr="00654F4E">
        <w:t>ame of the provider agency (if relevant) and the person providing the case management service</w:t>
      </w:r>
    </w:p>
    <w:p w14:paraId="3ECFDDA8" w14:textId="77777777" w:rsidR="00364A74" w:rsidRPr="00654F4E" w:rsidRDefault="00E527DE" w:rsidP="003C5C9B">
      <w:pPr>
        <w:pStyle w:val="BulletList1"/>
      </w:pPr>
      <w:r w:rsidRPr="00654F4E">
        <w:lastRenderedPageBreak/>
        <w:t>N</w:t>
      </w:r>
      <w:r w:rsidR="00364A74" w:rsidRPr="00654F4E">
        <w:t>ature, content, units of case management services received and whether the goals specified in the care plan have been achieved</w:t>
      </w:r>
    </w:p>
    <w:p w14:paraId="47773B0A" w14:textId="77777777" w:rsidR="00364A74" w:rsidRPr="00654F4E" w:rsidRDefault="00364A74" w:rsidP="003C5C9B">
      <w:pPr>
        <w:pStyle w:val="BulletList1"/>
      </w:pPr>
      <w:r w:rsidRPr="00654F4E">
        <w:t>Whether the individual has declined services in the care plan</w:t>
      </w:r>
    </w:p>
    <w:p w14:paraId="4420D3A3" w14:textId="77777777" w:rsidR="00364A74" w:rsidRPr="00654F4E" w:rsidRDefault="00E527DE" w:rsidP="003C5C9B">
      <w:pPr>
        <w:pStyle w:val="BulletList1"/>
      </w:pPr>
      <w:r w:rsidRPr="00654F4E">
        <w:t>N</w:t>
      </w:r>
      <w:r w:rsidR="00364A74" w:rsidRPr="00654F4E">
        <w:t>eed for, and occurrences of, coordination with other case managers</w:t>
      </w:r>
    </w:p>
    <w:p w14:paraId="3A63E85C" w14:textId="77777777" w:rsidR="00364A74" w:rsidRPr="00654F4E" w:rsidRDefault="00E527DE" w:rsidP="003C5C9B">
      <w:pPr>
        <w:pStyle w:val="BulletList1"/>
      </w:pPr>
      <w:r w:rsidRPr="00654F4E">
        <w:t>T</w:t>
      </w:r>
      <w:r w:rsidR="00364A74" w:rsidRPr="00654F4E">
        <w:t>imeline for obtaining needed services</w:t>
      </w:r>
    </w:p>
    <w:p w14:paraId="25D5EA97" w14:textId="77777777" w:rsidR="00364A74" w:rsidRPr="00654F4E" w:rsidRDefault="00E527DE" w:rsidP="003C5C9B">
      <w:pPr>
        <w:pStyle w:val="BulletList1"/>
      </w:pPr>
      <w:r w:rsidRPr="00654F4E">
        <w:t>T</w:t>
      </w:r>
      <w:r w:rsidR="00364A74" w:rsidRPr="00654F4E">
        <w:t>imeline for re-evaluation of the plan</w:t>
      </w:r>
    </w:p>
    <w:p w14:paraId="1A955C2E" w14:textId="77777777" w:rsidR="00364A74" w:rsidRPr="00654F4E" w:rsidRDefault="00364A74" w:rsidP="00E17248">
      <w:r w:rsidRPr="00654F4E">
        <w:t xml:space="preserve">Further information on the above documentation requirements </w:t>
      </w:r>
      <w:r w:rsidR="005B4A3E" w:rsidRPr="00654F4E">
        <w:t>is</w:t>
      </w:r>
      <w:r w:rsidRPr="00654F4E">
        <w:t xml:space="preserve"> described below and in other sections of this manual, where applicable.</w:t>
      </w:r>
    </w:p>
    <w:p w14:paraId="6EFE0276" w14:textId="77777777" w:rsidR="00364A74" w:rsidRPr="00654F4E" w:rsidRDefault="00364A74" w:rsidP="00E17248">
      <w:r w:rsidRPr="00654F4E">
        <w:t xml:space="preserve">Documentation requirements for TCM provided by </w:t>
      </w:r>
      <w:r w:rsidR="00E527DE" w:rsidRPr="00654F4E">
        <w:t>the Department of Mental Health (</w:t>
      </w:r>
      <w:r w:rsidR="00F86034" w:rsidRPr="00654F4E">
        <w:t>DMH</w:t>
      </w:r>
      <w:r w:rsidR="00E527DE" w:rsidRPr="00654F4E">
        <w:t>)</w:t>
      </w:r>
      <w:r w:rsidRPr="00654F4E">
        <w:t xml:space="preserve"> are found in </w:t>
      </w:r>
      <w:hyperlink r:id="rId48" w:anchor="13-70" w:history="1">
        <w:r w:rsidRPr="0024576C">
          <w:rPr>
            <w:rStyle w:val="Hyperlink"/>
          </w:rPr>
          <w:t>13 CSR 70-3.030</w:t>
        </w:r>
      </w:hyperlink>
      <w:r w:rsidRPr="00654F4E">
        <w:rPr>
          <w:b/>
        </w:rPr>
        <w:t>.</w:t>
      </w:r>
    </w:p>
    <w:p w14:paraId="21B15A16" w14:textId="77777777" w:rsidR="00364A74" w:rsidRPr="00654F4E" w:rsidRDefault="00364A74" w:rsidP="00E17248">
      <w:r w:rsidRPr="00654F4E">
        <w:t xml:space="preserve">Logging documentation shall be completed contemporaneously with the date the TCM activity was provided. For purposes of documentation, </w:t>
      </w:r>
      <w:hyperlink r:id="rId49" w:anchor="13-70" w:history="1">
        <w:r w:rsidRPr="0024576C">
          <w:rPr>
            <w:rStyle w:val="Hyperlink"/>
          </w:rPr>
          <w:t>13 CSR 70-3.030</w:t>
        </w:r>
      </w:hyperlink>
      <w:r w:rsidRPr="00654F4E">
        <w:t xml:space="preserve"> defines contemporaneous as the time the service was performed or within five (5) business days, of the time the service was provided.</w:t>
      </w:r>
    </w:p>
    <w:p w14:paraId="2BD9C327" w14:textId="77777777" w:rsidR="00364A74" w:rsidRPr="00654F4E" w:rsidRDefault="00364A74" w:rsidP="00E17248">
      <w:r w:rsidRPr="00654F4E">
        <w:t xml:space="preserve">The </w:t>
      </w:r>
      <w:r w:rsidR="0027630B" w:rsidRPr="00654F4E">
        <w:t>SC</w:t>
      </w:r>
      <w:r w:rsidRPr="00654F4E">
        <w:t xml:space="preserve"> is responsible for including the following information when a case note is made to support billing to </w:t>
      </w:r>
      <w:r w:rsidR="00CE5C51" w:rsidRPr="00654F4E">
        <w:t>MHD</w:t>
      </w:r>
      <w:r w:rsidRPr="00654F4E">
        <w:t>:</w:t>
      </w:r>
    </w:p>
    <w:p w14:paraId="5C207BBE" w14:textId="77777777" w:rsidR="00364A74" w:rsidRPr="00654F4E" w:rsidRDefault="00364A74" w:rsidP="003C5C9B">
      <w:pPr>
        <w:pStyle w:val="BulletList1"/>
      </w:pPr>
      <w:r w:rsidRPr="00654F4E">
        <w:t>First name, last name</w:t>
      </w:r>
      <w:r w:rsidR="008546A6" w:rsidRPr="00654F4E">
        <w:t>,</w:t>
      </w:r>
      <w:r w:rsidRPr="00654F4E">
        <w:t xml:space="preserve"> and either middle initial or date of birth of the MO HealthNet participant</w:t>
      </w:r>
    </w:p>
    <w:p w14:paraId="65381A4A" w14:textId="77777777" w:rsidR="00364A74" w:rsidRPr="00654F4E" w:rsidRDefault="00364A74" w:rsidP="003C5C9B">
      <w:pPr>
        <w:pStyle w:val="BulletList1"/>
      </w:pPr>
      <w:r w:rsidRPr="00654F4E">
        <w:t>Accurate, complete, and legible case note of each service provided; DMH ID</w:t>
      </w:r>
      <w:r w:rsidR="00E527DE" w:rsidRPr="00654F4E">
        <w:t xml:space="preserve"> number</w:t>
      </w:r>
      <w:r w:rsidRPr="00654F4E">
        <w:t xml:space="preserve"> of the individual receiving service</w:t>
      </w:r>
    </w:p>
    <w:p w14:paraId="345562CC" w14:textId="77777777" w:rsidR="00364A74" w:rsidRPr="00654F4E" w:rsidRDefault="00364A74" w:rsidP="003C5C9B">
      <w:pPr>
        <w:pStyle w:val="BulletList1"/>
      </w:pPr>
      <w:r w:rsidRPr="00654F4E">
        <w:t xml:space="preserve">Name of the </w:t>
      </w:r>
      <w:r w:rsidR="0027630B" w:rsidRPr="00654F4E">
        <w:t>SC</w:t>
      </w:r>
      <w:r w:rsidRPr="00654F4E">
        <w:t xml:space="preserve"> providing the logged service activity</w:t>
      </w:r>
    </w:p>
    <w:p w14:paraId="4ABC04C0" w14:textId="77777777" w:rsidR="00364A74" w:rsidRPr="00654F4E" w:rsidRDefault="00364A74" w:rsidP="003C5C9B">
      <w:pPr>
        <w:pStyle w:val="BulletList1"/>
      </w:pPr>
      <w:r w:rsidRPr="00654F4E">
        <w:t>Date the service was provided (month/day/year)</w:t>
      </w:r>
    </w:p>
    <w:p w14:paraId="2A0F0F05" w14:textId="77777777" w:rsidR="00364A74" w:rsidRPr="00EE3319" w:rsidRDefault="00364A74" w:rsidP="003C5C9B">
      <w:pPr>
        <w:pStyle w:val="BulletList1"/>
      </w:pPr>
      <w:r w:rsidRPr="00654F4E">
        <w:t>Amount of time in hours and minutes required to complete each TCM activity</w:t>
      </w:r>
      <w:r w:rsidR="0027630B" w:rsidRPr="00654F4E">
        <w:t>; i</w:t>
      </w:r>
      <w:r w:rsidRPr="00654F4E">
        <w:t>ndicate any time spent in travel associated with the TCM activity</w:t>
      </w:r>
      <w:r w:rsidR="008546A6" w:rsidRPr="00654F4E">
        <w:t xml:space="preserve"> </w:t>
      </w:r>
      <w:r w:rsidR="0027630B" w:rsidRPr="00654F4E">
        <w:t>(</w:t>
      </w:r>
      <w:r w:rsidR="00EE3319">
        <w:t>r</w:t>
      </w:r>
      <w:r w:rsidR="00EE3319" w:rsidRPr="00654F4E">
        <w:t xml:space="preserve">efer </w:t>
      </w:r>
      <w:r w:rsidR="008546A6" w:rsidRPr="00654F4E">
        <w:t xml:space="preserve">to </w:t>
      </w:r>
      <w:hyperlink w:anchor="_Travel_Time" w:history="1">
        <w:r w:rsidR="008546A6" w:rsidRPr="00654F4E">
          <w:rPr>
            <w:rStyle w:val="Hyperlink"/>
          </w:rPr>
          <w:t>Travel Time</w:t>
        </w:r>
      </w:hyperlink>
      <w:r w:rsidR="008546A6" w:rsidRPr="00EE3319">
        <w:t xml:space="preserve"> </w:t>
      </w:r>
      <w:r w:rsidR="00D20BB3" w:rsidRPr="00EE3319">
        <w:rPr>
          <w:bCs/>
        </w:rPr>
        <w:t>below</w:t>
      </w:r>
      <w:r w:rsidR="0027630B" w:rsidRPr="00EE3319">
        <w:t>)</w:t>
      </w:r>
    </w:p>
    <w:p w14:paraId="1EC0016B" w14:textId="77777777" w:rsidR="00364A74" w:rsidRPr="00654F4E" w:rsidRDefault="00364A74" w:rsidP="003C5C9B">
      <w:pPr>
        <w:pStyle w:val="BulletList1"/>
      </w:pPr>
      <w:r w:rsidRPr="00654F4E">
        <w:t>Setting in which service was rendered (Service Location)</w:t>
      </w:r>
    </w:p>
    <w:p w14:paraId="47032E1A" w14:textId="77777777" w:rsidR="00364A74" w:rsidRPr="00654F4E" w:rsidRDefault="00364A74" w:rsidP="003C5C9B">
      <w:pPr>
        <w:pStyle w:val="BulletList1"/>
      </w:pPr>
      <w:r w:rsidRPr="00654F4E">
        <w:t>Individual plan with regular updates</w:t>
      </w:r>
    </w:p>
    <w:p w14:paraId="600C792E" w14:textId="77777777" w:rsidR="00364A74" w:rsidRPr="00654F4E" w:rsidRDefault="00364A74" w:rsidP="003C5C9B">
      <w:pPr>
        <w:pStyle w:val="BulletList1"/>
      </w:pPr>
      <w:r w:rsidRPr="00654F4E">
        <w:t>Progress notes</w:t>
      </w:r>
    </w:p>
    <w:p w14:paraId="5991BC77" w14:textId="77777777" w:rsidR="00364A74" w:rsidRPr="00654F4E" w:rsidRDefault="00364A74" w:rsidP="003C5C9B">
      <w:pPr>
        <w:pStyle w:val="BulletList1"/>
      </w:pPr>
      <w:r w:rsidRPr="00654F4E">
        <w:t>Discharge summaries when applicable</w:t>
      </w:r>
    </w:p>
    <w:p w14:paraId="46F80A81" w14:textId="77777777" w:rsidR="00364A74" w:rsidRPr="00654F4E" w:rsidRDefault="00364A74" w:rsidP="003C5C9B">
      <w:pPr>
        <w:pStyle w:val="BulletList1"/>
      </w:pPr>
      <w:r w:rsidRPr="00654F4E">
        <w:t>Other relevant documents referenced in the case notes such as letters, forms, quarterly reports, and plans of care</w:t>
      </w:r>
    </w:p>
    <w:p w14:paraId="34B7D892" w14:textId="77777777" w:rsidR="00364A74" w:rsidRPr="005A48E0" w:rsidRDefault="008546A6" w:rsidP="00576DD2">
      <w:pPr>
        <w:pStyle w:val="Heading4"/>
      </w:pPr>
      <w:bookmarkStart w:id="108" w:name="_Travel_Time_Case"/>
      <w:bookmarkStart w:id="109" w:name="_Travel_Time"/>
      <w:bookmarkStart w:id="110" w:name="_Toc226444473"/>
      <w:bookmarkEnd w:id="108"/>
      <w:bookmarkEnd w:id="109"/>
      <w:r w:rsidRPr="005A48E0">
        <w:lastRenderedPageBreak/>
        <w:t>Travel Time</w:t>
      </w:r>
      <w:bookmarkEnd w:id="110"/>
      <w:r w:rsidRPr="005A48E0">
        <w:t xml:space="preserve"> </w:t>
      </w:r>
    </w:p>
    <w:p w14:paraId="0BFC2D7D" w14:textId="77777777" w:rsidR="00364A74" w:rsidRDefault="00364A74" w:rsidP="00E17248">
      <w:r w:rsidRPr="00954F14">
        <w:t xml:space="preserve">The </w:t>
      </w:r>
      <w:r w:rsidR="0027630B">
        <w:t>SC</w:t>
      </w:r>
      <w:r w:rsidRPr="00954F14">
        <w:t xml:space="preserve"> should indicate in the case note </w:t>
      </w:r>
      <w:r>
        <w:t xml:space="preserve">the </w:t>
      </w:r>
      <w:r w:rsidRPr="00954F14">
        <w:t xml:space="preserve">total amount of travel time to and from </w:t>
      </w:r>
      <w:r w:rsidR="008546A6">
        <w:t xml:space="preserve">an </w:t>
      </w:r>
      <w:r w:rsidRPr="00954F14">
        <w:t>activity or break out travel time to the activity and from the activity.</w:t>
      </w:r>
    </w:p>
    <w:p w14:paraId="6469BCB8" w14:textId="77777777" w:rsidR="0027630B" w:rsidRDefault="0027630B" w:rsidP="00E17248">
      <w:r w:rsidRPr="00576DD2">
        <w:rPr>
          <w:b/>
          <w:bCs/>
          <w:i/>
          <w:iCs/>
        </w:rPr>
        <w:t>Example:</w:t>
      </w:r>
      <w:r>
        <w:t xml:space="preserve"> Travel time can be noted as either of the following:</w:t>
      </w:r>
    </w:p>
    <w:p w14:paraId="4779D468" w14:textId="77777777" w:rsidR="005B60D7" w:rsidRDefault="005B4A3E" w:rsidP="003C5C9B">
      <w:pPr>
        <w:pStyle w:val="BulletList1"/>
      </w:pPr>
      <w:r w:rsidRPr="00954F14">
        <w:t>“</w:t>
      </w:r>
      <w:r w:rsidR="00570E63">
        <w:t>Person-Centered Service Plan (PCSP)</w:t>
      </w:r>
      <w:r w:rsidR="00364A74" w:rsidRPr="00954F14">
        <w:t xml:space="preserve"> </w:t>
      </w:r>
      <w:r w:rsidR="00DD6608">
        <w:t xml:space="preserve">was </w:t>
      </w:r>
      <w:r w:rsidR="00364A74" w:rsidRPr="00954F14">
        <w:t>completed at the individual’s home. Travel time to and from the</w:t>
      </w:r>
      <w:r w:rsidR="00364A74">
        <w:t xml:space="preserve"> individual</w:t>
      </w:r>
      <w:r w:rsidR="00364A74" w:rsidRPr="00954F14">
        <w:t>’s home total</w:t>
      </w:r>
      <w:r w:rsidR="008546A6">
        <w:t>s</w:t>
      </w:r>
      <w:r w:rsidR="00364A74" w:rsidRPr="00954F14">
        <w:t xml:space="preserve"> 1 hour</w:t>
      </w:r>
      <w:r w:rsidR="00364A74">
        <w:t>.</w:t>
      </w:r>
      <w:r w:rsidR="00364A74" w:rsidRPr="00954F14">
        <w:t xml:space="preserve">” </w:t>
      </w:r>
    </w:p>
    <w:p w14:paraId="27D67366" w14:textId="77777777" w:rsidR="00364A74" w:rsidRPr="00954F14" w:rsidRDefault="00364A74" w:rsidP="003C5C9B">
      <w:pPr>
        <w:pStyle w:val="BulletList1"/>
      </w:pPr>
      <w:r w:rsidRPr="00954F14">
        <w:t>“</w:t>
      </w:r>
      <w:r w:rsidR="005B60D7">
        <w:t>T</w:t>
      </w:r>
      <w:r w:rsidR="005B60D7" w:rsidRPr="00954F14">
        <w:t xml:space="preserve">ravel </w:t>
      </w:r>
      <w:r w:rsidRPr="00954F14">
        <w:t xml:space="preserve">time from </w:t>
      </w:r>
      <w:r w:rsidR="00DD6608">
        <w:t xml:space="preserve">the </w:t>
      </w:r>
      <w:r w:rsidRPr="00954F14">
        <w:t>office to the</w:t>
      </w:r>
      <w:r>
        <w:t xml:space="preserve"> individual</w:t>
      </w:r>
      <w:r w:rsidRPr="00954F14">
        <w:t>’s home was 30 minutes, and from the</w:t>
      </w:r>
      <w:r>
        <w:t xml:space="preserve"> individual</w:t>
      </w:r>
      <w:r w:rsidRPr="00954F14">
        <w:t>’s home back to the office was 30 minutes.”</w:t>
      </w:r>
    </w:p>
    <w:p w14:paraId="6915CCD2" w14:textId="77777777" w:rsidR="00364A74" w:rsidRDefault="00364A74" w:rsidP="00E17248">
      <w:bookmarkStart w:id="111" w:name="_Hlk179875748"/>
      <w:r w:rsidRPr="00954F14">
        <w:t xml:space="preserve">If a </w:t>
      </w:r>
      <w:r w:rsidR="005B60D7">
        <w:t>SC</w:t>
      </w:r>
      <w:r w:rsidRPr="00954F14">
        <w:t xml:space="preserve"> is </w:t>
      </w:r>
      <w:r w:rsidR="00DD6608">
        <w:t>performing</w:t>
      </w:r>
      <w:r w:rsidRPr="00954F14">
        <w:t xml:space="preserve"> multiple TCM functions for more than one</w:t>
      </w:r>
      <w:r w:rsidR="008546A6">
        <w:t xml:space="preserve"> (1)</w:t>
      </w:r>
      <w:r w:rsidRPr="00954F14">
        <w:t xml:space="preserve"> </w:t>
      </w:r>
      <w:r>
        <w:t xml:space="preserve">individual </w:t>
      </w:r>
      <w:proofErr w:type="gramStart"/>
      <w:r w:rsidRPr="00954F14">
        <w:t>in a given</w:t>
      </w:r>
      <w:proofErr w:type="gramEnd"/>
      <w:r w:rsidRPr="00954F14">
        <w:t xml:space="preserve"> day, the </w:t>
      </w:r>
      <w:r w:rsidR="005B60D7">
        <w:t>SC</w:t>
      </w:r>
      <w:r w:rsidRPr="00954F14">
        <w:t xml:space="preserve"> may split the total travel time. This may involve travel</w:t>
      </w:r>
      <w:r w:rsidR="00DD6608">
        <w:t>ing</w:t>
      </w:r>
      <w:r w:rsidRPr="00954F14">
        <w:t xml:space="preserve"> to one</w:t>
      </w:r>
      <w:r w:rsidR="008546A6">
        <w:t xml:space="preserve"> (1)</w:t>
      </w:r>
      <w:r w:rsidRPr="00954F14">
        <w:t xml:space="preserve"> or more locations </w:t>
      </w:r>
      <w:r w:rsidR="00DD6608">
        <w:t>while providing billable TCM</w:t>
      </w:r>
      <w:r w:rsidRPr="00954F14">
        <w:t xml:space="preserve"> for more than one</w:t>
      </w:r>
      <w:r w:rsidR="008546A6">
        <w:t xml:space="preserve"> (1)</w:t>
      </w:r>
      <w:r>
        <w:t xml:space="preserve"> individual</w:t>
      </w:r>
      <w:r w:rsidRPr="00954F14">
        <w:t xml:space="preserve">. </w:t>
      </w:r>
      <w:bookmarkEnd w:id="111"/>
    </w:p>
    <w:p w14:paraId="045F7A0C" w14:textId="77777777" w:rsidR="00364A74" w:rsidRPr="00954F14" w:rsidRDefault="005B60D7" w:rsidP="00E17248">
      <w:bookmarkStart w:id="112" w:name="_Hlk179875432"/>
      <w:r w:rsidRPr="00576DD2">
        <w:rPr>
          <w:b/>
          <w:bCs/>
          <w:i/>
          <w:iCs/>
        </w:rPr>
        <w:t>Example:</w:t>
      </w:r>
      <w:r>
        <w:t xml:space="preserve"> When </w:t>
      </w:r>
      <w:r w:rsidR="00DD6608">
        <w:t>providing s</w:t>
      </w:r>
      <w:r w:rsidR="00364A74" w:rsidRPr="00954F14">
        <w:t>upport monitoring for more than one</w:t>
      </w:r>
      <w:r w:rsidR="008546A6">
        <w:t xml:space="preserve"> (1)</w:t>
      </w:r>
      <w:r w:rsidR="00364A74" w:rsidRPr="00954F14">
        <w:t xml:space="preserve"> individual at a group home, the travel time can be equally split among the individuals for whom the support monitoring was conducted. If the travel to and from the group home </w:t>
      </w:r>
      <w:r>
        <w:t xml:space="preserve">for support monitoring </w:t>
      </w:r>
      <w:r w:rsidR="00364A74" w:rsidRPr="00954F14">
        <w:t>w</w:t>
      </w:r>
      <w:r w:rsidR="008546A6">
        <w:t>as</w:t>
      </w:r>
      <w:r w:rsidR="00364A74" w:rsidRPr="00954F14">
        <w:t xml:space="preserve"> 45 minutes </w:t>
      </w:r>
      <w:r w:rsidR="00DD6608">
        <w:t xml:space="preserve">in </w:t>
      </w:r>
      <w:r w:rsidR="00364A74" w:rsidRPr="00954F14">
        <w:t>total to provide support monitoring for three</w:t>
      </w:r>
      <w:r w:rsidR="008546A6">
        <w:t xml:space="preserve"> (3)</w:t>
      </w:r>
      <w:r w:rsidR="00364A74" w:rsidRPr="00954F14">
        <w:t xml:space="preserve"> individuals, the travel time would be 15 minutes for each. The case note should indicate total travel time of 45 minutes was divided equally </w:t>
      </w:r>
      <w:r w:rsidR="00DD6608">
        <w:t>among the</w:t>
      </w:r>
      <w:r w:rsidR="00364A74" w:rsidRPr="00954F14">
        <w:t xml:space="preserve"> three</w:t>
      </w:r>
      <w:r w:rsidR="00364A74">
        <w:t xml:space="preserve"> (3) individuals</w:t>
      </w:r>
      <w:r w:rsidR="00364A74" w:rsidRPr="00954F14">
        <w:t xml:space="preserve">; </w:t>
      </w:r>
      <w:r w:rsidR="00DD6608">
        <w:t>resulting in 15 minutes of travel time for each</w:t>
      </w:r>
      <w:r w:rsidR="00364A74" w:rsidRPr="00954F14">
        <w:t>.</w:t>
      </w:r>
    </w:p>
    <w:p w14:paraId="5DD9C519" w14:textId="77777777" w:rsidR="00364A74" w:rsidRPr="00E9062D" w:rsidRDefault="00A10E5E" w:rsidP="00576DD2">
      <w:pPr>
        <w:pStyle w:val="Heading3"/>
      </w:pPr>
      <w:bookmarkStart w:id="113" w:name="_Toc521916578"/>
      <w:bookmarkStart w:id="114" w:name="_Toc226444474"/>
      <w:bookmarkEnd w:id="112"/>
      <w:r w:rsidRPr="00E9062D">
        <w:t xml:space="preserve">7.2 </w:t>
      </w:r>
      <w:r w:rsidR="00364A74" w:rsidRPr="00E9062D">
        <w:t>Audit Requirements</w:t>
      </w:r>
      <w:bookmarkEnd w:id="113"/>
      <w:bookmarkEnd w:id="114"/>
    </w:p>
    <w:p w14:paraId="066B2667" w14:textId="77777777" w:rsidR="008546A6" w:rsidRPr="00954F14" w:rsidRDefault="008546A6" w:rsidP="00E17248">
      <w:r w:rsidRPr="00954F14">
        <w:t>The following documentation shall be maintained and produced in the event of an audit:</w:t>
      </w:r>
    </w:p>
    <w:p w14:paraId="57ACFA7C" w14:textId="77777777" w:rsidR="008546A6" w:rsidRPr="00954F14" w:rsidRDefault="00570E63" w:rsidP="003C5C9B">
      <w:pPr>
        <w:pStyle w:val="BulletList1"/>
      </w:pPr>
      <w:r>
        <w:t>PCSP</w:t>
      </w:r>
      <w:r w:rsidRPr="00954F14">
        <w:t xml:space="preserve"> </w:t>
      </w:r>
      <w:r w:rsidR="008546A6" w:rsidRPr="00954F14">
        <w:t>with regular updates</w:t>
      </w:r>
    </w:p>
    <w:p w14:paraId="22124250" w14:textId="77777777" w:rsidR="008546A6" w:rsidRPr="00954F14" w:rsidRDefault="008546A6" w:rsidP="003C5C9B">
      <w:pPr>
        <w:pStyle w:val="BulletList1"/>
      </w:pPr>
      <w:r w:rsidRPr="00954F14">
        <w:t>Progress notes</w:t>
      </w:r>
    </w:p>
    <w:p w14:paraId="3186B3AE" w14:textId="77777777" w:rsidR="008546A6" w:rsidRPr="00954F14" w:rsidRDefault="008546A6" w:rsidP="003C5C9B">
      <w:pPr>
        <w:pStyle w:val="BulletList1"/>
      </w:pPr>
      <w:r w:rsidRPr="00954F14">
        <w:t>Discharge summaries when applicable</w:t>
      </w:r>
    </w:p>
    <w:p w14:paraId="17A7F208" w14:textId="77777777" w:rsidR="008546A6" w:rsidRPr="00954F14" w:rsidRDefault="008546A6" w:rsidP="003C5C9B">
      <w:pPr>
        <w:pStyle w:val="BulletList1"/>
      </w:pPr>
      <w:r w:rsidRPr="00954F14">
        <w:t>Other relevant documents referenced in the case note such as letters, forms, quarterly reports and plans of care</w:t>
      </w:r>
    </w:p>
    <w:p w14:paraId="20FCCBE3" w14:textId="77777777" w:rsidR="008546A6" w:rsidRPr="003F587F" w:rsidRDefault="008546A6" w:rsidP="003C5C9B">
      <w:pPr>
        <w:pStyle w:val="BulletList1"/>
      </w:pPr>
      <w:r w:rsidRPr="00954F14">
        <w:t>Documents pertaining to case management assessment/reassessments should be maintained in the record and available for review</w:t>
      </w:r>
    </w:p>
    <w:p w14:paraId="1D269909" w14:textId="77777777" w:rsidR="00364A74" w:rsidRPr="00580292" w:rsidRDefault="00364A74" w:rsidP="00E17248">
      <w:r w:rsidRPr="00954F14">
        <w:t xml:space="preserve">State and federal auditors may also review claims for all </w:t>
      </w:r>
      <w:r w:rsidR="00CE5C51">
        <w:t xml:space="preserve">MHD </w:t>
      </w:r>
      <w:r w:rsidRPr="00954F14">
        <w:t xml:space="preserve">services billed by the Division </w:t>
      </w:r>
      <w:r w:rsidR="004473D5">
        <w:t xml:space="preserve">of DD </w:t>
      </w:r>
      <w:r w:rsidRPr="00954F14">
        <w:t xml:space="preserve">or billed by provider agencies in association with a program administered by the Division of </w:t>
      </w:r>
      <w:r w:rsidRPr="00580292">
        <w:t xml:space="preserve">DD, such as </w:t>
      </w:r>
      <w:r w:rsidR="00CE5C51">
        <w:t>MHD</w:t>
      </w:r>
      <w:r w:rsidRPr="00580292">
        <w:t xml:space="preserve"> Home and Community-Based</w:t>
      </w:r>
      <w:r w:rsidR="00576DD2">
        <w:t xml:space="preserve"> Service</w:t>
      </w:r>
      <w:r w:rsidRPr="00580292">
        <w:t xml:space="preserve"> </w:t>
      </w:r>
      <w:r w:rsidR="005B60D7">
        <w:t>(HCB</w:t>
      </w:r>
      <w:r w:rsidR="00DF604B">
        <w:t>S</w:t>
      </w:r>
      <w:r w:rsidR="005B60D7">
        <w:t xml:space="preserve">) </w:t>
      </w:r>
      <w:r w:rsidRPr="00580292">
        <w:t>Waiver</w:t>
      </w:r>
      <w:r>
        <w:t>s</w:t>
      </w:r>
      <w:r w:rsidRPr="00580292">
        <w:t>. In audit situations, the Division of DD must be able to clearly substantiate, explain</w:t>
      </w:r>
      <w:r w:rsidR="008546A6">
        <w:t>,</w:t>
      </w:r>
      <w:r w:rsidRPr="00580292">
        <w:t xml:space="preserve"> and sometimes defend the activity for which a charge was made to </w:t>
      </w:r>
      <w:r w:rsidR="00CE5C51">
        <w:t>MHD</w:t>
      </w:r>
      <w:r w:rsidRPr="00580292">
        <w:t xml:space="preserve">. Review periods may go back as far as six </w:t>
      </w:r>
      <w:r>
        <w:t xml:space="preserve">(6) </w:t>
      </w:r>
      <w:r w:rsidRPr="00580292">
        <w:t xml:space="preserve">years. Often, individuals </w:t>
      </w:r>
      <w:r w:rsidRPr="00580292">
        <w:lastRenderedPageBreak/>
        <w:t>who were assigned to a case at the time services were delivered are no longer available to explain notes. Routine documentation avoids potential problems with audits.</w:t>
      </w:r>
    </w:p>
    <w:p w14:paraId="6CC9B260" w14:textId="77777777" w:rsidR="00364A74" w:rsidRPr="00E9062D" w:rsidRDefault="00A10E5E" w:rsidP="00576DD2">
      <w:pPr>
        <w:pStyle w:val="Heading3"/>
      </w:pPr>
      <w:bookmarkStart w:id="115" w:name="_Toc521916579"/>
      <w:bookmarkStart w:id="116" w:name="_Toc226444475"/>
      <w:r w:rsidRPr="00E9062D">
        <w:t xml:space="preserve">7.3 </w:t>
      </w:r>
      <w:r w:rsidR="00364A74" w:rsidRPr="00E9062D">
        <w:t>Provider’s Failure to Furnish Documentation</w:t>
      </w:r>
      <w:bookmarkEnd w:id="115"/>
      <w:bookmarkEnd w:id="116"/>
    </w:p>
    <w:p w14:paraId="10CD115A" w14:textId="77777777" w:rsidR="00364A74" w:rsidRPr="00954F14" w:rsidRDefault="00364A74" w:rsidP="00E17248">
      <w:r w:rsidRPr="00954F14">
        <w:t xml:space="preserve">If a provider fails to reveal and retain adequate documentation for services billed to </w:t>
      </w:r>
      <w:r w:rsidR="000021CF">
        <w:t>MHD</w:t>
      </w:r>
      <w:r w:rsidRPr="00954F14">
        <w:t xml:space="preserve"> this can result in the recovery of the payments for those services not adequately documented and can result in sanctions to the provider’s participation in the MO HealthNet program. This policy continues to be applicable in the event the provider discontinues as an active participating </w:t>
      </w:r>
      <w:r w:rsidR="008546A6">
        <w:t xml:space="preserve">MO HealthNet </w:t>
      </w:r>
      <w:r w:rsidRPr="00954F14">
        <w:t>enrolled provider as the result of a change of ownership or any other circumstance.</w:t>
      </w:r>
    </w:p>
    <w:p w14:paraId="261F6291" w14:textId="77777777" w:rsidR="00364A74" w:rsidRPr="00E9062D" w:rsidRDefault="00A10E5E" w:rsidP="00576DD2">
      <w:pPr>
        <w:pStyle w:val="Heading3"/>
      </w:pPr>
      <w:bookmarkStart w:id="117" w:name="_Toc521916580"/>
      <w:bookmarkStart w:id="118" w:name="_Toc226444476"/>
      <w:r w:rsidRPr="00E9062D">
        <w:t xml:space="preserve">7.4 </w:t>
      </w:r>
      <w:r w:rsidR="00364A74" w:rsidRPr="00E9062D">
        <w:t>Retention of Records</w:t>
      </w:r>
      <w:bookmarkEnd w:id="117"/>
      <w:bookmarkEnd w:id="118"/>
    </w:p>
    <w:p w14:paraId="1D152959" w14:textId="77777777" w:rsidR="00364A74" w:rsidRPr="00751222" w:rsidRDefault="00364A74" w:rsidP="00E17248">
      <w:bookmarkStart w:id="119" w:name="_Hlk179824555"/>
      <w:r w:rsidRPr="00751222">
        <w:rPr>
          <w:rFonts w:eastAsia="Times New Roman"/>
        </w:rPr>
        <w:t xml:space="preserve">The </w:t>
      </w:r>
      <w:r w:rsidR="00ED0034">
        <w:rPr>
          <w:rFonts w:eastAsia="Times New Roman"/>
        </w:rPr>
        <w:t>provider</w:t>
      </w:r>
      <w:r w:rsidRPr="00751222">
        <w:rPr>
          <w:rFonts w:eastAsia="Times New Roman"/>
        </w:rPr>
        <w:t xml:space="preserve"> will retain all records</w:t>
      </w:r>
      <w:r w:rsidRPr="00751222">
        <w:t xml:space="preserve"> pertaining to TCM for six (6) years after the close of the contract year unless audit questions have arisen with</w:t>
      </w:r>
      <w:r w:rsidR="000021CF">
        <w:t>in</w:t>
      </w:r>
      <w:r w:rsidRPr="00751222">
        <w:t xml:space="preserve"> the six (6) year limitation and have not been resolved. All records shall be retained until all audit questions have been resolved.</w:t>
      </w:r>
    </w:p>
    <w:p w14:paraId="4FDFF88C" w14:textId="77777777" w:rsidR="00364A74" w:rsidRPr="00E9062D" w:rsidRDefault="00A10E5E" w:rsidP="00576DD2">
      <w:pPr>
        <w:pStyle w:val="Heading3"/>
      </w:pPr>
      <w:bookmarkStart w:id="120" w:name="_Toc521916602"/>
      <w:bookmarkStart w:id="121" w:name="_Toc226444477"/>
      <w:bookmarkEnd w:id="119"/>
      <w:r w:rsidRPr="00E9062D">
        <w:t xml:space="preserve">7.5 </w:t>
      </w:r>
      <w:r w:rsidR="00364A74" w:rsidRPr="00E9062D">
        <w:t>Inquiries</w:t>
      </w:r>
      <w:bookmarkEnd w:id="120"/>
      <w:bookmarkEnd w:id="121"/>
    </w:p>
    <w:p w14:paraId="5E4EFC0F" w14:textId="77777777" w:rsidR="00364A74" w:rsidRDefault="00364A74" w:rsidP="00E17248">
      <w:r w:rsidRPr="006E02AE">
        <w:t xml:space="preserve">All inquiries regarding TCM services </w:t>
      </w:r>
      <w:r w:rsidR="003E687B">
        <w:t xml:space="preserve">received by </w:t>
      </w:r>
      <w:r w:rsidR="00AD262B">
        <w:t>MHD</w:t>
      </w:r>
      <w:r w:rsidR="00AD262B" w:rsidRPr="006E02AE">
        <w:t xml:space="preserve"> are</w:t>
      </w:r>
      <w:r w:rsidRPr="006E02AE">
        <w:t xml:space="preserve"> referred to </w:t>
      </w:r>
      <w:r w:rsidR="003E687B">
        <w:t xml:space="preserve">the </w:t>
      </w:r>
      <w:r>
        <w:t xml:space="preserve">Division of </w:t>
      </w:r>
      <w:r w:rsidRPr="006E02AE">
        <w:t xml:space="preserve">DD. The Division </w:t>
      </w:r>
      <w:r w:rsidR="008546A6">
        <w:t xml:space="preserve">of DD </w:t>
      </w:r>
      <w:r w:rsidRPr="006E02AE">
        <w:t xml:space="preserve">must explain in writing to the individual and </w:t>
      </w:r>
      <w:r w:rsidR="000021CF">
        <w:t>MHD</w:t>
      </w:r>
      <w:r w:rsidRPr="006E02AE">
        <w:t xml:space="preserve"> what specific activity was performed for each charge made to </w:t>
      </w:r>
      <w:r w:rsidR="000021CF">
        <w:t>MHD</w:t>
      </w:r>
      <w:r w:rsidRPr="006E02AE">
        <w:t xml:space="preserve"> during the quarter in question. </w:t>
      </w:r>
      <w:r w:rsidR="005B4A3E" w:rsidRPr="006E02AE">
        <w:t>To</w:t>
      </w:r>
      <w:r w:rsidRPr="006E02AE">
        <w:t xml:space="preserve"> do this, the County Board and the not-for-profit agency must keep clear documentation that is easily retrievable.</w:t>
      </w:r>
    </w:p>
    <w:p w14:paraId="1728A631" w14:textId="77777777" w:rsidR="00364A74" w:rsidRPr="00E9062D" w:rsidRDefault="00364A74" w:rsidP="00576DD2">
      <w:pPr>
        <w:pStyle w:val="Heading2"/>
        <w:rPr>
          <w:rFonts w:eastAsia="Times New Roman"/>
        </w:rPr>
      </w:pPr>
      <w:bookmarkStart w:id="122" w:name="_Toc521916581"/>
      <w:bookmarkStart w:id="123" w:name="_Toc226444478"/>
      <w:r w:rsidRPr="00E9062D">
        <w:rPr>
          <w:rFonts w:eastAsia="Times New Roman"/>
        </w:rPr>
        <w:t>Section 8</w:t>
      </w:r>
      <w:r w:rsidR="00703DFB" w:rsidRPr="00E9062D">
        <w:rPr>
          <w:rFonts w:eastAsia="Times New Roman"/>
        </w:rPr>
        <w:t xml:space="preserve">:  </w:t>
      </w:r>
      <w:r w:rsidRPr="00E9062D">
        <w:rPr>
          <w:rFonts w:eastAsia="Times New Roman"/>
        </w:rPr>
        <w:t>Billing Requirements</w:t>
      </w:r>
      <w:bookmarkEnd w:id="122"/>
      <w:bookmarkEnd w:id="123"/>
    </w:p>
    <w:p w14:paraId="0D7C5802" w14:textId="77777777" w:rsidR="00364A74" w:rsidRPr="00E9062D" w:rsidRDefault="00A10E5E" w:rsidP="00576DD2">
      <w:pPr>
        <w:pStyle w:val="Heading3"/>
      </w:pPr>
      <w:bookmarkStart w:id="124" w:name="_Toc521916582"/>
      <w:bookmarkStart w:id="125" w:name="_Toc226444479"/>
      <w:r w:rsidRPr="00E9062D">
        <w:t xml:space="preserve">8.1 </w:t>
      </w:r>
      <w:r w:rsidR="00364A74" w:rsidRPr="00E9062D">
        <w:t>Billing Format</w:t>
      </w:r>
      <w:bookmarkEnd w:id="124"/>
      <w:bookmarkEnd w:id="125"/>
    </w:p>
    <w:p w14:paraId="7648ECA9" w14:textId="77777777" w:rsidR="004E6618" w:rsidRPr="00F15C7F" w:rsidRDefault="004E6618" w:rsidP="00E17248">
      <w:pPr>
        <w:rPr>
          <w:rFonts w:eastAsia="Times New Roman"/>
        </w:rPr>
      </w:pPr>
      <w:r w:rsidRPr="00A37ACE">
        <w:t xml:space="preserve">Providers exchanging electronic transactions with </w:t>
      </w:r>
      <w:r>
        <w:t>the MO HealthNet Division (</w:t>
      </w:r>
      <w:r w:rsidRPr="00A37ACE">
        <w:t>MHD</w:t>
      </w:r>
      <w:r>
        <w:t>)</w:t>
      </w:r>
      <w:r w:rsidRPr="00A37ACE">
        <w:t xml:space="preserve"> should access the </w:t>
      </w:r>
      <w:hyperlink r:id="rId50" w:history="1">
        <w:r w:rsidRPr="0024576C">
          <w:rPr>
            <w:rStyle w:val="Hyperlink"/>
          </w:rPr>
          <w:t>ASC X12 Implementation Guides</w:t>
        </w:r>
      </w:hyperlink>
      <w:r w:rsidRPr="00A25DD3">
        <w:t>,</w:t>
      </w:r>
      <w:r w:rsidRPr="00A37ACE">
        <w:t xml:space="preserve"> adopted under the Health Insurance Portability and Accountability Act (HIPAA). For Missouri specific information, including connection methods, the biller’s responsibilities, forms to be completed prior to submitting electronic information, as well as supplemental information, reference the </w:t>
      </w:r>
      <w:hyperlink r:id="rId51" w:history="1">
        <w:r w:rsidRPr="0024576C">
          <w:rPr>
            <w:rStyle w:val="Hyperlink"/>
          </w:rPr>
          <w:t>X12 Version v5010</w:t>
        </w:r>
      </w:hyperlink>
      <w:r w:rsidRPr="00A37ACE">
        <w:t xml:space="preserve"> and </w:t>
      </w:r>
      <w:hyperlink r:id="rId52" w:history="1">
        <w:r w:rsidRPr="0024576C">
          <w:rPr>
            <w:rStyle w:val="Hyperlink"/>
          </w:rPr>
          <w:t>NCPDP Telecommunication D.0 &amp; Batch Transaction Standard V.1.1 Companion Guides</w:t>
        </w:r>
      </w:hyperlink>
      <w:r w:rsidRPr="00A25DD3">
        <w:t>.</w:t>
      </w:r>
    </w:p>
    <w:p w14:paraId="66AC087A" w14:textId="77777777" w:rsidR="007C1C33" w:rsidRPr="00755D02" w:rsidRDefault="004E6618" w:rsidP="00E17248">
      <w:pPr>
        <w:rPr>
          <w:u w:val="single"/>
        </w:rPr>
      </w:pPr>
      <w:r w:rsidRPr="00D600B5">
        <w:t xml:space="preserve">To obtain electronic connection specifications, providers must call </w:t>
      </w:r>
      <w:r>
        <w:t>the Provider Technical Help Desk at</w:t>
      </w:r>
      <w:r w:rsidRPr="00D600B5">
        <w:t xml:space="preserve"> </w:t>
      </w:r>
      <w:r>
        <w:t>(</w:t>
      </w:r>
      <w:r w:rsidRPr="00D600B5">
        <w:t>573</w:t>
      </w:r>
      <w:r>
        <w:t xml:space="preserve">) </w:t>
      </w:r>
      <w:r w:rsidRPr="00D600B5">
        <w:t>635-3559.</w:t>
      </w:r>
      <w:r w:rsidR="00E8378E" w:rsidRPr="00755D02">
        <w:rPr>
          <w:shd w:val="clear" w:color="auto" w:fill="FFFFFF"/>
        </w:rPr>
        <w:t xml:space="preserve"> </w:t>
      </w:r>
    </w:p>
    <w:p w14:paraId="70CE1E8A" w14:textId="77777777" w:rsidR="00364A74" w:rsidRPr="00E9062D" w:rsidRDefault="00A10E5E" w:rsidP="00576DD2">
      <w:pPr>
        <w:pStyle w:val="Heading3"/>
      </w:pPr>
      <w:bookmarkStart w:id="126" w:name="_Toc379877654"/>
      <w:bookmarkStart w:id="127" w:name="_Toc521916600"/>
      <w:bookmarkStart w:id="128" w:name="_Toc226444480"/>
      <w:r w:rsidRPr="00E9062D">
        <w:t xml:space="preserve">8.2 </w:t>
      </w:r>
      <w:r w:rsidR="00364A74" w:rsidRPr="00E9062D">
        <w:t xml:space="preserve">CMS-1500 </w:t>
      </w:r>
      <w:bookmarkEnd w:id="126"/>
      <w:r w:rsidR="00364A74" w:rsidRPr="00E9062D">
        <w:t>Claim Form</w:t>
      </w:r>
      <w:bookmarkEnd w:id="127"/>
      <w:bookmarkEnd w:id="128"/>
    </w:p>
    <w:p w14:paraId="2E767564" w14:textId="77777777" w:rsidR="00364A74" w:rsidRPr="006E02AE" w:rsidRDefault="00695D8F" w:rsidP="00E17248">
      <w:r>
        <w:t xml:space="preserve">The </w:t>
      </w:r>
      <w:hyperlink r:id="rId53" w:history="1">
        <w:r w:rsidRPr="0024576C">
          <w:rPr>
            <w:rStyle w:val="Hyperlink"/>
          </w:rPr>
          <w:t>CMS-1500 Claim Form</w:t>
        </w:r>
      </w:hyperlink>
      <w:r>
        <w:t xml:space="preserve"> is a</w:t>
      </w:r>
      <w:r w:rsidR="003D4619">
        <w:t>n optional</w:t>
      </w:r>
      <w:r>
        <w:t xml:space="preserve"> standard</w:t>
      </w:r>
      <w:r w:rsidR="002B2A50">
        <w:t xml:space="preserve"> </w:t>
      </w:r>
      <w:r>
        <w:t xml:space="preserve">paper form that </w:t>
      </w:r>
      <w:r w:rsidR="00F31585">
        <w:t>Targeted Case Managers (</w:t>
      </w:r>
      <w:r>
        <w:t>TCM</w:t>
      </w:r>
      <w:r w:rsidR="00F31585">
        <w:t>’</w:t>
      </w:r>
      <w:r>
        <w:t>s</w:t>
      </w:r>
      <w:r w:rsidR="00F31585">
        <w:t>)</w:t>
      </w:r>
      <w:r>
        <w:t xml:space="preserve"> can use to bill TCM services directly to MHD.</w:t>
      </w:r>
    </w:p>
    <w:p w14:paraId="11824E7B" w14:textId="77777777" w:rsidR="00364A74" w:rsidRPr="00E9062D" w:rsidRDefault="00A10E5E" w:rsidP="00576DD2">
      <w:pPr>
        <w:pStyle w:val="Heading3"/>
      </w:pPr>
      <w:bookmarkStart w:id="129" w:name="_Toc521916601"/>
      <w:bookmarkStart w:id="130" w:name="_Toc226444481"/>
      <w:r w:rsidRPr="00E9062D">
        <w:lastRenderedPageBreak/>
        <w:t>8.</w:t>
      </w:r>
      <w:r w:rsidR="00DB458A" w:rsidRPr="00E9062D">
        <w:t>3</w:t>
      </w:r>
      <w:r w:rsidRPr="00E9062D">
        <w:t xml:space="preserve"> </w:t>
      </w:r>
      <w:r w:rsidR="00364A74" w:rsidRPr="00E9062D">
        <w:t>Resubmission of Claims</w:t>
      </w:r>
      <w:bookmarkEnd w:id="129"/>
      <w:bookmarkEnd w:id="130"/>
    </w:p>
    <w:p w14:paraId="4F096D4B" w14:textId="77777777" w:rsidR="00364A74" w:rsidRPr="006E02AE" w:rsidRDefault="00364A74" w:rsidP="00E17248">
      <w:r w:rsidRPr="006E02AE">
        <w:t>Providers may view their claims in</w:t>
      </w:r>
      <w:r w:rsidR="003F0A22">
        <w:t xml:space="preserve"> the</w:t>
      </w:r>
      <w:r w:rsidRPr="006E02AE">
        <w:t xml:space="preserve"> </w:t>
      </w:r>
      <w:r w:rsidR="003F0A22">
        <w:t>Customer Information Management</w:t>
      </w:r>
      <w:r w:rsidR="009A7839">
        <w:t>,</w:t>
      </w:r>
      <w:r w:rsidR="003F0A22">
        <w:t xml:space="preserve"> Outcomes </w:t>
      </w:r>
      <w:r w:rsidR="009A7839">
        <w:t>&amp;</w:t>
      </w:r>
      <w:r w:rsidR="003F0A22">
        <w:t xml:space="preserve"> Reporting</w:t>
      </w:r>
      <w:r w:rsidR="003F0A22" w:rsidRPr="006E02AE">
        <w:t xml:space="preserve"> </w:t>
      </w:r>
      <w:r w:rsidR="003F0A22">
        <w:t>(</w:t>
      </w:r>
      <w:r w:rsidRPr="006E02AE">
        <w:t>CIMOR</w:t>
      </w:r>
      <w:r w:rsidR="003F0A22">
        <w:t>) System</w:t>
      </w:r>
      <w:r w:rsidRPr="006E02AE">
        <w:t xml:space="preserve"> or may use the </w:t>
      </w:r>
      <w:r w:rsidR="003F0A22">
        <w:t>Remittance Advice (</w:t>
      </w:r>
      <w:r w:rsidR="00EB166C">
        <w:t>RA</w:t>
      </w:r>
      <w:r w:rsidR="003F0A22">
        <w:t>)</w:t>
      </w:r>
      <w:r w:rsidR="00EB166C">
        <w:t xml:space="preserve"> </w:t>
      </w:r>
      <w:r w:rsidRPr="006E02AE">
        <w:t>if services were submitted to CIMOR electronically on a HIPAA 837.</w:t>
      </w:r>
    </w:p>
    <w:p w14:paraId="37B2C152" w14:textId="77777777" w:rsidR="00364A74" w:rsidRPr="006E02AE" w:rsidRDefault="00364A74" w:rsidP="00E17248">
      <w:r w:rsidRPr="006E02AE">
        <w:t>Services that resulted in zero</w:t>
      </w:r>
      <w:r w:rsidR="003F0A22">
        <w:t xml:space="preserve"> (0)</w:t>
      </w:r>
      <w:r w:rsidRPr="006E02AE">
        <w:t xml:space="preserve"> payment on a claim can be resubmitted if the claim denied due to a correctable error. The error that caused the claim to deny should be corrected before resubmitting it to MHD through CIMOR. The provider may use the Replace button on the service in CIMOR to resubmit a claim to MHD.</w:t>
      </w:r>
    </w:p>
    <w:p w14:paraId="5FAF2FEB" w14:textId="77777777" w:rsidR="00364A74" w:rsidRPr="00E9062D" w:rsidRDefault="00A10E5E" w:rsidP="00576DD2">
      <w:pPr>
        <w:pStyle w:val="Heading3"/>
      </w:pPr>
      <w:bookmarkStart w:id="131" w:name="_8.4_Service_Codes"/>
      <w:bookmarkStart w:id="132" w:name="_Toc521916587"/>
      <w:bookmarkStart w:id="133" w:name="_Toc226444482"/>
      <w:bookmarkEnd w:id="131"/>
      <w:r w:rsidRPr="00E9062D">
        <w:t>8.</w:t>
      </w:r>
      <w:r w:rsidR="00DB458A" w:rsidRPr="00E9062D">
        <w:t>4</w:t>
      </w:r>
      <w:r w:rsidR="008C41A6" w:rsidRPr="00E9062D">
        <w:t xml:space="preserve"> </w:t>
      </w:r>
      <w:r w:rsidR="00364A74" w:rsidRPr="00E9062D">
        <w:t>Service Codes</w:t>
      </w:r>
      <w:bookmarkEnd w:id="132"/>
      <w:bookmarkEnd w:id="133"/>
    </w:p>
    <w:p w14:paraId="5ECE2F00" w14:textId="77777777" w:rsidR="00364A74" w:rsidRPr="00F15569" w:rsidRDefault="003E687B" w:rsidP="003C5C9B">
      <w:r w:rsidRPr="00F15569">
        <w:t xml:space="preserve">The Division </w:t>
      </w:r>
      <w:r w:rsidR="004473D5" w:rsidRPr="00F15569">
        <w:t xml:space="preserve">of DD </w:t>
      </w:r>
      <w:r w:rsidRPr="00F15569">
        <w:t>uses internal service codes</w:t>
      </w:r>
      <w:r w:rsidR="00364A74" w:rsidRPr="00F15569">
        <w:t xml:space="preserve"> to document the provision of TCM services. These codes are listed below. County Boards may elect to use these codes or develop their own. Regardless of what code a County Board chooses to use, any </w:t>
      </w:r>
      <w:r w:rsidRPr="00F15569">
        <w:t>logged activity</w:t>
      </w:r>
      <w:r w:rsidR="00364A74" w:rsidRPr="00F15569">
        <w:t xml:space="preserve"> must be within the scope of the activities listed below and defined in </w:t>
      </w:r>
      <w:hyperlink w:anchor="_Section_3:_" w:history="1">
        <w:r w:rsidR="003F0A22" w:rsidRPr="0024576C">
          <w:rPr>
            <w:rStyle w:val="Hyperlink"/>
          </w:rPr>
          <w:t>S</w:t>
        </w:r>
        <w:r w:rsidR="00364A74" w:rsidRPr="0024576C">
          <w:rPr>
            <w:rStyle w:val="Hyperlink"/>
          </w:rPr>
          <w:t>ection</w:t>
        </w:r>
        <w:r w:rsidR="003F0A22" w:rsidRPr="0024576C">
          <w:rPr>
            <w:rStyle w:val="Hyperlink"/>
          </w:rPr>
          <w:t xml:space="preserve"> 3</w:t>
        </w:r>
      </w:hyperlink>
      <w:r w:rsidR="00364A74" w:rsidRPr="00F15569">
        <w:t xml:space="preserve"> of this manual.</w:t>
      </w:r>
    </w:p>
    <w:tbl>
      <w:tblPr>
        <w:tblpPr w:leftFromText="180" w:rightFromText="180" w:vertAnchor="text" w:tblpY="1"/>
        <w:tblOverlap w:val="never"/>
        <w:tblW w:w="100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230"/>
        <w:gridCol w:w="3450"/>
        <w:gridCol w:w="1260"/>
        <w:gridCol w:w="4140"/>
      </w:tblGrid>
      <w:tr w:rsidR="003F0A22" w:rsidRPr="00CF0C43" w14:paraId="1104C59A" w14:textId="77777777" w:rsidTr="003C5C9B">
        <w:trPr>
          <w:trHeight w:val="576"/>
        </w:trPr>
        <w:tc>
          <w:tcPr>
            <w:tcW w:w="1230" w:type="dxa"/>
            <w:shd w:val="clear" w:color="auto" w:fill="04427D"/>
            <w:noWrap/>
            <w:vAlign w:val="center"/>
            <w:hideMark/>
          </w:tcPr>
          <w:p w14:paraId="26EDEAAB" w14:textId="77777777" w:rsidR="003F0A22" w:rsidRPr="00CF0C43" w:rsidRDefault="003F0A22" w:rsidP="003C5C9B">
            <w:pPr>
              <w:pStyle w:val="TextNormalTableHeader"/>
            </w:pPr>
            <w:r w:rsidRPr="00CF0C43">
              <w:t>Service Codes</w:t>
            </w:r>
          </w:p>
        </w:tc>
        <w:tc>
          <w:tcPr>
            <w:tcW w:w="3450" w:type="dxa"/>
            <w:shd w:val="clear" w:color="auto" w:fill="04427D"/>
            <w:noWrap/>
            <w:vAlign w:val="center"/>
            <w:hideMark/>
          </w:tcPr>
          <w:p w14:paraId="10506988" w14:textId="77777777" w:rsidR="003F0A22" w:rsidRPr="00CF0C43" w:rsidRDefault="003F0A22" w:rsidP="003C5C9B">
            <w:pPr>
              <w:pStyle w:val="TextNormalTableHeader"/>
            </w:pPr>
            <w:r w:rsidRPr="00CF0C43">
              <w:t>Description</w:t>
            </w:r>
          </w:p>
        </w:tc>
        <w:tc>
          <w:tcPr>
            <w:tcW w:w="1260" w:type="dxa"/>
            <w:shd w:val="clear" w:color="auto" w:fill="04427D"/>
            <w:vAlign w:val="center"/>
          </w:tcPr>
          <w:p w14:paraId="77ED3DDA" w14:textId="77777777" w:rsidR="003F0A22" w:rsidRPr="00CF0C43" w:rsidRDefault="003F0A22" w:rsidP="003C5C9B">
            <w:pPr>
              <w:pStyle w:val="TextNormalTableHeader"/>
            </w:pPr>
            <w:r w:rsidRPr="00CF0C43">
              <w:t>Service Codes</w:t>
            </w:r>
          </w:p>
        </w:tc>
        <w:tc>
          <w:tcPr>
            <w:tcW w:w="4140" w:type="dxa"/>
            <w:shd w:val="clear" w:color="auto" w:fill="04427D"/>
            <w:vAlign w:val="center"/>
          </w:tcPr>
          <w:p w14:paraId="636ABDEB" w14:textId="77777777" w:rsidR="003F0A22" w:rsidRPr="00CF0C43" w:rsidRDefault="003F0A22" w:rsidP="003C5C9B">
            <w:pPr>
              <w:pStyle w:val="TextNormalTableHeader"/>
            </w:pPr>
            <w:r w:rsidRPr="00CF0C43">
              <w:t>Description</w:t>
            </w:r>
          </w:p>
        </w:tc>
      </w:tr>
      <w:tr w:rsidR="003F0A22" w:rsidRPr="00CF0C43" w14:paraId="492E24AB" w14:textId="77777777" w:rsidTr="003C5C9B">
        <w:trPr>
          <w:trHeight w:val="576"/>
        </w:trPr>
        <w:tc>
          <w:tcPr>
            <w:tcW w:w="1230" w:type="dxa"/>
            <w:shd w:val="clear" w:color="F8CBAD" w:fill="F8CBAD"/>
            <w:noWrap/>
            <w:vAlign w:val="center"/>
            <w:hideMark/>
          </w:tcPr>
          <w:p w14:paraId="7F1D67A1" w14:textId="77777777" w:rsidR="003F0A22" w:rsidRPr="00933095" w:rsidRDefault="003F0A22" w:rsidP="003C5C9B">
            <w:pPr>
              <w:pStyle w:val="TextNormalTableBody"/>
            </w:pPr>
            <w:r w:rsidRPr="00933095">
              <w:t>000020</w:t>
            </w:r>
          </w:p>
        </w:tc>
        <w:tc>
          <w:tcPr>
            <w:tcW w:w="3450" w:type="dxa"/>
            <w:shd w:val="clear" w:color="F8CBAD" w:fill="F8CBAD"/>
            <w:noWrap/>
            <w:vAlign w:val="center"/>
            <w:hideMark/>
          </w:tcPr>
          <w:p w14:paraId="261D7EA8" w14:textId="77777777" w:rsidR="003F0A22" w:rsidRPr="00291F90" w:rsidRDefault="003F0A22" w:rsidP="003C5C9B">
            <w:pPr>
              <w:pStyle w:val="TextNormalTableBody2"/>
            </w:pPr>
            <w:r w:rsidRPr="00291F90">
              <w:t>Planning Supports</w:t>
            </w:r>
          </w:p>
        </w:tc>
        <w:tc>
          <w:tcPr>
            <w:tcW w:w="1260" w:type="dxa"/>
            <w:shd w:val="clear" w:color="F8CBAD" w:fill="F8CBAD"/>
            <w:vAlign w:val="center"/>
          </w:tcPr>
          <w:p w14:paraId="5490AD8D" w14:textId="77777777" w:rsidR="003F0A22" w:rsidRPr="00CF0C43" w:rsidRDefault="003F0A22" w:rsidP="003C5C9B">
            <w:pPr>
              <w:pStyle w:val="TextNormalTableBody"/>
            </w:pPr>
            <w:r w:rsidRPr="00CF0C43">
              <w:t>000030</w:t>
            </w:r>
          </w:p>
        </w:tc>
        <w:tc>
          <w:tcPr>
            <w:tcW w:w="4140" w:type="dxa"/>
            <w:shd w:val="clear" w:color="F8CBAD" w:fill="F8CBAD"/>
            <w:vAlign w:val="center"/>
          </w:tcPr>
          <w:p w14:paraId="4D5ECEBE" w14:textId="77777777" w:rsidR="003F0A22" w:rsidRPr="00CF0C43" w:rsidRDefault="003F0A22" w:rsidP="003C5C9B">
            <w:pPr>
              <w:pStyle w:val="TextNormalTableBody2"/>
            </w:pPr>
            <w:r w:rsidRPr="00CF0C43">
              <w:t>Documentation</w:t>
            </w:r>
          </w:p>
        </w:tc>
      </w:tr>
      <w:tr w:rsidR="003F0A22" w:rsidRPr="00CF0C43" w14:paraId="0FF172D8" w14:textId="77777777" w:rsidTr="003C5C9B">
        <w:trPr>
          <w:trHeight w:val="576"/>
        </w:trPr>
        <w:tc>
          <w:tcPr>
            <w:tcW w:w="1230" w:type="dxa"/>
            <w:shd w:val="clear" w:color="FCE4D6" w:fill="FCE4D6"/>
            <w:noWrap/>
            <w:vAlign w:val="center"/>
            <w:hideMark/>
          </w:tcPr>
          <w:p w14:paraId="0A417F34" w14:textId="77777777" w:rsidR="003F0A22" w:rsidRPr="00933095" w:rsidRDefault="003F0A22" w:rsidP="003C5C9B">
            <w:pPr>
              <w:pStyle w:val="TextNormalTableBody"/>
            </w:pPr>
            <w:r w:rsidRPr="00933095">
              <w:t>000021</w:t>
            </w:r>
          </w:p>
        </w:tc>
        <w:tc>
          <w:tcPr>
            <w:tcW w:w="3450" w:type="dxa"/>
            <w:shd w:val="clear" w:color="FCE4D6" w:fill="FCE4D6"/>
            <w:noWrap/>
            <w:vAlign w:val="center"/>
            <w:hideMark/>
          </w:tcPr>
          <w:p w14:paraId="0DB9A185" w14:textId="77777777" w:rsidR="003F0A22" w:rsidRPr="00291F90" w:rsidRDefault="003F0A22" w:rsidP="003C5C9B">
            <w:pPr>
              <w:pStyle w:val="TextNormalTableBody2"/>
            </w:pPr>
            <w:r w:rsidRPr="00291F90">
              <w:t>Linking Resources</w:t>
            </w:r>
          </w:p>
        </w:tc>
        <w:tc>
          <w:tcPr>
            <w:tcW w:w="1260" w:type="dxa"/>
            <w:shd w:val="clear" w:color="FCE4D6" w:fill="FCE4D6"/>
            <w:vAlign w:val="center"/>
          </w:tcPr>
          <w:p w14:paraId="25762490" w14:textId="77777777" w:rsidR="003F0A22" w:rsidRPr="00CF0C43" w:rsidRDefault="003F0A22" w:rsidP="003C5C9B">
            <w:pPr>
              <w:pStyle w:val="TextNormalTableBody"/>
            </w:pPr>
            <w:r w:rsidRPr="00CF0C43">
              <w:t>000040</w:t>
            </w:r>
          </w:p>
        </w:tc>
        <w:tc>
          <w:tcPr>
            <w:tcW w:w="4140" w:type="dxa"/>
            <w:shd w:val="clear" w:color="FCE4D6" w:fill="FCE4D6"/>
            <w:vAlign w:val="center"/>
          </w:tcPr>
          <w:p w14:paraId="40657976" w14:textId="77777777" w:rsidR="003F0A22" w:rsidRPr="00CF0C43" w:rsidRDefault="003F0A22" w:rsidP="003C5C9B">
            <w:pPr>
              <w:pStyle w:val="TextNormalTableBody2"/>
            </w:pPr>
            <w:r w:rsidRPr="00CF0C43">
              <w:t>Transition/Transfer of Case</w:t>
            </w:r>
          </w:p>
        </w:tc>
      </w:tr>
      <w:tr w:rsidR="003F0A22" w:rsidRPr="00CF0C43" w14:paraId="5C5867A3" w14:textId="77777777" w:rsidTr="003C5C9B">
        <w:trPr>
          <w:trHeight w:val="576"/>
        </w:trPr>
        <w:tc>
          <w:tcPr>
            <w:tcW w:w="1230" w:type="dxa"/>
            <w:shd w:val="clear" w:color="F8CBAD" w:fill="F8CBAD"/>
            <w:noWrap/>
            <w:vAlign w:val="center"/>
            <w:hideMark/>
          </w:tcPr>
          <w:p w14:paraId="3CCF8D2E" w14:textId="77777777" w:rsidR="003F0A22" w:rsidRPr="00933095" w:rsidRDefault="003F0A22" w:rsidP="003C5C9B">
            <w:pPr>
              <w:pStyle w:val="TextNormalTableBody"/>
            </w:pPr>
            <w:r w:rsidRPr="00933095">
              <w:t>000022</w:t>
            </w:r>
          </w:p>
        </w:tc>
        <w:tc>
          <w:tcPr>
            <w:tcW w:w="3450" w:type="dxa"/>
            <w:shd w:val="clear" w:color="F8CBAD" w:fill="F8CBAD"/>
            <w:noWrap/>
            <w:vAlign w:val="center"/>
            <w:hideMark/>
          </w:tcPr>
          <w:p w14:paraId="0167E6D8" w14:textId="77777777" w:rsidR="003F0A22" w:rsidRPr="00291F90" w:rsidRDefault="003F0A22" w:rsidP="003C5C9B">
            <w:pPr>
              <w:pStyle w:val="TextNormalTableBody2"/>
            </w:pPr>
            <w:r w:rsidRPr="00291F90">
              <w:t>Support Monitoring/Quality Enhancement</w:t>
            </w:r>
          </w:p>
        </w:tc>
        <w:tc>
          <w:tcPr>
            <w:tcW w:w="1260" w:type="dxa"/>
            <w:shd w:val="clear" w:color="F8CBAD" w:fill="F8CBAD"/>
            <w:vAlign w:val="center"/>
          </w:tcPr>
          <w:p w14:paraId="0A0FAABD" w14:textId="77777777" w:rsidR="003F0A22" w:rsidRPr="00CF0C43" w:rsidRDefault="003F0A22" w:rsidP="003C5C9B">
            <w:pPr>
              <w:pStyle w:val="TextNormalTableBody"/>
            </w:pPr>
            <w:r w:rsidRPr="00CF0C43">
              <w:t>20000T</w:t>
            </w:r>
          </w:p>
        </w:tc>
        <w:tc>
          <w:tcPr>
            <w:tcW w:w="4140" w:type="dxa"/>
            <w:shd w:val="clear" w:color="F8CBAD" w:fill="F8CBAD"/>
            <w:vAlign w:val="center"/>
          </w:tcPr>
          <w:p w14:paraId="1615C5F8" w14:textId="77777777" w:rsidR="003F0A22" w:rsidRPr="00CF0C43" w:rsidRDefault="003F0A22" w:rsidP="003C5C9B">
            <w:pPr>
              <w:pStyle w:val="TextNormalTableBody2"/>
              <w:spacing w:after="160"/>
            </w:pPr>
            <w:r w:rsidRPr="00CF0C43">
              <w:t>Transition from Eligible Title XIX Placements (State</w:t>
            </w:r>
            <w:r w:rsidR="00DD378B">
              <w:t>-</w:t>
            </w:r>
            <w:r w:rsidRPr="00CF0C43">
              <w:t>operated ICF/ID, Private ICF/ID, Nursing Home)</w:t>
            </w:r>
          </w:p>
        </w:tc>
      </w:tr>
      <w:tr w:rsidR="003F0A22" w:rsidRPr="00CF0C43" w14:paraId="1B103539" w14:textId="77777777" w:rsidTr="003C5C9B">
        <w:trPr>
          <w:trHeight w:val="576"/>
        </w:trPr>
        <w:tc>
          <w:tcPr>
            <w:tcW w:w="1230" w:type="dxa"/>
            <w:shd w:val="clear" w:color="FCE4D6" w:fill="FCE4D6"/>
            <w:noWrap/>
            <w:vAlign w:val="center"/>
            <w:hideMark/>
          </w:tcPr>
          <w:p w14:paraId="468CC4AC" w14:textId="77777777" w:rsidR="003F0A22" w:rsidRPr="00933095" w:rsidRDefault="003F0A22" w:rsidP="003C5C9B">
            <w:pPr>
              <w:pStyle w:val="TextNormalTableBody"/>
            </w:pPr>
            <w:r w:rsidRPr="00933095">
              <w:t>000023</w:t>
            </w:r>
          </w:p>
        </w:tc>
        <w:tc>
          <w:tcPr>
            <w:tcW w:w="3450" w:type="dxa"/>
            <w:shd w:val="clear" w:color="FCE4D6" w:fill="FCE4D6"/>
            <w:noWrap/>
            <w:vAlign w:val="center"/>
            <w:hideMark/>
          </w:tcPr>
          <w:p w14:paraId="2161E496" w14:textId="77777777" w:rsidR="003F0A22" w:rsidRPr="00291F90" w:rsidRDefault="003F0A22" w:rsidP="003C5C9B">
            <w:pPr>
              <w:pStyle w:val="TextNormalTableBody2"/>
              <w:spacing w:after="160"/>
            </w:pPr>
            <w:r w:rsidRPr="00291F90">
              <w:t xml:space="preserve">Quarterly Review of Progress on </w:t>
            </w:r>
            <w:r w:rsidR="00570E63" w:rsidRPr="00291F90">
              <w:t>PCSP’s</w:t>
            </w:r>
          </w:p>
        </w:tc>
        <w:tc>
          <w:tcPr>
            <w:tcW w:w="1260" w:type="dxa"/>
            <w:shd w:val="clear" w:color="FCE4D6" w:fill="FCE4D6"/>
            <w:vAlign w:val="center"/>
          </w:tcPr>
          <w:p w14:paraId="438B09C3" w14:textId="77777777" w:rsidR="003F0A22" w:rsidRPr="00CF0C43" w:rsidRDefault="003F0A22" w:rsidP="003C5C9B">
            <w:pPr>
              <w:pStyle w:val="TextNormalTableBody"/>
            </w:pPr>
            <w:r w:rsidRPr="00CF0C43">
              <w:t>022001</w:t>
            </w:r>
          </w:p>
        </w:tc>
        <w:tc>
          <w:tcPr>
            <w:tcW w:w="4140" w:type="dxa"/>
            <w:shd w:val="clear" w:color="FCE4D6" w:fill="FCE4D6"/>
            <w:vAlign w:val="center"/>
          </w:tcPr>
          <w:p w14:paraId="48024B51" w14:textId="77777777" w:rsidR="003F0A22" w:rsidRPr="00CF0C43" w:rsidRDefault="003F0A22" w:rsidP="003C5C9B">
            <w:pPr>
              <w:pStyle w:val="TextNormalTableBody2"/>
            </w:pPr>
            <w:r w:rsidRPr="00CF0C43">
              <w:t>Case Closure</w:t>
            </w:r>
          </w:p>
        </w:tc>
      </w:tr>
    </w:tbl>
    <w:p w14:paraId="57D69A88" w14:textId="77777777" w:rsidR="00364A74" w:rsidRPr="00583435" w:rsidRDefault="00364A74" w:rsidP="00E17248">
      <w:r w:rsidRPr="00583435">
        <w:t xml:space="preserve">Allowable TCM services are billed </w:t>
      </w:r>
      <w:r w:rsidR="00BB401C" w:rsidRPr="00583435">
        <w:t>to MHD</w:t>
      </w:r>
      <w:r w:rsidR="00CE5C51" w:rsidRPr="00583435">
        <w:t xml:space="preserve"> </w:t>
      </w:r>
      <w:r w:rsidRPr="00583435">
        <w:t>under procedure code</w:t>
      </w:r>
      <w:r w:rsidR="00B87102" w:rsidRPr="00583435">
        <w:t>,</w:t>
      </w:r>
      <w:r w:rsidRPr="00583435">
        <w:t xml:space="preserve"> G9012HI</w:t>
      </w:r>
      <w:r w:rsidR="00B87102" w:rsidRPr="00583435">
        <w:t>, excluding t</w:t>
      </w:r>
      <w:r w:rsidRPr="00583435">
        <w:t>ransition/</w:t>
      </w:r>
      <w:r w:rsidR="00B87102" w:rsidRPr="00583435">
        <w:t>t</w:t>
      </w:r>
      <w:r w:rsidRPr="00583435">
        <w:t xml:space="preserve">ransfer of </w:t>
      </w:r>
      <w:r w:rsidR="00B87102" w:rsidRPr="00583435">
        <w:t>a c</w:t>
      </w:r>
      <w:r w:rsidRPr="00583435">
        <w:t>ase</w:t>
      </w:r>
      <w:r w:rsidR="00B87102" w:rsidRPr="00583435">
        <w:t xml:space="preserve"> which</w:t>
      </w:r>
      <w:r w:rsidRPr="00583435">
        <w:t xml:space="preserve"> is billed under G9012HITS (Other Specified Case Management).</w:t>
      </w:r>
    </w:p>
    <w:p w14:paraId="5EF3308A" w14:textId="77777777" w:rsidR="00364A74" w:rsidRPr="00583435" w:rsidRDefault="00B87102" w:rsidP="00E17248">
      <w:r w:rsidRPr="00583435">
        <w:t>Refer to</w:t>
      </w:r>
      <w:r w:rsidR="00364A74" w:rsidRPr="00583435">
        <w:t xml:space="preserve"> </w:t>
      </w:r>
      <w:hyperlink w:anchor="_8.7_Title_XIX" w:history="1">
        <w:r w:rsidRPr="00933095">
          <w:rPr>
            <w:rStyle w:val="Hyperlink"/>
          </w:rPr>
          <w:t>Section 8.7</w:t>
        </w:r>
      </w:hyperlink>
      <w:r w:rsidR="00364A74" w:rsidRPr="00583435">
        <w:t xml:space="preserve"> in this manual for more information on </w:t>
      </w:r>
      <w:r w:rsidR="00B80CB8" w:rsidRPr="00583435">
        <w:t xml:space="preserve">the </w:t>
      </w:r>
      <w:r w:rsidR="00364A74" w:rsidRPr="00583435">
        <w:t xml:space="preserve">billable TCM process for individuals transitioning from </w:t>
      </w:r>
      <w:r w:rsidRPr="00583435">
        <w:rPr>
          <w:color w:val="000000"/>
        </w:rPr>
        <w:t>eligible Title XIX Placements (state</w:t>
      </w:r>
      <w:r w:rsidR="00DD378B">
        <w:rPr>
          <w:color w:val="000000"/>
        </w:rPr>
        <w:t>-</w:t>
      </w:r>
      <w:r w:rsidRPr="00583435">
        <w:rPr>
          <w:color w:val="000000"/>
        </w:rPr>
        <w:t xml:space="preserve">operated </w:t>
      </w:r>
      <w:r w:rsidRPr="00583435">
        <w:t>Intermediate Care Facility for Individuals with Intellectual Disability (</w:t>
      </w:r>
      <w:r w:rsidRPr="00583435">
        <w:rPr>
          <w:color w:val="000000"/>
        </w:rPr>
        <w:t>ICF/I</w:t>
      </w:r>
      <w:r w:rsidR="009A7839" w:rsidRPr="00583435">
        <w:rPr>
          <w:color w:val="000000"/>
        </w:rPr>
        <w:t>I</w:t>
      </w:r>
      <w:r w:rsidRPr="00583435">
        <w:rPr>
          <w:color w:val="000000"/>
        </w:rPr>
        <w:t>D), Private ICF/I</w:t>
      </w:r>
      <w:r w:rsidR="009A7839" w:rsidRPr="00583435">
        <w:rPr>
          <w:color w:val="000000"/>
        </w:rPr>
        <w:t>I</w:t>
      </w:r>
      <w:r w:rsidRPr="00583435">
        <w:rPr>
          <w:color w:val="000000"/>
        </w:rPr>
        <w:t>D, Nursing Home)</w:t>
      </w:r>
      <w:r w:rsidR="00364A74" w:rsidRPr="00583435">
        <w:t xml:space="preserve"> facilities into community supports.</w:t>
      </w:r>
    </w:p>
    <w:p w14:paraId="329A15DF" w14:textId="77777777" w:rsidR="00364A74" w:rsidRPr="00E9062D" w:rsidRDefault="00A10E5E" w:rsidP="00F31585">
      <w:pPr>
        <w:pStyle w:val="Heading3"/>
      </w:pPr>
      <w:bookmarkStart w:id="134" w:name="_Toc521916588"/>
      <w:bookmarkStart w:id="135" w:name="_Toc226444483"/>
      <w:r w:rsidRPr="00E9062D">
        <w:t>8.</w:t>
      </w:r>
      <w:r w:rsidR="00DB458A" w:rsidRPr="00E9062D">
        <w:t>5</w:t>
      </w:r>
      <w:r w:rsidR="008C41A6" w:rsidRPr="00E9062D">
        <w:t xml:space="preserve"> </w:t>
      </w:r>
      <w:bookmarkStart w:id="136" w:name="_Hlk180154252"/>
      <w:r w:rsidR="00364A74" w:rsidRPr="00E9062D">
        <w:t>Transitioning from an Institution</w:t>
      </w:r>
      <w:bookmarkEnd w:id="134"/>
      <w:bookmarkEnd w:id="135"/>
    </w:p>
    <w:p w14:paraId="5C45C987" w14:textId="77777777" w:rsidR="00364A74" w:rsidRPr="00583435" w:rsidRDefault="00364A74" w:rsidP="00E17248">
      <w:bookmarkStart w:id="137" w:name="_Hlk179877081"/>
      <w:r w:rsidRPr="00583435">
        <w:t xml:space="preserve">TCM </w:t>
      </w:r>
      <w:r w:rsidR="006F1F42" w:rsidRPr="00583435">
        <w:t>services are</w:t>
      </w:r>
      <w:r w:rsidRPr="00583435">
        <w:t xml:space="preserve"> generally not billable for individuals </w:t>
      </w:r>
      <w:r w:rsidR="004A35F3" w:rsidRPr="00583435">
        <w:t>residing</w:t>
      </w:r>
      <w:r w:rsidRPr="00583435">
        <w:t xml:space="preserve"> in a Title XIX certified facility (</w:t>
      </w:r>
      <w:r w:rsidR="003C5FCF" w:rsidRPr="00583435">
        <w:t>Skilled Nursing Facility (</w:t>
      </w:r>
      <w:r w:rsidRPr="00583435">
        <w:t>SNF</w:t>
      </w:r>
      <w:r w:rsidR="003C5FCF" w:rsidRPr="00583435">
        <w:t>)</w:t>
      </w:r>
      <w:r w:rsidRPr="00583435">
        <w:t xml:space="preserve"> or ICF nursing home, private ICF/I</w:t>
      </w:r>
      <w:r w:rsidR="00240532" w:rsidRPr="00583435">
        <w:t>I</w:t>
      </w:r>
      <w:r w:rsidRPr="00583435">
        <w:t>D, or state</w:t>
      </w:r>
      <w:r w:rsidR="00DD378B">
        <w:t>-</w:t>
      </w:r>
      <w:r w:rsidRPr="00583435">
        <w:t>operated ICF/I</w:t>
      </w:r>
      <w:r w:rsidR="00240532" w:rsidRPr="00583435">
        <w:t>I</w:t>
      </w:r>
      <w:r w:rsidRPr="00583435">
        <w:t xml:space="preserve">D) even if the </w:t>
      </w:r>
      <w:r w:rsidRPr="00583435">
        <w:lastRenderedPageBreak/>
        <w:t xml:space="preserve">service is delivered someplace else. </w:t>
      </w:r>
      <w:r w:rsidR="00B80CB8" w:rsidRPr="00583435">
        <w:t>However, t</w:t>
      </w:r>
      <w:r w:rsidRPr="00583435">
        <w:t xml:space="preserve">here is an exception for individuals who reside in a Title XIX certified facility whose </w:t>
      </w:r>
      <w:r w:rsidR="00570E63" w:rsidRPr="00DF604B">
        <w:t>PCSP</w:t>
      </w:r>
      <w:r w:rsidRPr="00DF604B">
        <w:t xml:space="preserve"> includes</w:t>
      </w:r>
      <w:r w:rsidRPr="00583435">
        <w:t xml:space="preserve"> a plan for relocating (transitioning) to a community living arrangement. (Transition does not include moving from one institution to another.) </w:t>
      </w:r>
      <w:r w:rsidR="004A35F3" w:rsidRPr="00583435">
        <w:t>After</w:t>
      </w:r>
      <w:r w:rsidRPr="00583435">
        <w:t xml:space="preserve"> an individual has transitioned into the community, </w:t>
      </w:r>
      <w:r w:rsidR="007C5F46" w:rsidRPr="00583435">
        <w:t>MHD</w:t>
      </w:r>
      <w:r w:rsidRPr="00583435">
        <w:t xml:space="preserve"> can be billed for case management services the individual receives related to relocating to the community, not to exceed the last 180 days the individual resided in the facility. Billing cannot occur until after the date of discharge into the community.</w:t>
      </w:r>
    </w:p>
    <w:p w14:paraId="7C511EC0" w14:textId="77777777" w:rsidR="00364A74" w:rsidRPr="00E9062D" w:rsidRDefault="00A10E5E" w:rsidP="00F31585">
      <w:pPr>
        <w:pStyle w:val="Heading3"/>
      </w:pPr>
      <w:bookmarkStart w:id="138" w:name="_Toc521916589"/>
      <w:bookmarkStart w:id="139" w:name="_Toc226444484"/>
      <w:bookmarkEnd w:id="137"/>
      <w:r w:rsidRPr="00E9062D">
        <w:t>8.</w:t>
      </w:r>
      <w:r w:rsidR="00DB458A" w:rsidRPr="00E9062D">
        <w:t>6</w:t>
      </w:r>
      <w:r w:rsidR="008C41A6" w:rsidRPr="00E9062D">
        <w:t xml:space="preserve"> </w:t>
      </w:r>
      <w:r w:rsidR="00364A74" w:rsidRPr="00E9062D">
        <w:t>Title XIX Placements (Ineligible Place of Residence)</w:t>
      </w:r>
      <w:bookmarkEnd w:id="138"/>
      <w:bookmarkEnd w:id="139"/>
    </w:p>
    <w:p w14:paraId="4F159C5E" w14:textId="77777777" w:rsidR="00364A74" w:rsidRPr="00D600B5" w:rsidRDefault="007C5F46" w:rsidP="00E17248">
      <w:bookmarkStart w:id="140" w:name="_Hlk179877681"/>
      <w:r>
        <w:t>MHD</w:t>
      </w:r>
      <w:r w:rsidR="00364A74" w:rsidRPr="00D600B5">
        <w:t xml:space="preserve"> will not reimburse TCM services for individuals who reside in </w:t>
      </w:r>
      <w:r w:rsidR="002E71D2" w:rsidRPr="00D600B5">
        <w:t xml:space="preserve">Title XIX certified facilities, which are ICFs, </w:t>
      </w:r>
      <w:r w:rsidR="002E71D2">
        <w:t>Skilled Nursing Facilities (</w:t>
      </w:r>
      <w:r w:rsidR="002E71D2" w:rsidRPr="00D600B5">
        <w:t>SNF’s</w:t>
      </w:r>
      <w:r w:rsidR="002E71D2">
        <w:t>)</w:t>
      </w:r>
      <w:r w:rsidR="002E71D2" w:rsidRPr="00D600B5">
        <w:t xml:space="preserve"> or ICF/</w:t>
      </w:r>
      <w:r w:rsidR="00240532">
        <w:t>I</w:t>
      </w:r>
      <w:r w:rsidR="002E71D2" w:rsidRPr="00D600B5">
        <w:t>ID (both private ICFs DD and state-operated habilitation centers)</w:t>
      </w:r>
      <w:r w:rsidR="00364A74" w:rsidRPr="00D600B5">
        <w:t>, because the facility is already being paid a per diem.</w:t>
      </w:r>
    </w:p>
    <w:p w14:paraId="0B1C9C4A" w14:textId="77777777" w:rsidR="00364A74" w:rsidRPr="00D600B5" w:rsidRDefault="00364A74" w:rsidP="00E17248">
      <w:r w:rsidRPr="00D600B5">
        <w:t>There is an edit in CIMOR that determine</w:t>
      </w:r>
      <w:r w:rsidR="002E71D2">
        <w:t>s</w:t>
      </w:r>
      <w:r w:rsidRPr="00D600B5">
        <w:t xml:space="preserve"> if </w:t>
      </w:r>
      <w:r w:rsidR="002E71D2">
        <w:t>an</w:t>
      </w:r>
      <w:r w:rsidRPr="00D600B5">
        <w:t xml:space="preserve"> individual resides in a Title XIX facility on the date of the TCM service. If the individual does reside in a Title XIX facility, CIMOR will mark the service as non-billable.</w:t>
      </w:r>
    </w:p>
    <w:p w14:paraId="63A48A10" w14:textId="77777777" w:rsidR="00364A74" w:rsidRPr="00D600B5" w:rsidRDefault="00364A74" w:rsidP="00E17248">
      <w:r w:rsidRPr="00D600B5">
        <w:t xml:space="preserve">If </w:t>
      </w:r>
      <w:r w:rsidR="002E71D2">
        <w:t>the</w:t>
      </w:r>
      <w:r w:rsidR="002E71D2" w:rsidRPr="00D600B5">
        <w:t xml:space="preserve"> </w:t>
      </w:r>
      <w:r w:rsidRPr="00D600B5">
        <w:t>TCM entity does not use CIMOR for billing,</w:t>
      </w:r>
      <w:r w:rsidR="002E71D2">
        <w:t xml:space="preserve"> the</w:t>
      </w:r>
      <w:r w:rsidRPr="00D600B5">
        <w:t xml:space="preserve"> </w:t>
      </w:r>
      <w:r w:rsidR="007C78A4">
        <w:t xml:space="preserve">provider’s </w:t>
      </w:r>
      <w:r w:rsidRPr="00D600B5">
        <w:t xml:space="preserve">agency is responsible for ensuring that a </w:t>
      </w:r>
      <w:r w:rsidR="007C78A4">
        <w:t>SC</w:t>
      </w:r>
      <w:r w:rsidRPr="00D600B5">
        <w:t xml:space="preserve"> is not billing for non-billable services.</w:t>
      </w:r>
    </w:p>
    <w:p w14:paraId="3A517715" w14:textId="77777777" w:rsidR="00364A74" w:rsidRPr="00E9062D" w:rsidRDefault="00A10E5E" w:rsidP="00F31585">
      <w:pPr>
        <w:pStyle w:val="Heading3"/>
      </w:pPr>
      <w:bookmarkStart w:id="141" w:name="_8.7_Title_XIX"/>
      <w:bookmarkStart w:id="142" w:name="_Toc521916590"/>
      <w:bookmarkStart w:id="143" w:name="_Toc226444485"/>
      <w:bookmarkEnd w:id="140"/>
      <w:bookmarkEnd w:id="141"/>
      <w:r w:rsidRPr="00E9062D">
        <w:t>8.</w:t>
      </w:r>
      <w:r w:rsidR="00DB458A" w:rsidRPr="00E9062D">
        <w:t>7</w:t>
      </w:r>
      <w:r w:rsidR="008C41A6" w:rsidRPr="00E9062D">
        <w:t xml:space="preserve"> </w:t>
      </w:r>
      <w:r w:rsidR="00364A74" w:rsidRPr="00E9062D">
        <w:t>Title XIX Placements (Eligible Place of Residence)</w:t>
      </w:r>
      <w:bookmarkEnd w:id="142"/>
      <w:bookmarkEnd w:id="143"/>
    </w:p>
    <w:p w14:paraId="6252305A" w14:textId="77777777" w:rsidR="00364A74" w:rsidRPr="00D600B5" w:rsidRDefault="007C5F46" w:rsidP="00E17248">
      <w:bookmarkStart w:id="144" w:name="_Hlk180153659"/>
      <w:r>
        <w:t>MHD</w:t>
      </w:r>
      <w:r w:rsidR="00364A74" w:rsidRPr="00D600B5">
        <w:t xml:space="preserve"> will reimburse TCM services for up to 180 days for individuals who reside in institutions when the individual is transitioning from the institution to a community living arrangement such as a living arrangement funded through </w:t>
      </w:r>
      <w:r w:rsidR="002E71D2">
        <w:t>a</w:t>
      </w:r>
      <w:r w:rsidR="00364A74" w:rsidRPr="00D600B5">
        <w:t xml:space="preserve"> waiver. For TCM providers that use CIMOR for billing, in order for a </w:t>
      </w:r>
      <w:r w:rsidR="007C78A4">
        <w:t>SC</w:t>
      </w:r>
      <w:r w:rsidR="00364A74" w:rsidRPr="00D600B5">
        <w:t xml:space="preserve"> to submit billable logging for individuals who are transitioning to the community, the </w:t>
      </w:r>
      <w:r w:rsidR="007C78A4">
        <w:t xml:space="preserve">service code </w:t>
      </w:r>
      <w:r w:rsidR="00364A74" w:rsidRPr="00D600B5">
        <w:t>20000T must be utilized and Service Location should designate ICF/I</w:t>
      </w:r>
      <w:r w:rsidR="00240532">
        <w:t>I</w:t>
      </w:r>
      <w:r w:rsidR="00364A74" w:rsidRPr="00D600B5">
        <w:t xml:space="preserve">D, nursing facility, or </w:t>
      </w:r>
      <w:r w:rsidR="002E71D2">
        <w:t>SNF</w:t>
      </w:r>
      <w:r w:rsidR="00364A74" w:rsidRPr="00D600B5">
        <w:t xml:space="preserve">. This will allow TCM to be billed and </w:t>
      </w:r>
      <w:r w:rsidR="002E71D2">
        <w:t>reimbursed</w:t>
      </w:r>
      <w:r w:rsidR="002E71D2" w:rsidRPr="00D600B5">
        <w:t xml:space="preserve"> </w:t>
      </w:r>
      <w:r w:rsidR="00364A74" w:rsidRPr="00D600B5">
        <w:t xml:space="preserve">for </w:t>
      </w:r>
      <w:r w:rsidR="00364A74">
        <w:t xml:space="preserve">individuals </w:t>
      </w:r>
      <w:r w:rsidR="00364A74" w:rsidRPr="00D600B5">
        <w:t>who are being transitioned from a Title XIX state-operated ICF/I</w:t>
      </w:r>
      <w:r w:rsidR="00240532">
        <w:t>I</w:t>
      </w:r>
      <w:r w:rsidR="00364A74" w:rsidRPr="00D600B5">
        <w:t>D, private ICF/I</w:t>
      </w:r>
      <w:r w:rsidR="00240532">
        <w:t>I</w:t>
      </w:r>
      <w:r w:rsidR="00364A74" w:rsidRPr="00D600B5">
        <w:t xml:space="preserve">D, or nursing home. Transition activities coded with </w:t>
      </w:r>
      <w:r w:rsidR="007C78A4">
        <w:t xml:space="preserve">service code </w:t>
      </w:r>
      <w:r w:rsidR="00364A74" w:rsidRPr="00D600B5">
        <w:t xml:space="preserve">20000T shall not be billed to </w:t>
      </w:r>
      <w:r>
        <w:t>MHD</w:t>
      </w:r>
      <w:r w:rsidR="00364A74" w:rsidRPr="00D600B5">
        <w:t xml:space="preserve"> until after the date of discharge into the community. S</w:t>
      </w:r>
      <w:r w:rsidR="007C78A4">
        <w:t>C</w:t>
      </w:r>
      <w:r w:rsidR="00364A74" w:rsidRPr="00D600B5">
        <w:t xml:space="preserve">s can log applicable transition activities, while the </w:t>
      </w:r>
      <w:r w:rsidR="00364A74">
        <w:t xml:space="preserve">individual </w:t>
      </w:r>
      <w:r w:rsidR="00364A74" w:rsidRPr="00D600B5">
        <w:t>is residing in an ICF/I</w:t>
      </w:r>
      <w:r w:rsidR="00240532">
        <w:t>I</w:t>
      </w:r>
      <w:r w:rsidR="00364A74" w:rsidRPr="00D600B5">
        <w:t xml:space="preserve">D or nursing facility, by using a non-billable code. Once the </w:t>
      </w:r>
      <w:r w:rsidR="00364A74">
        <w:t xml:space="preserve">individual </w:t>
      </w:r>
      <w:r w:rsidR="00364A74" w:rsidRPr="00D600B5">
        <w:t xml:space="preserve">has successfully transitioned to the community, the code can be changed to </w:t>
      </w:r>
      <w:r w:rsidR="007C78A4">
        <w:t xml:space="preserve">service code </w:t>
      </w:r>
      <w:r w:rsidR="00364A74" w:rsidRPr="00D600B5">
        <w:t>20000T and submitted as a billable TCM claim for that date of service.</w:t>
      </w:r>
      <w:r w:rsidR="00364A74">
        <w:t xml:space="preserve"> </w:t>
      </w:r>
      <w:r w:rsidR="00364A74" w:rsidRPr="00D600B5">
        <w:t xml:space="preserve">Claims with the </w:t>
      </w:r>
      <w:r w:rsidR="007C78A4">
        <w:t xml:space="preserve">service code </w:t>
      </w:r>
      <w:r w:rsidR="00364A74" w:rsidRPr="00D600B5">
        <w:t>20000T code shall only be billed for service dates up to 180 consecutive days prior to the effective date of successful transition.</w:t>
      </w:r>
    </w:p>
    <w:p w14:paraId="0615D0BA" w14:textId="77777777" w:rsidR="00364A74" w:rsidRPr="00D600B5" w:rsidRDefault="00364A74" w:rsidP="00E17248">
      <w:bookmarkStart w:id="145" w:name="_Hlk180154387"/>
      <w:r w:rsidRPr="00D600B5">
        <w:t xml:space="preserve">This does not include </w:t>
      </w:r>
      <w:r>
        <w:t xml:space="preserve">individuals </w:t>
      </w:r>
      <w:r w:rsidRPr="00D600B5">
        <w:t>who transition from one</w:t>
      </w:r>
      <w:r w:rsidR="00EA35F3">
        <w:t xml:space="preserve"> (1)</w:t>
      </w:r>
      <w:r w:rsidRPr="00D600B5">
        <w:t xml:space="preserve"> institution to another, for example, move from a state</w:t>
      </w:r>
      <w:r w:rsidR="00DD378B">
        <w:t>-</w:t>
      </w:r>
      <w:r w:rsidRPr="00D600B5">
        <w:t>operated ICF/I</w:t>
      </w:r>
      <w:r w:rsidR="00240532">
        <w:t>I</w:t>
      </w:r>
      <w:r w:rsidRPr="00D600B5">
        <w:t>D facility to another, or to a nursing home or private ICF/I</w:t>
      </w:r>
      <w:r w:rsidR="00240532">
        <w:t>I</w:t>
      </w:r>
      <w:r w:rsidRPr="00D600B5">
        <w:t>D.</w:t>
      </w:r>
    </w:p>
    <w:bookmarkEnd w:id="145"/>
    <w:p w14:paraId="0DF535DB" w14:textId="77777777" w:rsidR="00364A74" w:rsidRPr="00D600B5" w:rsidRDefault="00364A74" w:rsidP="00E17248">
      <w:r w:rsidRPr="00D600B5">
        <w:t xml:space="preserve">Residential Care Facilities (RCF’s) I </w:t>
      </w:r>
      <w:r w:rsidR="002E71D2">
        <w:t>and</w:t>
      </w:r>
      <w:r w:rsidRPr="00D600B5">
        <w:t xml:space="preserve"> II are not Title XIX certified facilities. TCM services logged for individuals living in these facilities </w:t>
      </w:r>
      <w:r w:rsidR="00EA35F3">
        <w:t>should</w:t>
      </w:r>
      <w:r w:rsidR="00EA35F3" w:rsidRPr="00D600B5">
        <w:t xml:space="preserve"> </w:t>
      </w:r>
      <w:r w:rsidRPr="00D600B5">
        <w:t>be billed.</w:t>
      </w:r>
    </w:p>
    <w:p w14:paraId="131FD493" w14:textId="77777777" w:rsidR="00396956" w:rsidRPr="00E9062D" w:rsidRDefault="00396956" w:rsidP="00F31585">
      <w:pPr>
        <w:pStyle w:val="Heading2"/>
        <w:rPr>
          <w:rFonts w:eastAsia="Times New Roman"/>
        </w:rPr>
      </w:pPr>
      <w:bookmarkStart w:id="146" w:name="_Toc226444486"/>
      <w:bookmarkEnd w:id="136"/>
      <w:bookmarkEnd w:id="144"/>
      <w:r w:rsidRPr="00E9062D">
        <w:rPr>
          <w:rFonts w:eastAsia="Times New Roman"/>
        </w:rPr>
        <w:lastRenderedPageBreak/>
        <w:t>Section 9:  Procedure Codes</w:t>
      </w:r>
      <w:bookmarkEnd w:id="146"/>
    </w:p>
    <w:p w14:paraId="472ABFDA" w14:textId="77777777" w:rsidR="00396956" w:rsidRDefault="002E71D2" w:rsidP="003C5C9B">
      <w:r>
        <w:t xml:space="preserve">The </w:t>
      </w:r>
      <w:r w:rsidR="00396956" w:rsidRPr="00F257E0">
        <w:t xml:space="preserve">Division of </w:t>
      </w:r>
      <w:r>
        <w:t>Developmental Disabilities (</w:t>
      </w:r>
      <w:r w:rsidR="00396956" w:rsidRPr="00F257E0">
        <w:t>DD</w:t>
      </w:r>
      <w:r>
        <w:t>) Targeted Case Management</w:t>
      </w:r>
      <w:r w:rsidR="00396956" w:rsidRPr="00F257E0">
        <w:t xml:space="preserve"> </w:t>
      </w:r>
      <w:r>
        <w:t>(</w:t>
      </w:r>
      <w:r w:rsidR="00396956" w:rsidRPr="00F257E0">
        <w:t>TCM</w:t>
      </w:r>
      <w:r>
        <w:t>)</w:t>
      </w:r>
      <w:r w:rsidR="00396956" w:rsidRPr="00F257E0">
        <w:t xml:space="preserve"> </w:t>
      </w:r>
      <w:r w:rsidR="00FC3DBA">
        <w:t>procedure codes are as follows</w:t>
      </w:r>
      <w:r w:rsidR="00396956" w:rsidRPr="00F257E0">
        <w:t>:</w:t>
      </w:r>
    </w:p>
    <w:tbl>
      <w:tblPr>
        <w:tblpPr w:leftFromText="180" w:rightFromText="180" w:vertAnchor="text" w:tblpY="1"/>
        <w:tblOverlap w:val="neve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77"/>
        <w:gridCol w:w="5174"/>
        <w:gridCol w:w="2619"/>
      </w:tblGrid>
      <w:tr w:rsidR="00396956" w:rsidRPr="001341EA" w14:paraId="27D19B30" w14:textId="77777777" w:rsidTr="004C1EC6">
        <w:trPr>
          <w:cantSplit/>
          <w:trHeight w:val="576"/>
        </w:trPr>
        <w:tc>
          <w:tcPr>
            <w:tcW w:w="1129" w:type="pct"/>
            <w:shd w:val="clear" w:color="auto" w:fill="163E64"/>
            <w:noWrap/>
            <w:vAlign w:val="center"/>
            <w:hideMark/>
          </w:tcPr>
          <w:p w14:paraId="4E0EEDBA" w14:textId="77777777" w:rsidR="00396956" w:rsidRPr="001341EA" w:rsidRDefault="00396956" w:rsidP="003C5C9B">
            <w:pPr>
              <w:pStyle w:val="TextNormalTableHeader"/>
              <w:rPr>
                <w:rFonts w:eastAsia="Times New Roman"/>
              </w:rPr>
            </w:pPr>
            <w:r>
              <w:t>Procedure Code</w:t>
            </w:r>
          </w:p>
        </w:tc>
        <w:tc>
          <w:tcPr>
            <w:tcW w:w="2569" w:type="pct"/>
            <w:shd w:val="clear" w:color="auto" w:fill="163E64"/>
            <w:noWrap/>
            <w:vAlign w:val="center"/>
            <w:hideMark/>
          </w:tcPr>
          <w:p w14:paraId="2DC2E91D" w14:textId="77777777" w:rsidR="00396956" w:rsidRPr="001341EA" w:rsidRDefault="00396956" w:rsidP="003C5C9B">
            <w:pPr>
              <w:pStyle w:val="TextNormalTableHeader"/>
              <w:rPr>
                <w:rFonts w:eastAsia="Times New Roman"/>
              </w:rPr>
            </w:pPr>
            <w:r w:rsidRPr="001341EA">
              <w:rPr>
                <w:rFonts w:eastAsia="Times New Roman"/>
              </w:rPr>
              <w:t>Description</w:t>
            </w:r>
          </w:p>
        </w:tc>
        <w:tc>
          <w:tcPr>
            <w:tcW w:w="1301" w:type="pct"/>
            <w:shd w:val="clear" w:color="auto" w:fill="163E64"/>
            <w:noWrap/>
            <w:vAlign w:val="center"/>
            <w:hideMark/>
          </w:tcPr>
          <w:p w14:paraId="2975D0A2" w14:textId="77777777" w:rsidR="00396956" w:rsidRPr="001341EA" w:rsidRDefault="00396956" w:rsidP="003C5C9B">
            <w:pPr>
              <w:pStyle w:val="TextNormalTableHeader"/>
              <w:rPr>
                <w:rFonts w:eastAsia="Times New Roman"/>
              </w:rPr>
            </w:pPr>
            <w:r>
              <w:rPr>
                <w:rFonts w:eastAsia="Times New Roman"/>
              </w:rPr>
              <w:t>Service Unit</w:t>
            </w:r>
          </w:p>
        </w:tc>
      </w:tr>
      <w:tr w:rsidR="00396956" w:rsidRPr="001341EA" w14:paraId="18EB534D" w14:textId="77777777" w:rsidTr="004C1EC6">
        <w:trPr>
          <w:cantSplit/>
          <w:trHeight w:val="576"/>
        </w:trPr>
        <w:tc>
          <w:tcPr>
            <w:tcW w:w="1129" w:type="pct"/>
            <w:shd w:val="clear" w:color="F8CBAD" w:fill="F8CBAD"/>
            <w:noWrap/>
            <w:vAlign w:val="center"/>
            <w:hideMark/>
          </w:tcPr>
          <w:p w14:paraId="2F3B4D17" w14:textId="77777777" w:rsidR="00396956" w:rsidRPr="001341EA" w:rsidRDefault="00396956" w:rsidP="003C5C9B">
            <w:pPr>
              <w:pStyle w:val="TextNormalTableBody"/>
            </w:pPr>
            <w:r w:rsidRPr="001341EA">
              <w:t>G9012 HI</w:t>
            </w:r>
          </w:p>
        </w:tc>
        <w:tc>
          <w:tcPr>
            <w:tcW w:w="2569" w:type="pct"/>
            <w:shd w:val="clear" w:color="F8CBAD" w:fill="F8CBAD"/>
            <w:noWrap/>
            <w:vAlign w:val="center"/>
            <w:hideMark/>
          </w:tcPr>
          <w:p w14:paraId="11093E3B" w14:textId="77777777" w:rsidR="00396956" w:rsidRPr="001341EA" w:rsidRDefault="00396956" w:rsidP="003C5C9B">
            <w:pPr>
              <w:pStyle w:val="TextNormalTableBody2"/>
            </w:pPr>
            <w:r w:rsidRPr="001341EA">
              <w:t>Other Specified Case Management</w:t>
            </w:r>
          </w:p>
        </w:tc>
        <w:tc>
          <w:tcPr>
            <w:tcW w:w="1301" w:type="pct"/>
            <w:shd w:val="clear" w:color="F8CBAD" w:fill="F8CBAD"/>
            <w:noWrap/>
            <w:vAlign w:val="center"/>
            <w:hideMark/>
          </w:tcPr>
          <w:p w14:paraId="2AA50CDD" w14:textId="77777777" w:rsidR="00396956" w:rsidRPr="001341EA" w:rsidRDefault="00396956" w:rsidP="003C5C9B">
            <w:pPr>
              <w:pStyle w:val="TextNormalTableBody2"/>
              <w:rPr>
                <w:rFonts w:eastAsia="Times New Roman"/>
              </w:rPr>
            </w:pPr>
            <w:r>
              <w:t>Five (5) minute unit</w:t>
            </w:r>
          </w:p>
        </w:tc>
      </w:tr>
      <w:tr w:rsidR="00396956" w:rsidRPr="001341EA" w14:paraId="72639BC3" w14:textId="77777777" w:rsidTr="004C1EC6">
        <w:trPr>
          <w:cantSplit/>
          <w:trHeight w:val="576"/>
        </w:trPr>
        <w:tc>
          <w:tcPr>
            <w:tcW w:w="1129" w:type="pct"/>
            <w:shd w:val="clear" w:color="FCE4D6" w:fill="FCE4D6"/>
            <w:noWrap/>
            <w:vAlign w:val="center"/>
            <w:hideMark/>
          </w:tcPr>
          <w:p w14:paraId="16E782B9" w14:textId="77777777" w:rsidR="00396956" w:rsidRPr="001341EA" w:rsidRDefault="00396956" w:rsidP="003C5C9B">
            <w:pPr>
              <w:pStyle w:val="TextNormalTableBody"/>
            </w:pPr>
            <w:r w:rsidRPr="001341EA">
              <w:t>G9012 HITS</w:t>
            </w:r>
          </w:p>
        </w:tc>
        <w:tc>
          <w:tcPr>
            <w:tcW w:w="2569" w:type="pct"/>
            <w:shd w:val="clear" w:color="FCE4D6" w:fill="FCE4D6"/>
            <w:vAlign w:val="center"/>
            <w:hideMark/>
          </w:tcPr>
          <w:p w14:paraId="4A8EAD34" w14:textId="77777777" w:rsidR="00396956" w:rsidRPr="001341EA" w:rsidRDefault="00396956" w:rsidP="003C5C9B">
            <w:pPr>
              <w:pStyle w:val="TextNormalTableBody2"/>
            </w:pPr>
            <w:r w:rsidRPr="001341EA">
              <w:t xml:space="preserve">Other Specified Case Management Case Transfer Follow-up Services </w:t>
            </w:r>
          </w:p>
        </w:tc>
        <w:tc>
          <w:tcPr>
            <w:tcW w:w="1301" w:type="pct"/>
            <w:shd w:val="clear" w:color="FCE4D6" w:fill="FCE4D6"/>
            <w:vAlign w:val="center"/>
            <w:hideMark/>
          </w:tcPr>
          <w:p w14:paraId="5E976DFE" w14:textId="77777777" w:rsidR="00396956" w:rsidRPr="001341EA" w:rsidRDefault="00396956" w:rsidP="003C5C9B">
            <w:pPr>
              <w:pStyle w:val="TextNormalTableBody2"/>
              <w:rPr>
                <w:rFonts w:eastAsia="Times New Roman"/>
              </w:rPr>
            </w:pPr>
            <w:r>
              <w:t>Five (5) minute unit</w:t>
            </w:r>
          </w:p>
        </w:tc>
      </w:tr>
    </w:tbl>
    <w:p w14:paraId="725B76A8" w14:textId="77777777" w:rsidR="00FC3DBA" w:rsidRDefault="00FC3DBA" w:rsidP="00E17248">
      <w:r w:rsidRPr="00D600B5">
        <w:t xml:space="preserve">The </w:t>
      </w:r>
      <w:r w:rsidR="002E71D2">
        <w:t>DD</w:t>
      </w:r>
      <w:r w:rsidRPr="00D600B5">
        <w:t xml:space="preserve"> billing system takes the total time a </w:t>
      </w:r>
      <w:r w:rsidR="00EA35F3">
        <w:t>SC</w:t>
      </w:r>
      <w:r w:rsidRPr="00D600B5">
        <w:t xml:space="preserve"> spends on a given activity for a given individual on a given day and converts the time to tenths of an hour. A TCM service unit is five</w:t>
      </w:r>
      <w:r>
        <w:t xml:space="preserve"> (5)</w:t>
      </w:r>
      <w:r w:rsidRPr="00D600B5">
        <w:t xml:space="preserve"> minutes. Providers must design their billing system to also bill services in five </w:t>
      </w:r>
      <w:r>
        <w:t xml:space="preserve">(5) </w:t>
      </w:r>
      <w:r w:rsidRPr="00D600B5">
        <w:t>minute increments.</w:t>
      </w:r>
    </w:p>
    <w:p w14:paraId="39E3FDBF" w14:textId="6542D520" w:rsidR="00396956" w:rsidRPr="00E9062D" w:rsidRDefault="005A4CB5" w:rsidP="00BF51C8">
      <w:pPr>
        <w:pStyle w:val="Heading2"/>
        <w:rPr>
          <w:rFonts w:eastAsia="Times New Roman"/>
        </w:rPr>
      </w:pPr>
      <w:bookmarkStart w:id="147" w:name="_Toc226444487"/>
      <w:r w:rsidRPr="00E9062D">
        <w:rPr>
          <w:rFonts w:eastAsia="Times New Roman"/>
        </w:rPr>
        <w:t xml:space="preserve">Section </w:t>
      </w:r>
      <w:r w:rsidR="00CD67B9" w:rsidRPr="00E9062D">
        <w:rPr>
          <w:rFonts w:eastAsia="Times New Roman"/>
        </w:rPr>
        <w:t>10</w:t>
      </w:r>
      <w:r w:rsidRPr="00E9062D">
        <w:rPr>
          <w:rFonts w:eastAsia="Times New Roman"/>
        </w:rPr>
        <w:t xml:space="preserve">: </w:t>
      </w:r>
      <w:r w:rsidR="00E04125">
        <w:rPr>
          <w:rFonts w:eastAsia="Times New Roman"/>
        </w:rPr>
        <w:t xml:space="preserve"> </w:t>
      </w:r>
      <w:r w:rsidR="00396956" w:rsidRPr="00E9062D">
        <w:rPr>
          <w:rFonts w:eastAsia="Times New Roman"/>
        </w:rPr>
        <w:t>Place of Service</w:t>
      </w:r>
      <w:bookmarkEnd w:id="147"/>
    </w:p>
    <w:p w14:paraId="7A8A65D2" w14:textId="77777777" w:rsidR="00EA35F3" w:rsidRDefault="00FC3DBA" w:rsidP="003C5C9B">
      <w:r>
        <w:t>Services may be rendered in the following locations, and the appropriate place of service</w:t>
      </w:r>
      <w:r w:rsidR="002E71D2">
        <w:t xml:space="preserve"> (POS)</w:t>
      </w:r>
      <w:r>
        <w:t xml:space="preserve"> must be entered when submitting a claim:</w:t>
      </w:r>
    </w:p>
    <w:tbl>
      <w:tblPr>
        <w:tblW w:w="10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810"/>
        <w:gridCol w:w="3420"/>
        <w:gridCol w:w="752"/>
        <w:gridCol w:w="5098"/>
      </w:tblGrid>
      <w:tr w:rsidR="002E71D2" w:rsidRPr="00CF0C43" w14:paraId="06CCA89E" w14:textId="77777777" w:rsidTr="00933095">
        <w:trPr>
          <w:trHeight w:val="600"/>
        </w:trPr>
        <w:tc>
          <w:tcPr>
            <w:tcW w:w="810" w:type="dxa"/>
            <w:shd w:val="clear" w:color="auto" w:fill="163E64"/>
            <w:noWrap/>
            <w:vAlign w:val="center"/>
            <w:hideMark/>
          </w:tcPr>
          <w:p w14:paraId="2A711689" w14:textId="77777777" w:rsidR="002E71D2" w:rsidRPr="00CF0C43" w:rsidRDefault="002E71D2" w:rsidP="003C5C9B">
            <w:pPr>
              <w:pStyle w:val="TextNormalTableHeader"/>
            </w:pPr>
            <w:r>
              <w:t>POS</w:t>
            </w:r>
          </w:p>
        </w:tc>
        <w:tc>
          <w:tcPr>
            <w:tcW w:w="3420" w:type="dxa"/>
            <w:shd w:val="clear" w:color="auto" w:fill="163E64"/>
            <w:noWrap/>
            <w:vAlign w:val="center"/>
            <w:hideMark/>
          </w:tcPr>
          <w:p w14:paraId="4F7A5950" w14:textId="77777777" w:rsidR="002E71D2" w:rsidRPr="00CF0C43" w:rsidRDefault="002E71D2" w:rsidP="003C5C9B">
            <w:pPr>
              <w:pStyle w:val="TextNormalTableHeader"/>
            </w:pPr>
            <w:r w:rsidRPr="00CF0C43">
              <w:t>Description</w:t>
            </w:r>
          </w:p>
        </w:tc>
        <w:tc>
          <w:tcPr>
            <w:tcW w:w="752" w:type="dxa"/>
            <w:shd w:val="clear" w:color="auto" w:fill="163E64"/>
            <w:vAlign w:val="center"/>
          </w:tcPr>
          <w:p w14:paraId="23C14036" w14:textId="77777777" w:rsidR="002E71D2" w:rsidRPr="00CF0C43" w:rsidRDefault="002E71D2" w:rsidP="003C5C9B">
            <w:pPr>
              <w:pStyle w:val="TextNormalTableHeader"/>
            </w:pPr>
            <w:r>
              <w:t>POS</w:t>
            </w:r>
          </w:p>
        </w:tc>
        <w:tc>
          <w:tcPr>
            <w:tcW w:w="5098" w:type="dxa"/>
            <w:shd w:val="clear" w:color="auto" w:fill="163E64"/>
            <w:vAlign w:val="center"/>
          </w:tcPr>
          <w:p w14:paraId="47C90B8B" w14:textId="77777777" w:rsidR="002E71D2" w:rsidRPr="00CF0C43" w:rsidRDefault="002E71D2" w:rsidP="003C5C9B">
            <w:pPr>
              <w:pStyle w:val="TextNormalTableHeader"/>
            </w:pPr>
            <w:r w:rsidRPr="00CF0C43">
              <w:t>Description</w:t>
            </w:r>
          </w:p>
        </w:tc>
      </w:tr>
      <w:tr w:rsidR="002E71D2" w:rsidRPr="00CF0C43" w14:paraId="29F9F273" w14:textId="77777777" w:rsidTr="00933095">
        <w:trPr>
          <w:trHeight w:val="411"/>
        </w:trPr>
        <w:tc>
          <w:tcPr>
            <w:tcW w:w="810" w:type="dxa"/>
            <w:shd w:val="clear" w:color="F8CBAD" w:fill="F8CBAD"/>
            <w:noWrap/>
            <w:vAlign w:val="center"/>
          </w:tcPr>
          <w:p w14:paraId="746D760F" w14:textId="77777777" w:rsidR="002E71D2" w:rsidRPr="00CF0C43" w:rsidRDefault="002E71D2" w:rsidP="003C5C9B">
            <w:pPr>
              <w:pStyle w:val="TextNormalTableBody"/>
            </w:pPr>
            <w:r>
              <w:t>11</w:t>
            </w:r>
          </w:p>
        </w:tc>
        <w:tc>
          <w:tcPr>
            <w:tcW w:w="3420" w:type="dxa"/>
            <w:shd w:val="clear" w:color="F8CBAD" w:fill="F8CBAD"/>
            <w:noWrap/>
            <w:vAlign w:val="center"/>
          </w:tcPr>
          <w:p w14:paraId="2657144A" w14:textId="77777777" w:rsidR="002E71D2" w:rsidRPr="00933095" w:rsidRDefault="002E71D2" w:rsidP="003C5C9B">
            <w:pPr>
              <w:pStyle w:val="TextNormalTableBody2"/>
            </w:pPr>
            <w:r w:rsidRPr="00933095">
              <w:t>Office</w:t>
            </w:r>
          </w:p>
        </w:tc>
        <w:tc>
          <w:tcPr>
            <w:tcW w:w="752" w:type="dxa"/>
            <w:shd w:val="clear" w:color="F8CBAD" w:fill="F8CBAD"/>
            <w:vAlign w:val="center"/>
          </w:tcPr>
          <w:p w14:paraId="75B211A7" w14:textId="77777777" w:rsidR="002E71D2" w:rsidRPr="00CF0C43" w:rsidRDefault="002E71D2" w:rsidP="003F587F">
            <w:pPr>
              <w:keepNext/>
              <w:keepLines/>
              <w:spacing w:line="240" w:lineRule="auto"/>
              <w:jc w:val="center"/>
              <w:rPr>
                <w:rFonts w:eastAsia="Times New Roman"/>
                <w:color w:val="000000"/>
              </w:rPr>
            </w:pPr>
            <w:r>
              <w:rPr>
                <w:rFonts w:eastAsia="Times New Roman"/>
                <w:color w:val="000000"/>
              </w:rPr>
              <w:t>33</w:t>
            </w:r>
          </w:p>
        </w:tc>
        <w:tc>
          <w:tcPr>
            <w:tcW w:w="5098" w:type="dxa"/>
            <w:shd w:val="clear" w:color="F8CBAD" w:fill="F8CBAD"/>
            <w:vAlign w:val="center"/>
          </w:tcPr>
          <w:p w14:paraId="4B5C2B67" w14:textId="77777777" w:rsidR="002E71D2" w:rsidRPr="00CF0C43" w:rsidRDefault="002E71D2" w:rsidP="003C5C9B">
            <w:pPr>
              <w:pStyle w:val="TextNormalTableBody2"/>
            </w:pPr>
            <w:r>
              <w:t>Custodial Care Facility</w:t>
            </w:r>
          </w:p>
        </w:tc>
      </w:tr>
      <w:tr w:rsidR="002E71D2" w:rsidRPr="00CF0C43" w14:paraId="43C14725" w14:textId="77777777" w:rsidTr="00933095">
        <w:trPr>
          <w:trHeight w:val="449"/>
        </w:trPr>
        <w:tc>
          <w:tcPr>
            <w:tcW w:w="810" w:type="dxa"/>
            <w:shd w:val="clear" w:color="FCE4D6" w:fill="FCE4D6"/>
            <w:noWrap/>
            <w:vAlign w:val="center"/>
          </w:tcPr>
          <w:p w14:paraId="74D6EC0F" w14:textId="77777777" w:rsidR="002E71D2" w:rsidRPr="00CF0C43" w:rsidRDefault="002E71D2" w:rsidP="003C5C9B">
            <w:pPr>
              <w:pStyle w:val="TextNormalTableBody"/>
            </w:pPr>
            <w:r>
              <w:t>12</w:t>
            </w:r>
          </w:p>
        </w:tc>
        <w:tc>
          <w:tcPr>
            <w:tcW w:w="3420" w:type="dxa"/>
            <w:shd w:val="clear" w:color="FCE4D6" w:fill="FCE4D6"/>
            <w:noWrap/>
            <w:vAlign w:val="center"/>
          </w:tcPr>
          <w:p w14:paraId="742AE3D2" w14:textId="77777777" w:rsidR="002E71D2" w:rsidRPr="00933095" w:rsidRDefault="002E71D2" w:rsidP="00933095">
            <w:pPr>
              <w:pStyle w:val="TextNormalTableBody2"/>
            </w:pPr>
            <w:r w:rsidRPr="00933095">
              <w:t>Home</w:t>
            </w:r>
          </w:p>
        </w:tc>
        <w:tc>
          <w:tcPr>
            <w:tcW w:w="752" w:type="dxa"/>
            <w:shd w:val="clear" w:color="FCE4D6" w:fill="FCE4D6"/>
            <w:vAlign w:val="center"/>
          </w:tcPr>
          <w:p w14:paraId="2C72F08B" w14:textId="77777777" w:rsidR="002E71D2" w:rsidRPr="00CF0C43" w:rsidRDefault="002E71D2" w:rsidP="003F587F">
            <w:pPr>
              <w:keepNext/>
              <w:keepLines/>
              <w:spacing w:line="240" w:lineRule="auto"/>
              <w:jc w:val="center"/>
              <w:rPr>
                <w:rFonts w:eastAsia="Times New Roman"/>
                <w:color w:val="000000"/>
              </w:rPr>
            </w:pPr>
            <w:r>
              <w:rPr>
                <w:rFonts w:eastAsia="Times New Roman"/>
                <w:color w:val="000000"/>
              </w:rPr>
              <w:t>54</w:t>
            </w:r>
          </w:p>
        </w:tc>
        <w:tc>
          <w:tcPr>
            <w:tcW w:w="5098" w:type="dxa"/>
            <w:shd w:val="clear" w:color="FCE4D6" w:fill="FCE4D6"/>
            <w:vAlign w:val="center"/>
          </w:tcPr>
          <w:p w14:paraId="5082C4B5" w14:textId="77777777" w:rsidR="002E71D2" w:rsidRPr="00CF0C43" w:rsidRDefault="002E71D2" w:rsidP="00933095">
            <w:pPr>
              <w:pStyle w:val="TextNormalTableBody2"/>
            </w:pPr>
            <w:r>
              <w:t>Intermediate Care Facility/Development Disabilities (ICF/DD)</w:t>
            </w:r>
          </w:p>
        </w:tc>
      </w:tr>
      <w:tr w:rsidR="002E71D2" w:rsidRPr="00CF0C43" w14:paraId="7A35E9D1" w14:textId="77777777" w:rsidTr="003C5C9B">
        <w:trPr>
          <w:trHeight w:val="300"/>
        </w:trPr>
        <w:tc>
          <w:tcPr>
            <w:tcW w:w="810" w:type="dxa"/>
            <w:tcBorders>
              <w:bottom w:val="single" w:sz="2" w:space="0" w:color="FFFFFF"/>
            </w:tcBorders>
            <w:shd w:val="clear" w:color="F8CBAD" w:fill="F8CBAD"/>
            <w:noWrap/>
            <w:vAlign w:val="center"/>
          </w:tcPr>
          <w:p w14:paraId="68D325CA" w14:textId="77777777" w:rsidR="002E71D2" w:rsidRPr="00CF0C43" w:rsidRDefault="002E71D2" w:rsidP="003C5C9B">
            <w:pPr>
              <w:pStyle w:val="TextNormalTableBody"/>
            </w:pPr>
            <w:r>
              <w:t>31</w:t>
            </w:r>
          </w:p>
        </w:tc>
        <w:tc>
          <w:tcPr>
            <w:tcW w:w="3420" w:type="dxa"/>
            <w:tcBorders>
              <w:bottom w:val="single" w:sz="2" w:space="0" w:color="FFFFFF"/>
            </w:tcBorders>
            <w:shd w:val="clear" w:color="F8CBAD" w:fill="F8CBAD"/>
            <w:noWrap/>
            <w:vAlign w:val="center"/>
          </w:tcPr>
          <w:p w14:paraId="075D9DF0" w14:textId="77777777" w:rsidR="002E71D2" w:rsidRPr="00933095" w:rsidRDefault="002E71D2" w:rsidP="003C5C9B">
            <w:pPr>
              <w:pStyle w:val="TextNormalTableBody2"/>
            </w:pPr>
            <w:r w:rsidRPr="00933095">
              <w:t>Skilled Nursing Facility (SNF)</w:t>
            </w:r>
          </w:p>
        </w:tc>
        <w:tc>
          <w:tcPr>
            <w:tcW w:w="752" w:type="dxa"/>
            <w:tcBorders>
              <w:bottom w:val="single" w:sz="2" w:space="0" w:color="FFFFFF"/>
            </w:tcBorders>
            <w:shd w:val="clear" w:color="F8CBAD" w:fill="F8CBAD"/>
            <w:vAlign w:val="center"/>
          </w:tcPr>
          <w:p w14:paraId="2D80B4B7" w14:textId="77777777" w:rsidR="002E71D2" w:rsidRPr="00CF0C43" w:rsidRDefault="002E71D2" w:rsidP="003F587F">
            <w:pPr>
              <w:keepNext/>
              <w:keepLines/>
              <w:spacing w:line="240" w:lineRule="auto"/>
              <w:jc w:val="center"/>
              <w:rPr>
                <w:rFonts w:eastAsia="Times New Roman"/>
                <w:color w:val="000000"/>
              </w:rPr>
            </w:pPr>
            <w:r>
              <w:rPr>
                <w:rFonts w:eastAsia="Times New Roman"/>
                <w:color w:val="000000"/>
              </w:rPr>
              <w:t>99</w:t>
            </w:r>
          </w:p>
        </w:tc>
        <w:tc>
          <w:tcPr>
            <w:tcW w:w="5098" w:type="dxa"/>
            <w:tcBorders>
              <w:bottom w:val="single" w:sz="2" w:space="0" w:color="FFFFFF"/>
            </w:tcBorders>
            <w:shd w:val="clear" w:color="F8CBAD" w:fill="F8CBAD"/>
            <w:vAlign w:val="center"/>
          </w:tcPr>
          <w:p w14:paraId="3DA1909F" w14:textId="77777777" w:rsidR="002E71D2" w:rsidRPr="00CF0C43" w:rsidRDefault="002E71D2" w:rsidP="003C5C9B">
            <w:pPr>
              <w:pStyle w:val="TextNormalTableBody2"/>
            </w:pPr>
            <w:r>
              <w:t>Other Unlisted Facility</w:t>
            </w:r>
          </w:p>
        </w:tc>
      </w:tr>
      <w:tr w:rsidR="00933095" w:rsidRPr="00CF0C43" w14:paraId="7F1DB1DD" w14:textId="77777777" w:rsidTr="003C5C9B">
        <w:trPr>
          <w:trHeight w:val="300"/>
        </w:trPr>
        <w:tc>
          <w:tcPr>
            <w:tcW w:w="810" w:type="dxa"/>
            <w:shd w:val="clear" w:color="F8CBAD" w:fill="FCE4D6"/>
            <w:noWrap/>
            <w:vAlign w:val="center"/>
          </w:tcPr>
          <w:p w14:paraId="0157F0C3" w14:textId="77777777" w:rsidR="00933095" w:rsidRDefault="00933095" w:rsidP="00933095">
            <w:pPr>
              <w:pStyle w:val="TextNormalTableBody"/>
            </w:pPr>
            <w:r>
              <w:t>32</w:t>
            </w:r>
          </w:p>
        </w:tc>
        <w:tc>
          <w:tcPr>
            <w:tcW w:w="3420" w:type="dxa"/>
            <w:shd w:val="clear" w:color="F8CBAD" w:fill="FCE4D6"/>
            <w:noWrap/>
            <w:vAlign w:val="center"/>
          </w:tcPr>
          <w:p w14:paraId="25BC29CE" w14:textId="77777777" w:rsidR="00933095" w:rsidRPr="00933095" w:rsidRDefault="00933095" w:rsidP="00933095">
            <w:pPr>
              <w:pStyle w:val="TextNormalTableBody2"/>
            </w:pPr>
            <w:r w:rsidRPr="00933095">
              <w:t>Nursing Facility</w:t>
            </w:r>
          </w:p>
        </w:tc>
        <w:tc>
          <w:tcPr>
            <w:tcW w:w="752" w:type="dxa"/>
            <w:shd w:val="clear" w:color="F8CBAD" w:fill="FCE4D6"/>
            <w:vAlign w:val="center"/>
          </w:tcPr>
          <w:p w14:paraId="3E9C89D2" w14:textId="77777777" w:rsidR="00933095" w:rsidRDefault="00933095" w:rsidP="00933095">
            <w:pPr>
              <w:keepNext/>
              <w:keepLines/>
              <w:spacing w:line="240" w:lineRule="auto"/>
              <w:jc w:val="center"/>
              <w:rPr>
                <w:rFonts w:eastAsia="Times New Roman"/>
                <w:color w:val="000000"/>
              </w:rPr>
            </w:pPr>
          </w:p>
        </w:tc>
        <w:tc>
          <w:tcPr>
            <w:tcW w:w="5098" w:type="dxa"/>
            <w:shd w:val="clear" w:color="F8CBAD" w:fill="FCE4D6"/>
            <w:vAlign w:val="center"/>
          </w:tcPr>
          <w:p w14:paraId="1660154C" w14:textId="77777777" w:rsidR="00933095" w:rsidRDefault="00933095" w:rsidP="00933095">
            <w:pPr>
              <w:pStyle w:val="TextNormalTableBody2"/>
            </w:pPr>
          </w:p>
        </w:tc>
      </w:tr>
    </w:tbl>
    <w:p w14:paraId="313D6066" w14:textId="77777777" w:rsidR="00396956" w:rsidRDefault="00396956" w:rsidP="006C3726">
      <w:pPr>
        <w:pStyle w:val="Text2"/>
        <w:tabs>
          <w:tab w:val="clear" w:pos="720"/>
        </w:tabs>
        <w:ind w:left="0"/>
        <w:rPr>
          <w:rFonts w:ascii="Tahoma" w:hAnsi="Tahoma" w:cs="Tahoma"/>
          <w:sz w:val="23"/>
          <w:szCs w:val="23"/>
        </w:rPr>
      </w:pPr>
    </w:p>
    <w:sectPr w:rsidR="00396956" w:rsidSect="004C1EC6">
      <w:footerReference w:type="default" r:id="rId54"/>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1C5C" w14:textId="77777777" w:rsidR="00CF79CA" w:rsidRDefault="00CF79CA" w:rsidP="00F74ACE">
      <w:pPr>
        <w:spacing w:line="240" w:lineRule="auto"/>
      </w:pPr>
      <w:r>
        <w:separator/>
      </w:r>
    </w:p>
  </w:endnote>
  <w:endnote w:type="continuationSeparator" w:id="0">
    <w:p w14:paraId="1B244B22" w14:textId="77777777" w:rsidR="00CF79CA" w:rsidRDefault="00CF79CA" w:rsidP="00F74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81435"/>
      <w:docPartObj>
        <w:docPartGallery w:val="Page Numbers (Bottom of Page)"/>
        <w:docPartUnique/>
      </w:docPartObj>
    </w:sdtPr>
    <w:sdtEndPr>
      <w:rPr>
        <w:noProof/>
      </w:rPr>
    </w:sdtEndPr>
    <w:sdtContent>
      <w:p w14:paraId="023DFAC6" w14:textId="77777777" w:rsidR="005D79D1" w:rsidRDefault="005D79D1">
        <w:pPr>
          <w:pStyle w:val="Footer"/>
        </w:pPr>
        <w:r>
          <w:fldChar w:fldCharType="begin"/>
        </w:r>
        <w:r>
          <w:instrText xml:space="preserve"> PAGE   \* MERGEFORMAT </w:instrText>
        </w:r>
        <w:r>
          <w:fldChar w:fldCharType="separate"/>
        </w:r>
        <w:r w:rsidR="00997556">
          <w:rPr>
            <w:noProof/>
          </w:rPr>
          <w:t>3</w:t>
        </w:r>
        <w:r>
          <w:rPr>
            <w:noProof/>
          </w:rPr>
          <w:fldChar w:fldCharType="end"/>
        </w:r>
      </w:p>
    </w:sdtContent>
  </w:sdt>
  <w:p w14:paraId="1ECA2BF0" w14:textId="77777777" w:rsidR="005D79D1" w:rsidRDefault="005D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066338"/>
      <w:docPartObj>
        <w:docPartGallery w:val="Page Numbers (Bottom of Page)"/>
        <w:docPartUnique/>
      </w:docPartObj>
    </w:sdtPr>
    <w:sdtEndPr>
      <w:rPr>
        <w:noProof/>
      </w:rPr>
    </w:sdtEndPr>
    <w:sdtContent>
      <w:p w14:paraId="3B930484" w14:textId="77777777" w:rsidR="005D79D1" w:rsidRDefault="005D79D1">
        <w:pPr>
          <w:pStyle w:val="Footer"/>
        </w:pPr>
        <w:r>
          <w:fldChar w:fldCharType="begin"/>
        </w:r>
        <w:r>
          <w:instrText xml:space="preserve"> PAGE   \* MERGEFORMAT </w:instrText>
        </w:r>
        <w:r>
          <w:fldChar w:fldCharType="separate"/>
        </w:r>
        <w:r w:rsidR="00997556">
          <w:rPr>
            <w:noProof/>
          </w:rPr>
          <w:t>20</w:t>
        </w:r>
        <w:r>
          <w:rPr>
            <w:noProof/>
          </w:rPr>
          <w:fldChar w:fldCharType="end"/>
        </w:r>
      </w:p>
    </w:sdtContent>
  </w:sdt>
  <w:p w14:paraId="12210C21" w14:textId="73F2499E" w:rsidR="005D79D1" w:rsidRPr="00C953E4" w:rsidRDefault="00C953E4" w:rsidP="00C953E4">
    <w:pPr>
      <w:spacing w:line="203" w:lineRule="exact"/>
      <w:ind w:left="20"/>
      <w:jc w:val="left"/>
      <w:rPr>
        <w:i/>
        <w:sz w:val="18"/>
      </w:rPr>
    </w:pPr>
    <w:r>
      <w:rPr>
        <w:i/>
        <w:color w:val="464646"/>
        <w:sz w:val="18"/>
      </w:rPr>
      <w:t xml:space="preserve">Every effort has been made to ensure the accuracy of this manual. </w:t>
    </w:r>
    <w:proofErr w:type="gramStart"/>
    <w:r>
      <w:rPr>
        <w:i/>
        <w:color w:val="464646"/>
        <w:sz w:val="18"/>
      </w:rPr>
      <w:t>In the event that</w:t>
    </w:r>
    <w:proofErr w:type="gramEnd"/>
    <w:r>
      <w:rPr>
        <w:i/>
        <w:color w:val="464646"/>
        <w:sz w:val="18"/>
      </w:rPr>
      <w:t xml:space="preserve"> there’s a conflict between this manual and state Regulation, the regulation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3DC3" w14:textId="77777777" w:rsidR="00CF79CA" w:rsidRDefault="00CF79CA" w:rsidP="00F74ACE">
      <w:pPr>
        <w:spacing w:line="240" w:lineRule="auto"/>
      </w:pPr>
      <w:r>
        <w:separator/>
      </w:r>
    </w:p>
  </w:footnote>
  <w:footnote w:type="continuationSeparator" w:id="0">
    <w:p w14:paraId="0239B744" w14:textId="77777777" w:rsidR="00CF79CA" w:rsidRDefault="00CF79CA" w:rsidP="00F74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D557" w14:textId="69A0391C" w:rsidR="00733166" w:rsidRPr="00733166" w:rsidRDefault="00733166" w:rsidP="00733166">
    <w:pPr>
      <w:pStyle w:val="Header"/>
      <w:spacing w:after="240"/>
    </w:pPr>
    <w:r w:rsidRPr="009432CF">
      <w:t>Targeted Case Management for Individuals with Developmental Disabilities</w:t>
    </w:r>
    <w:r>
      <w:rPr>
        <w:color w:val="7F7F7F" w:themeColor="text1" w:themeTint="80"/>
      </w:rPr>
      <w:t xml:space="preserve"> </w:t>
    </w:r>
    <w:r w:rsidRPr="009432CF">
      <w:t xml:space="preserve">– </w:t>
    </w:r>
    <w:r>
      <w:t>04</w:t>
    </w:r>
    <w:r>
      <w:t>/</w:t>
    </w:r>
    <w:r>
      <w:t>07</w:t>
    </w:r>
    <w:r>
      <w:t>/</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900241">
    <w:abstractNumId w:val="1"/>
  </w:num>
  <w:num w:numId="2" w16cid:durableId="1570073992">
    <w:abstractNumId w:val="0"/>
  </w:num>
  <w:num w:numId="3" w16cid:durableId="1501196841">
    <w:abstractNumId w:val="3"/>
  </w:num>
  <w:num w:numId="4" w16cid:durableId="585268515">
    <w:abstractNumId w:val="4"/>
  </w:num>
  <w:num w:numId="5" w16cid:durableId="15395876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EccaCaQJUjEg3OpM+5XGsY1+MrfY2+p5M0w0/7Wj1S7Nb72uW8tKTod2ogtx++pjDk9rHfeiE/RUIFJnprZaQ==" w:salt="CuyYR5TiI62frN45fwLb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CA"/>
    <w:rsid w:val="0000135D"/>
    <w:rsid w:val="000013CD"/>
    <w:rsid w:val="000021CF"/>
    <w:rsid w:val="00002F58"/>
    <w:rsid w:val="00003B0E"/>
    <w:rsid w:val="00011A92"/>
    <w:rsid w:val="000120BD"/>
    <w:rsid w:val="00013435"/>
    <w:rsid w:val="0001399F"/>
    <w:rsid w:val="000155C3"/>
    <w:rsid w:val="00017637"/>
    <w:rsid w:val="00022174"/>
    <w:rsid w:val="00025708"/>
    <w:rsid w:val="00025A28"/>
    <w:rsid w:val="00025C6C"/>
    <w:rsid w:val="00030F36"/>
    <w:rsid w:val="00031FE5"/>
    <w:rsid w:val="0003565C"/>
    <w:rsid w:val="00035DBE"/>
    <w:rsid w:val="00035DF6"/>
    <w:rsid w:val="00036A4C"/>
    <w:rsid w:val="000411C2"/>
    <w:rsid w:val="00041863"/>
    <w:rsid w:val="0004226A"/>
    <w:rsid w:val="000431B7"/>
    <w:rsid w:val="000437E4"/>
    <w:rsid w:val="00044BBD"/>
    <w:rsid w:val="00045BAE"/>
    <w:rsid w:val="0004681E"/>
    <w:rsid w:val="00047355"/>
    <w:rsid w:val="000505AD"/>
    <w:rsid w:val="00050970"/>
    <w:rsid w:val="000515A7"/>
    <w:rsid w:val="00051E45"/>
    <w:rsid w:val="00052D99"/>
    <w:rsid w:val="000553C5"/>
    <w:rsid w:val="00055760"/>
    <w:rsid w:val="000629FB"/>
    <w:rsid w:val="0006302D"/>
    <w:rsid w:val="00063DA8"/>
    <w:rsid w:val="0006402F"/>
    <w:rsid w:val="0006582E"/>
    <w:rsid w:val="00066825"/>
    <w:rsid w:val="00070F5E"/>
    <w:rsid w:val="000725ED"/>
    <w:rsid w:val="000779DB"/>
    <w:rsid w:val="00080350"/>
    <w:rsid w:val="0008175F"/>
    <w:rsid w:val="00082EF3"/>
    <w:rsid w:val="000830C5"/>
    <w:rsid w:val="000830F5"/>
    <w:rsid w:val="0008470E"/>
    <w:rsid w:val="00086164"/>
    <w:rsid w:val="00086528"/>
    <w:rsid w:val="00090FAB"/>
    <w:rsid w:val="000919F5"/>
    <w:rsid w:val="0009301E"/>
    <w:rsid w:val="00094497"/>
    <w:rsid w:val="00096DAA"/>
    <w:rsid w:val="000A0904"/>
    <w:rsid w:val="000B2E78"/>
    <w:rsid w:val="000B4709"/>
    <w:rsid w:val="000B55A6"/>
    <w:rsid w:val="000B7545"/>
    <w:rsid w:val="000B7DE7"/>
    <w:rsid w:val="000C0223"/>
    <w:rsid w:val="000C212A"/>
    <w:rsid w:val="000C31AA"/>
    <w:rsid w:val="000C3456"/>
    <w:rsid w:val="000C37BC"/>
    <w:rsid w:val="000C6D26"/>
    <w:rsid w:val="000D1179"/>
    <w:rsid w:val="000D11E6"/>
    <w:rsid w:val="000D1753"/>
    <w:rsid w:val="000D36A2"/>
    <w:rsid w:val="000D4B9D"/>
    <w:rsid w:val="000D5362"/>
    <w:rsid w:val="000D65BA"/>
    <w:rsid w:val="000D682D"/>
    <w:rsid w:val="000D6E38"/>
    <w:rsid w:val="000D7991"/>
    <w:rsid w:val="000E0BB2"/>
    <w:rsid w:val="000E19BD"/>
    <w:rsid w:val="000E45E7"/>
    <w:rsid w:val="000F0025"/>
    <w:rsid w:val="000F0EE4"/>
    <w:rsid w:val="000F448B"/>
    <w:rsid w:val="000F466E"/>
    <w:rsid w:val="00100925"/>
    <w:rsid w:val="001029C7"/>
    <w:rsid w:val="00105857"/>
    <w:rsid w:val="00107499"/>
    <w:rsid w:val="00107D1B"/>
    <w:rsid w:val="00110D6F"/>
    <w:rsid w:val="0011165D"/>
    <w:rsid w:val="00112368"/>
    <w:rsid w:val="00113557"/>
    <w:rsid w:val="0011393D"/>
    <w:rsid w:val="00116B29"/>
    <w:rsid w:val="001210EA"/>
    <w:rsid w:val="001224DD"/>
    <w:rsid w:val="00131752"/>
    <w:rsid w:val="00133BBD"/>
    <w:rsid w:val="001341EA"/>
    <w:rsid w:val="00134232"/>
    <w:rsid w:val="001345B6"/>
    <w:rsid w:val="001370B8"/>
    <w:rsid w:val="001375E9"/>
    <w:rsid w:val="00143D7D"/>
    <w:rsid w:val="00146227"/>
    <w:rsid w:val="00146FF5"/>
    <w:rsid w:val="00151C56"/>
    <w:rsid w:val="0015399C"/>
    <w:rsid w:val="001539BE"/>
    <w:rsid w:val="00155D67"/>
    <w:rsid w:val="0015667C"/>
    <w:rsid w:val="001608EA"/>
    <w:rsid w:val="00160A73"/>
    <w:rsid w:val="001631FB"/>
    <w:rsid w:val="0016408C"/>
    <w:rsid w:val="001653E4"/>
    <w:rsid w:val="00166350"/>
    <w:rsid w:val="00166A39"/>
    <w:rsid w:val="00173758"/>
    <w:rsid w:val="00173EEA"/>
    <w:rsid w:val="00174D45"/>
    <w:rsid w:val="00176627"/>
    <w:rsid w:val="001766EB"/>
    <w:rsid w:val="00176755"/>
    <w:rsid w:val="001775D1"/>
    <w:rsid w:val="00183B92"/>
    <w:rsid w:val="00185730"/>
    <w:rsid w:val="00187568"/>
    <w:rsid w:val="001902C9"/>
    <w:rsid w:val="00190B1B"/>
    <w:rsid w:val="00194512"/>
    <w:rsid w:val="00194C8C"/>
    <w:rsid w:val="00196D18"/>
    <w:rsid w:val="001A24F7"/>
    <w:rsid w:val="001A2FBA"/>
    <w:rsid w:val="001A34D7"/>
    <w:rsid w:val="001A4FAE"/>
    <w:rsid w:val="001A72A5"/>
    <w:rsid w:val="001B054D"/>
    <w:rsid w:val="001B0EE1"/>
    <w:rsid w:val="001B6875"/>
    <w:rsid w:val="001B735B"/>
    <w:rsid w:val="001B75D9"/>
    <w:rsid w:val="001B786E"/>
    <w:rsid w:val="001C281F"/>
    <w:rsid w:val="001C50CB"/>
    <w:rsid w:val="001C7922"/>
    <w:rsid w:val="001D248C"/>
    <w:rsid w:val="001D28CB"/>
    <w:rsid w:val="001D633A"/>
    <w:rsid w:val="001D7312"/>
    <w:rsid w:val="001E1DDE"/>
    <w:rsid w:val="001E48E9"/>
    <w:rsid w:val="001E4EDB"/>
    <w:rsid w:val="001E52DC"/>
    <w:rsid w:val="001E6E03"/>
    <w:rsid w:val="001F405C"/>
    <w:rsid w:val="001F491A"/>
    <w:rsid w:val="001F54FA"/>
    <w:rsid w:val="001F77DE"/>
    <w:rsid w:val="002017C3"/>
    <w:rsid w:val="00204AD5"/>
    <w:rsid w:val="002065C0"/>
    <w:rsid w:val="00210A2A"/>
    <w:rsid w:val="002171BF"/>
    <w:rsid w:val="0021737B"/>
    <w:rsid w:val="002174E5"/>
    <w:rsid w:val="00220678"/>
    <w:rsid w:val="00222664"/>
    <w:rsid w:val="00222A66"/>
    <w:rsid w:val="002239F6"/>
    <w:rsid w:val="002243C1"/>
    <w:rsid w:val="00226EFD"/>
    <w:rsid w:val="0022762E"/>
    <w:rsid w:val="00235217"/>
    <w:rsid w:val="00236EF2"/>
    <w:rsid w:val="00237BD3"/>
    <w:rsid w:val="00240532"/>
    <w:rsid w:val="00242183"/>
    <w:rsid w:val="002426A6"/>
    <w:rsid w:val="00242B7D"/>
    <w:rsid w:val="002436A5"/>
    <w:rsid w:val="002443A2"/>
    <w:rsid w:val="002444A6"/>
    <w:rsid w:val="002444D0"/>
    <w:rsid w:val="0024576C"/>
    <w:rsid w:val="002477FF"/>
    <w:rsid w:val="002531AF"/>
    <w:rsid w:val="00253228"/>
    <w:rsid w:val="00254D16"/>
    <w:rsid w:val="002557EC"/>
    <w:rsid w:val="00255C93"/>
    <w:rsid w:val="00255D7D"/>
    <w:rsid w:val="00257418"/>
    <w:rsid w:val="00264E4A"/>
    <w:rsid w:val="00270EC5"/>
    <w:rsid w:val="002715F3"/>
    <w:rsid w:val="00273FB6"/>
    <w:rsid w:val="00274B60"/>
    <w:rsid w:val="00275E8A"/>
    <w:rsid w:val="0027630B"/>
    <w:rsid w:val="00276479"/>
    <w:rsid w:val="00277309"/>
    <w:rsid w:val="00285E96"/>
    <w:rsid w:val="00285F85"/>
    <w:rsid w:val="00287685"/>
    <w:rsid w:val="00291B60"/>
    <w:rsid w:val="00291F90"/>
    <w:rsid w:val="0029230B"/>
    <w:rsid w:val="00293ACF"/>
    <w:rsid w:val="00294F76"/>
    <w:rsid w:val="002958DB"/>
    <w:rsid w:val="002A0689"/>
    <w:rsid w:val="002A2E6D"/>
    <w:rsid w:val="002A49D8"/>
    <w:rsid w:val="002A4E78"/>
    <w:rsid w:val="002A621F"/>
    <w:rsid w:val="002A7D9F"/>
    <w:rsid w:val="002A7F00"/>
    <w:rsid w:val="002B2A50"/>
    <w:rsid w:val="002B4379"/>
    <w:rsid w:val="002B492F"/>
    <w:rsid w:val="002B4C2B"/>
    <w:rsid w:val="002B6F10"/>
    <w:rsid w:val="002B7BE8"/>
    <w:rsid w:val="002C40E3"/>
    <w:rsid w:val="002C5217"/>
    <w:rsid w:val="002C6126"/>
    <w:rsid w:val="002C7B05"/>
    <w:rsid w:val="002D0E1B"/>
    <w:rsid w:val="002D4105"/>
    <w:rsid w:val="002D55A3"/>
    <w:rsid w:val="002D74C9"/>
    <w:rsid w:val="002E155D"/>
    <w:rsid w:val="002E17C6"/>
    <w:rsid w:val="002E1876"/>
    <w:rsid w:val="002E3507"/>
    <w:rsid w:val="002E53C1"/>
    <w:rsid w:val="002E71D2"/>
    <w:rsid w:val="002F60BB"/>
    <w:rsid w:val="002F62C6"/>
    <w:rsid w:val="002F6CFF"/>
    <w:rsid w:val="00305FA0"/>
    <w:rsid w:val="00311505"/>
    <w:rsid w:val="00315B90"/>
    <w:rsid w:val="003175C5"/>
    <w:rsid w:val="00317FD5"/>
    <w:rsid w:val="00320A8D"/>
    <w:rsid w:val="003222ED"/>
    <w:rsid w:val="00322B85"/>
    <w:rsid w:val="003248B0"/>
    <w:rsid w:val="00326A8F"/>
    <w:rsid w:val="00327DE0"/>
    <w:rsid w:val="00331C0D"/>
    <w:rsid w:val="00331FAE"/>
    <w:rsid w:val="00340BB4"/>
    <w:rsid w:val="00341434"/>
    <w:rsid w:val="0034256F"/>
    <w:rsid w:val="003435BD"/>
    <w:rsid w:val="003435E1"/>
    <w:rsid w:val="00343657"/>
    <w:rsid w:val="00344C2C"/>
    <w:rsid w:val="0034545D"/>
    <w:rsid w:val="00346A24"/>
    <w:rsid w:val="00351C2B"/>
    <w:rsid w:val="00351CAA"/>
    <w:rsid w:val="0035375E"/>
    <w:rsid w:val="00353D64"/>
    <w:rsid w:val="00355D13"/>
    <w:rsid w:val="00360A30"/>
    <w:rsid w:val="00360E21"/>
    <w:rsid w:val="00360FE4"/>
    <w:rsid w:val="003628A2"/>
    <w:rsid w:val="0036335D"/>
    <w:rsid w:val="00364A74"/>
    <w:rsid w:val="003677D7"/>
    <w:rsid w:val="00370FA0"/>
    <w:rsid w:val="003754F1"/>
    <w:rsid w:val="0037609C"/>
    <w:rsid w:val="003770C3"/>
    <w:rsid w:val="00377336"/>
    <w:rsid w:val="00377D58"/>
    <w:rsid w:val="0038186A"/>
    <w:rsid w:val="003867D8"/>
    <w:rsid w:val="003869FB"/>
    <w:rsid w:val="00386A4D"/>
    <w:rsid w:val="0039126A"/>
    <w:rsid w:val="00391A8F"/>
    <w:rsid w:val="00391D82"/>
    <w:rsid w:val="003959D4"/>
    <w:rsid w:val="00396956"/>
    <w:rsid w:val="00396D63"/>
    <w:rsid w:val="00396E8F"/>
    <w:rsid w:val="00397CB0"/>
    <w:rsid w:val="00397F56"/>
    <w:rsid w:val="003A0A2C"/>
    <w:rsid w:val="003A0B09"/>
    <w:rsid w:val="003A298B"/>
    <w:rsid w:val="003B2789"/>
    <w:rsid w:val="003B3534"/>
    <w:rsid w:val="003B59A4"/>
    <w:rsid w:val="003B7F28"/>
    <w:rsid w:val="003C141E"/>
    <w:rsid w:val="003C1937"/>
    <w:rsid w:val="003C347C"/>
    <w:rsid w:val="003C4681"/>
    <w:rsid w:val="003C5C9B"/>
    <w:rsid w:val="003C5FCF"/>
    <w:rsid w:val="003C6708"/>
    <w:rsid w:val="003D0D22"/>
    <w:rsid w:val="003D0EA9"/>
    <w:rsid w:val="003D1520"/>
    <w:rsid w:val="003D2DCD"/>
    <w:rsid w:val="003D3019"/>
    <w:rsid w:val="003D44EE"/>
    <w:rsid w:val="003D4619"/>
    <w:rsid w:val="003D5E43"/>
    <w:rsid w:val="003D6215"/>
    <w:rsid w:val="003D62E2"/>
    <w:rsid w:val="003E269A"/>
    <w:rsid w:val="003E51BA"/>
    <w:rsid w:val="003E687B"/>
    <w:rsid w:val="003E7D9A"/>
    <w:rsid w:val="003E7E0F"/>
    <w:rsid w:val="003F0A22"/>
    <w:rsid w:val="003F19B8"/>
    <w:rsid w:val="003F2123"/>
    <w:rsid w:val="003F37E2"/>
    <w:rsid w:val="003F587F"/>
    <w:rsid w:val="003F5E29"/>
    <w:rsid w:val="0040052B"/>
    <w:rsid w:val="004007BD"/>
    <w:rsid w:val="0040080D"/>
    <w:rsid w:val="004076EC"/>
    <w:rsid w:val="0040778B"/>
    <w:rsid w:val="004102D9"/>
    <w:rsid w:val="0041197B"/>
    <w:rsid w:val="00415B18"/>
    <w:rsid w:val="00415C50"/>
    <w:rsid w:val="0042051E"/>
    <w:rsid w:val="00421B62"/>
    <w:rsid w:val="00425C2D"/>
    <w:rsid w:val="00425E60"/>
    <w:rsid w:val="0043343B"/>
    <w:rsid w:val="00434C99"/>
    <w:rsid w:val="0043633A"/>
    <w:rsid w:val="00437780"/>
    <w:rsid w:val="00445A50"/>
    <w:rsid w:val="00446E76"/>
    <w:rsid w:val="004473D5"/>
    <w:rsid w:val="0044768D"/>
    <w:rsid w:val="004531B6"/>
    <w:rsid w:val="00453247"/>
    <w:rsid w:val="004542AE"/>
    <w:rsid w:val="004565DE"/>
    <w:rsid w:val="00460D45"/>
    <w:rsid w:val="00462434"/>
    <w:rsid w:val="00463DDA"/>
    <w:rsid w:val="00464600"/>
    <w:rsid w:val="00465753"/>
    <w:rsid w:val="00465F73"/>
    <w:rsid w:val="00472FE7"/>
    <w:rsid w:val="00484403"/>
    <w:rsid w:val="004877E4"/>
    <w:rsid w:val="00493133"/>
    <w:rsid w:val="00494AEA"/>
    <w:rsid w:val="00495E94"/>
    <w:rsid w:val="0049762B"/>
    <w:rsid w:val="004A0A1C"/>
    <w:rsid w:val="004A1C81"/>
    <w:rsid w:val="004A35F3"/>
    <w:rsid w:val="004A7118"/>
    <w:rsid w:val="004B25C6"/>
    <w:rsid w:val="004B2C38"/>
    <w:rsid w:val="004B33E9"/>
    <w:rsid w:val="004B6B0E"/>
    <w:rsid w:val="004C02BC"/>
    <w:rsid w:val="004C1EC6"/>
    <w:rsid w:val="004C35BC"/>
    <w:rsid w:val="004C4D65"/>
    <w:rsid w:val="004C6ED0"/>
    <w:rsid w:val="004D1B1B"/>
    <w:rsid w:val="004D1D65"/>
    <w:rsid w:val="004D26A8"/>
    <w:rsid w:val="004D35D0"/>
    <w:rsid w:val="004D41F0"/>
    <w:rsid w:val="004D4B8C"/>
    <w:rsid w:val="004D4BD5"/>
    <w:rsid w:val="004D5726"/>
    <w:rsid w:val="004D59C2"/>
    <w:rsid w:val="004E0570"/>
    <w:rsid w:val="004E28C6"/>
    <w:rsid w:val="004E488E"/>
    <w:rsid w:val="004E6618"/>
    <w:rsid w:val="004E6EF9"/>
    <w:rsid w:val="004F077B"/>
    <w:rsid w:val="004F1447"/>
    <w:rsid w:val="004F1A14"/>
    <w:rsid w:val="004F3369"/>
    <w:rsid w:val="004F3E9F"/>
    <w:rsid w:val="004F3EB7"/>
    <w:rsid w:val="004F404F"/>
    <w:rsid w:val="004F6E7A"/>
    <w:rsid w:val="005029D2"/>
    <w:rsid w:val="00503034"/>
    <w:rsid w:val="00503553"/>
    <w:rsid w:val="0052046F"/>
    <w:rsid w:val="005250D6"/>
    <w:rsid w:val="0052782E"/>
    <w:rsid w:val="00532FAA"/>
    <w:rsid w:val="00533DE9"/>
    <w:rsid w:val="005366A2"/>
    <w:rsid w:val="005413CB"/>
    <w:rsid w:val="00541C25"/>
    <w:rsid w:val="00542B13"/>
    <w:rsid w:val="00544E3F"/>
    <w:rsid w:val="00545080"/>
    <w:rsid w:val="005467E7"/>
    <w:rsid w:val="0054765F"/>
    <w:rsid w:val="0055650F"/>
    <w:rsid w:val="00567482"/>
    <w:rsid w:val="00567AA9"/>
    <w:rsid w:val="00570E63"/>
    <w:rsid w:val="005713E3"/>
    <w:rsid w:val="005723CA"/>
    <w:rsid w:val="0057353D"/>
    <w:rsid w:val="00575086"/>
    <w:rsid w:val="00575FDE"/>
    <w:rsid w:val="00576DD2"/>
    <w:rsid w:val="0058017D"/>
    <w:rsid w:val="00583435"/>
    <w:rsid w:val="0058388C"/>
    <w:rsid w:val="00585CB9"/>
    <w:rsid w:val="0059163C"/>
    <w:rsid w:val="00591D59"/>
    <w:rsid w:val="00597CB7"/>
    <w:rsid w:val="005A271F"/>
    <w:rsid w:val="005A48E0"/>
    <w:rsid w:val="005A4AA5"/>
    <w:rsid w:val="005A4CB5"/>
    <w:rsid w:val="005B0CC3"/>
    <w:rsid w:val="005B287C"/>
    <w:rsid w:val="005B2928"/>
    <w:rsid w:val="005B3375"/>
    <w:rsid w:val="005B4A3E"/>
    <w:rsid w:val="005B60D7"/>
    <w:rsid w:val="005C0703"/>
    <w:rsid w:val="005C102F"/>
    <w:rsid w:val="005C30A1"/>
    <w:rsid w:val="005C3ED7"/>
    <w:rsid w:val="005C6073"/>
    <w:rsid w:val="005C70F5"/>
    <w:rsid w:val="005C73F2"/>
    <w:rsid w:val="005D08E5"/>
    <w:rsid w:val="005D1FC6"/>
    <w:rsid w:val="005D338A"/>
    <w:rsid w:val="005D69A5"/>
    <w:rsid w:val="005D7786"/>
    <w:rsid w:val="005D79D1"/>
    <w:rsid w:val="005D7ED3"/>
    <w:rsid w:val="005E4221"/>
    <w:rsid w:val="005E488F"/>
    <w:rsid w:val="005E4E44"/>
    <w:rsid w:val="005F21E3"/>
    <w:rsid w:val="005F2ED7"/>
    <w:rsid w:val="005F5CB9"/>
    <w:rsid w:val="005F7089"/>
    <w:rsid w:val="006018EC"/>
    <w:rsid w:val="00603DEF"/>
    <w:rsid w:val="00604900"/>
    <w:rsid w:val="00605134"/>
    <w:rsid w:val="0060688A"/>
    <w:rsid w:val="00610C4F"/>
    <w:rsid w:val="00612519"/>
    <w:rsid w:val="00612FBF"/>
    <w:rsid w:val="006165A3"/>
    <w:rsid w:val="006207B8"/>
    <w:rsid w:val="00623567"/>
    <w:rsid w:val="006256CF"/>
    <w:rsid w:val="0062600F"/>
    <w:rsid w:val="006311C0"/>
    <w:rsid w:val="0063335B"/>
    <w:rsid w:val="00634877"/>
    <w:rsid w:val="00637638"/>
    <w:rsid w:val="0064107E"/>
    <w:rsid w:val="00641A8F"/>
    <w:rsid w:val="00642422"/>
    <w:rsid w:val="0064532A"/>
    <w:rsid w:val="006523A7"/>
    <w:rsid w:val="00652BDD"/>
    <w:rsid w:val="00653C8B"/>
    <w:rsid w:val="00654F4E"/>
    <w:rsid w:val="0065596F"/>
    <w:rsid w:val="00656A08"/>
    <w:rsid w:val="00660DAD"/>
    <w:rsid w:val="00660FE4"/>
    <w:rsid w:val="006623A2"/>
    <w:rsid w:val="00663596"/>
    <w:rsid w:val="00663D5D"/>
    <w:rsid w:val="00664008"/>
    <w:rsid w:val="0066426D"/>
    <w:rsid w:val="00670FB8"/>
    <w:rsid w:val="00671FD4"/>
    <w:rsid w:val="00674193"/>
    <w:rsid w:val="006815B9"/>
    <w:rsid w:val="00683777"/>
    <w:rsid w:val="006839E6"/>
    <w:rsid w:val="006840DB"/>
    <w:rsid w:val="00684F30"/>
    <w:rsid w:val="0069039D"/>
    <w:rsid w:val="006910CD"/>
    <w:rsid w:val="00695D8F"/>
    <w:rsid w:val="00696370"/>
    <w:rsid w:val="00696A53"/>
    <w:rsid w:val="006973D1"/>
    <w:rsid w:val="006A4D59"/>
    <w:rsid w:val="006A4FA0"/>
    <w:rsid w:val="006A599D"/>
    <w:rsid w:val="006B0E32"/>
    <w:rsid w:val="006B4C2E"/>
    <w:rsid w:val="006B4E72"/>
    <w:rsid w:val="006B54D9"/>
    <w:rsid w:val="006B79F5"/>
    <w:rsid w:val="006C26F9"/>
    <w:rsid w:val="006C3726"/>
    <w:rsid w:val="006C58B6"/>
    <w:rsid w:val="006D154B"/>
    <w:rsid w:val="006E1250"/>
    <w:rsid w:val="006E376D"/>
    <w:rsid w:val="006E3FEF"/>
    <w:rsid w:val="006E4407"/>
    <w:rsid w:val="006E48C6"/>
    <w:rsid w:val="006E58B4"/>
    <w:rsid w:val="006E7397"/>
    <w:rsid w:val="006F11E8"/>
    <w:rsid w:val="006F1805"/>
    <w:rsid w:val="006F1F42"/>
    <w:rsid w:val="006F1FBE"/>
    <w:rsid w:val="006F2BD2"/>
    <w:rsid w:val="006F334E"/>
    <w:rsid w:val="006F5D71"/>
    <w:rsid w:val="006F6498"/>
    <w:rsid w:val="006F70AC"/>
    <w:rsid w:val="00701D3B"/>
    <w:rsid w:val="007030FB"/>
    <w:rsid w:val="00703DFB"/>
    <w:rsid w:val="00705E79"/>
    <w:rsid w:val="0070647F"/>
    <w:rsid w:val="00710D4A"/>
    <w:rsid w:val="00712A44"/>
    <w:rsid w:val="00713328"/>
    <w:rsid w:val="007137E8"/>
    <w:rsid w:val="00717136"/>
    <w:rsid w:val="00720143"/>
    <w:rsid w:val="007267F9"/>
    <w:rsid w:val="00730836"/>
    <w:rsid w:val="00733166"/>
    <w:rsid w:val="00741328"/>
    <w:rsid w:val="00741F45"/>
    <w:rsid w:val="00742720"/>
    <w:rsid w:val="0074334D"/>
    <w:rsid w:val="00744F08"/>
    <w:rsid w:val="0074598D"/>
    <w:rsid w:val="00745F9C"/>
    <w:rsid w:val="00750539"/>
    <w:rsid w:val="00751222"/>
    <w:rsid w:val="00753067"/>
    <w:rsid w:val="007552B5"/>
    <w:rsid w:val="00755D02"/>
    <w:rsid w:val="007564F3"/>
    <w:rsid w:val="0075767C"/>
    <w:rsid w:val="00764B2B"/>
    <w:rsid w:val="0076509E"/>
    <w:rsid w:val="007675CF"/>
    <w:rsid w:val="00767601"/>
    <w:rsid w:val="00771CF5"/>
    <w:rsid w:val="00775B46"/>
    <w:rsid w:val="00777DBB"/>
    <w:rsid w:val="00782CCB"/>
    <w:rsid w:val="00783579"/>
    <w:rsid w:val="00783859"/>
    <w:rsid w:val="007877CA"/>
    <w:rsid w:val="007910BA"/>
    <w:rsid w:val="00795C2B"/>
    <w:rsid w:val="007965A2"/>
    <w:rsid w:val="007A0345"/>
    <w:rsid w:val="007A1312"/>
    <w:rsid w:val="007A630A"/>
    <w:rsid w:val="007A7624"/>
    <w:rsid w:val="007A7B03"/>
    <w:rsid w:val="007B0AE5"/>
    <w:rsid w:val="007B0EDC"/>
    <w:rsid w:val="007B55D2"/>
    <w:rsid w:val="007B5EE2"/>
    <w:rsid w:val="007B6113"/>
    <w:rsid w:val="007B6135"/>
    <w:rsid w:val="007B6453"/>
    <w:rsid w:val="007B7379"/>
    <w:rsid w:val="007B766D"/>
    <w:rsid w:val="007C1B22"/>
    <w:rsid w:val="007C1C33"/>
    <w:rsid w:val="007C5F46"/>
    <w:rsid w:val="007C660E"/>
    <w:rsid w:val="007C78A4"/>
    <w:rsid w:val="007D209E"/>
    <w:rsid w:val="007D5887"/>
    <w:rsid w:val="007D7431"/>
    <w:rsid w:val="007D7CDF"/>
    <w:rsid w:val="007E0950"/>
    <w:rsid w:val="007E2B28"/>
    <w:rsid w:val="007E31B3"/>
    <w:rsid w:val="007F134A"/>
    <w:rsid w:val="007F314C"/>
    <w:rsid w:val="007F3B8F"/>
    <w:rsid w:val="007F4770"/>
    <w:rsid w:val="007F494F"/>
    <w:rsid w:val="007F7E2E"/>
    <w:rsid w:val="007F7F06"/>
    <w:rsid w:val="00800A2E"/>
    <w:rsid w:val="008036BA"/>
    <w:rsid w:val="008045E0"/>
    <w:rsid w:val="00804CD9"/>
    <w:rsid w:val="0080502A"/>
    <w:rsid w:val="0080616A"/>
    <w:rsid w:val="008071C5"/>
    <w:rsid w:val="008110C2"/>
    <w:rsid w:val="00811A06"/>
    <w:rsid w:val="008129A6"/>
    <w:rsid w:val="00813E78"/>
    <w:rsid w:val="008151CF"/>
    <w:rsid w:val="00820C36"/>
    <w:rsid w:val="008211C9"/>
    <w:rsid w:val="00822FCA"/>
    <w:rsid w:val="00823734"/>
    <w:rsid w:val="00826EF2"/>
    <w:rsid w:val="00827F33"/>
    <w:rsid w:val="0083061B"/>
    <w:rsid w:val="0083315B"/>
    <w:rsid w:val="00834A74"/>
    <w:rsid w:val="008357C6"/>
    <w:rsid w:val="008358AE"/>
    <w:rsid w:val="00837169"/>
    <w:rsid w:val="008408A3"/>
    <w:rsid w:val="008443D3"/>
    <w:rsid w:val="00846FA4"/>
    <w:rsid w:val="00847BFD"/>
    <w:rsid w:val="008505C7"/>
    <w:rsid w:val="00852355"/>
    <w:rsid w:val="00853F3A"/>
    <w:rsid w:val="008546A6"/>
    <w:rsid w:val="00857251"/>
    <w:rsid w:val="008602FA"/>
    <w:rsid w:val="00861792"/>
    <w:rsid w:val="0086200C"/>
    <w:rsid w:val="008620D7"/>
    <w:rsid w:val="008629F9"/>
    <w:rsid w:val="0087028D"/>
    <w:rsid w:val="008709B2"/>
    <w:rsid w:val="00873213"/>
    <w:rsid w:val="008764BF"/>
    <w:rsid w:val="00876FB6"/>
    <w:rsid w:val="00880BB8"/>
    <w:rsid w:val="008814BE"/>
    <w:rsid w:val="0088235F"/>
    <w:rsid w:val="00882EAA"/>
    <w:rsid w:val="008831AD"/>
    <w:rsid w:val="00884F6A"/>
    <w:rsid w:val="008860C9"/>
    <w:rsid w:val="00887A6F"/>
    <w:rsid w:val="0089134B"/>
    <w:rsid w:val="00891367"/>
    <w:rsid w:val="00895B5B"/>
    <w:rsid w:val="00895E05"/>
    <w:rsid w:val="00896C7B"/>
    <w:rsid w:val="008A1414"/>
    <w:rsid w:val="008A1483"/>
    <w:rsid w:val="008A4FDF"/>
    <w:rsid w:val="008A55BC"/>
    <w:rsid w:val="008B0404"/>
    <w:rsid w:val="008B6EFB"/>
    <w:rsid w:val="008B6F1E"/>
    <w:rsid w:val="008C2FDE"/>
    <w:rsid w:val="008C39A8"/>
    <w:rsid w:val="008C41A6"/>
    <w:rsid w:val="008C52C1"/>
    <w:rsid w:val="008D1B15"/>
    <w:rsid w:val="008D3FD7"/>
    <w:rsid w:val="008D4105"/>
    <w:rsid w:val="008D4D6C"/>
    <w:rsid w:val="008D50AA"/>
    <w:rsid w:val="008E2513"/>
    <w:rsid w:val="008E447B"/>
    <w:rsid w:val="008E6634"/>
    <w:rsid w:val="008F017A"/>
    <w:rsid w:val="008F0C38"/>
    <w:rsid w:val="008F39C5"/>
    <w:rsid w:val="008F5650"/>
    <w:rsid w:val="008F757B"/>
    <w:rsid w:val="00900B6E"/>
    <w:rsid w:val="009037DF"/>
    <w:rsid w:val="00903CD6"/>
    <w:rsid w:val="009067C5"/>
    <w:rsid w:val="00910687"/>
    <w:rsid w:val="00911650"/>
    <w:rsid w:val="00911FF6"/>
    <w:rsid w:val="009129C8"/>
    <w:rsid w:val="00912B3E"/>
    <w:rsid w:val="009130E0"/>
    <w:rsid w:val="0091582E"/>
    <w:rsid w:val="00916705"/>
    <w:rsid w:val="00917F52"/>
    <w:rsid w:val="00922796"/>
    <w:rsid w:val="00923DF6"/>
    <w:rsid w:val="009240A2"/>
    <w:rsid w:val="00925691"/>
    <w:rsid w:val="00926A61"/>
    <w:rsid w:val="0092798E"/>
    <w:rsid w:val="00933095"/>
    <w:rsid w:val="00933269"/>
    <w:rsid w:val="009355D0"/>
    <w:rsid w:val="00937A6E"/>
    <w:rsid w:val="009411EF"/>
    <w:rsid w:val="009427C0"/>
    <w:rsid w:val="009432CF"/>
    <w:rsid w:val="009451E9"/>
    <w:rsid w:val="0094599F"/>
    <w:rsid w:val="0094755B"/>
    <w:rsid w:val="00952C40"/>
    <w:rsid w:val="00953E34"/>
    <w:rsid w:val="00954DC1"/>
    <w:rsid w:val="00957A62"/>
    <w:rsid w:val="009603F5"/>
    <w:rsid w:val="00961626"/>
    <w:rsid w:val="00961FA8"/>
    <w:rsid w:val="0096291D"/>
    <w:rsid w:val="0097027B"/>
    <w:rsid w:val="00970D16"/>
    <w:rsid w:val="009716DC"/>
    <w:rsid w:val="00972C2A"/>
    <w:rsid w:val="009738A7"/>
    <w:rsid w:val="0097457C"/>
    <w:rsid w:val="00977FEC"/>
    <w:rsid w:val="00977FF8"/>
    <w:rsid w:val="00982D82"/>
    <w:rsid w:val="00983B5C"/>
    <w:rsid w:val="00984C92"/>
    <w:rsid w:val="009855EC"/>
    <w:rsid w:val="0098598F"/>
    <w:rsid w:val="00987AFF"/>
    <w:rsid w:val="0099180C"/>
    <w:rsid w:val="009929E7"/>
    <w:rsid w:val="00992DC9"/>
    <w:rsid w:val="00993053"/>
    <w:rsid w:val="00993ABE"/>
    <w:rsid w:val="00993CDE"/>
    <w:rsid w:val="00994850"/>
    <w:rsid w:val="009957D2"/>
    <w:rsid w:val="00995D7D"/>
    <w:rsid w:val="00996886"/>
    <w:rsid w:val="00997556"/>
    <w:rsid w:val="009A1BCE"/>
    <w:rsid w:val="009A21EF"/>
    <w:rsid w:val="009A293C"/>
    <w:rsid w:val="009A7839"/>
    <w:rsid w:val="009A7B56"/>
    <w:rsid w:val="009B158A"/>
    <w:rsid w:val="009B1FB9"/>
    <w:rsid w:val="009B26C9"/>
    <w:rsid w:val="009B781E"/>
    <w:rsid w:val="009C1C48"/>
    <w:rsid w:val="009C2A7A"/>
    <w:rsid w:val="009C326C"/>
    <w:rsid w:val="009C4AF5"/>
    <w:rsid w:val="009C759D"/>
    <w:rsid w:val="009D07B8"/>
    <w:rsid w:val="009D1F40"/>
    <w:rsid w:val="009D28A5"/>
    <w:rsid w:val="009D3346"/>
    <w:rsid w:val="009D6379"/>
    <w:rsid w:val="009E437B"/>
    <w:rsid w:val="009E4B35"/>
    <w:rsid w:val="009E4F20"/>
    <w:rsid w:val="009F1B7D"/>
    <w:rsid w:val="009F5F7A"/>
    <w:rsid w:val="00A0144C"/>
    <w:rsid w:val="00A03FF1"/>
    <w:rsid w:val="00A050CC"/>
    <w:rsid w:val="00A05230"/>
    <w:rsid w:val="00A05851"/>
    <w:rsid w:val="00A10E5E"/>
    <w:rsid w:val="00A10EF2"/>
    <w:rsid w:val="00A118BC"/>
    <w:rsid w:val="00A12957"/>
    <w:rsid w:val="00A15EF6"/>
    <w:rsid w:val="00A16D4C"/>
    <w:rsid w:val="00A21DC2"/>
    <w:rsid w:val="00A23840"/>
    <w:rsid w:val="00A33660"/>
    <w:rsid w:val="00A361AB"/>
    <w:rsid w:val="00A3775F"/>
    <w:rsid w:val="00A379B2"/>
    <w:rsid w:val="00A42E23"/>
    <w:rsid w:val="00A440ED"/>
    <w:rsid w:val="00A4457E"/>
    <w:rsid w:val="00A44594"/>
    <w:rsid w:val="00A45BC0"/>
    <w:rsid w:val="00A46AE5"/>
    <w:rsid w:val="00A50041"/>
    <w:rsid w:val="00A50D38"/>
    <w:rsid w:val="00A517A3"/>
    <w:rsid w:val="00A5348D"/>
    <w:rsid w:val="00A539AF"/>
    <w:rsid w:val="00A548E2"/>
    <w:rsid w:val="00A55D6A"/>
    <w:rsid w:val="00A55DFE"/>
    <w:rsid w:val="00A56338"/>
    <w:rsid w:val="00A611F9"/>
    <w:rsid w:val="00A616D2"/>
    <w:rsid w:val="00A63B97"/>
    <w:rsid w:val="00A64FC7"/>
    <w:rsid w:val="00A668D9"/>
    <w:rsid w:val="00A66945"/>
    <w:rsid w:val="00A67279"/>
    <w:rsid w:val="00A67A06"/>
    <w:rsid w:val="00A7221A"/>
    <w:rsid w:val="00A72CCB"/>
    <w:rsid w:val="00A73C14"/>
    <w:rsid w:val="00A7431B"/>
    <w:rsid w:val="00A7522C"/>
    <w:rsid w:val="00A76CC6"/>
    <w:rsid w:val="00A76EF4"/>
    <w:rsid w:val="00A7701A"/>
    <w:rsid w:val="00A77ADD"/>
    <w:rsid w:val="00A80C3A"/>
    <w:rsid w:val="00A80D37"/>
    <w:rsid w:val="00A85B91"/>
    <w:rsid w:val="00A8765D"/>
    <w:rsid w:val="00A87984"/>
    <w:rsid w:val="00A91115"/>
    <w:rsid w:val="00A92D25"/>
    <w:rsid w:val="00A92EDF"/>
    <w:rsid w:val="00A93B41"/>
    <w:rsid w:val="00A951E0"/>
    <w:rsid w:val="00A95716"/>
    <w:rsid w:val="00A97134"/>
    <w:rsid w:val="00A9757C"/>
    <w:rsid w:val="00AA1599"/>
    <w:rsid w:val="00AA1AE7"/>
    <w:rsid w:val="00AA1E42"/>
    <w:rsid w:val="00AA1ED9"/>
    <w:rsid w:val="00AA34EF"/>
    <w:rsid w:val="00AA5487"/>
    <w:rsid w:val="00AA5BED"/>
    <w:rsid w:val="00AA650A"/>
    <w:rsid w:val="00AA67B8"/>
    <w:rsid w:val="00AB096A"/>
    <w:rsid w:val="00AB1CBA"/>
    <w:rsid w:val="00AB22FC"/>
    <w:rsid w:val="00AB2D01"/>
    <w:rsid w:val="00AB49FC"/>
    <w:rsid w:val="00AB60A8"/>
    <w:rsid w:val="00AB6CB7"/>
    <w:rsid w:val="00AB6FD5"/>
    <w:rsid w:val="00AC1E23"/>
    <w:rsid w:val="00AC25A5"/>
    <w:rsid w:val="00AC2E07"/>
    <w:rsid w:val="00AC47CB"/>
    <w:rsid w:val="00AD00D3"/>
    <w:rsid w:val="00AD0436"/>
    <w:rsid w:val="00AD0812"/>
    <w:rsid w:val="00AD109E"/>
    <w:rsid w:val="00AD262B"/>
    <w:rsid w:val="00AD2F20"/>
    <w:rsid w:val="00AD5263"/>
    <w:rsid w:val="00AD61DA"/>
    <w:rsid w:val="00AD7DC0"/>
    <w:rsid w:val="00AE2D5A"/>
    <w:rsid w:val="00AE42A0"/>
    <w:rsid w:val="00AE5BDD"/>
    <w:rsid w:val="00AE729C"/>
    <w:rsid w:val="00AF24A3"/>
    <w:rsid w:val="00AF362A"/>
    <w:rsid w:val="00AF3AE8"/>
    <w:rsid w:val="00AF46E6"/>
    <w:rsid w:val="00AF62F4"/>
    <w:rsid w:val="00AF743B"/>
    <w:rsid w:val="00B067EA"/>
    <w:rsid w:val="00B10347"/>
    <w:rsid w:val="00B11F18"/>
    <w:rsid w:val="00B14FE9"/>
    <w:rsid w:val="00B1516E"/>
    <w:rsid w:val="00B16AD6"/>
    <w:rsid w:val="00B203A0"/>
    <w:rsid w:val="00B20EDD"/>
    <w:rsid w:val="00B24EE0"/>
    <w:rsid w:val="00B266B4"/>
    <w:rsid w:val="00B31D94"/>
    <w:rsid w:val="00B321D2"/>
    <w:rsid w:val="00B32F2B"/>
    <w:rsid w:val="00B41252"/>
    <w:rsid w:val="00B43333"/>
    <w:rsid w:val="00B43BFA"/>
    <w:rsid w:val="00B43E37"/>
    <w:rsid w:val="00B45B95"/>
    <w:rsid w:val="00B50E3E"/>
    <w:rsid w:val="00B52C67"/>
    <w:rsid w:val="00B55AC9"/>
    <w:rsid w:val="00B61124"/>
    <w:rsid w:val="00B61312"/>
    <w:rsid w:val="00B6154E"/>
    <w:rsid w:val="00B63445"/>
    <w:rsid w:val="00B66DDE"/>
    <w:rsid w:val="00B6755F"/>
    <w:rsid w:val="00B706B2"/>
    <w:rsid w:val="00B708BC"/>
    <w:rsid w:val="00B7243F"/>
    <w:rsid w:val="00B73263"/>
    <w:rsid w:val="00B743D4"/>
    <w:rsid w:val="00B74423"/>
    <w:rsid w:val="00B753A5"/>
    <w:rsid w:val="00B7593D"/>
    <w:rsid w:val="00B80A6B"/>
    <w:rsid w:val="00B80CB8"/>
    <w:rsid w:val="00B81973"/>
    <w:rsid w:val="00B82C03"/>
    <w:rsid w:val="00B84EAF"/>
    <w:rsid w:val="00B85750"/>
    <w:rsid w:val="00B8621C"/>
    <w:rsid w:val="00B87102"/>
    <w:rsid w:val="00B92EA4"/>
    <w:rsid w:val="00B92FFA"/>
    <w:rsid w:val="00B93C68"/>
    <w:rsid w:val="00B95353"/>
    <w:rsid w:val="00B954CE"/>
    <w:rsid w:val="00BA1696"/>
    <w:rsid w:val="00BA1842"/>
    <w:rsid w:val="00BA2A0D"/>
    <w:rsid w:val="00BA32CC"/>
    <w:rsid w:val="00BA359E"/>
    <w:rsid w:val="00BA6EFD"/>
    <w:rsid w:val="00BB3675"/>
    <w:rsid w:val="00BB401C"/>
    <w:rsid w:val="00BB7118"/>
    <w:rsid w:val="00BB74BA"/>
    <w:rsid w:val="00BC4036"/>
    <w:rsid w:val="00BC515F"/>
    <w:rsid w:val="00BC7037"/>
    <w:rsid w:val="00BD1A58"/>
    <w:rsid w:val="00BD6102"/>
    <w:rsid w:val="00BE1181"/>
    <w:rsid w:val="00BE2D52"/>
    <w:rsid w:val="00BE3ECD"/>
    <w:rsid w:val="00BE52BA"/>
    <w:rsid w:val="00BF0312"/>
    <w:rsid w:val="00BF12F1"/>
    <w:rsid w:val="00BF18CC"/>
    <w:rsid w:val="00BF1BD8"/>
    <w:rsid w:val="00BF2568"/>
    <w:rsid w:val="00BF2B75"/>
    <w:rsid w:val="00BF51C8"/>
    <w:rsid w:val="00BF52D9"/>
    <w:rsid w:val="00BF5BA2"/>
    <w:rsid w:val="00BF65FD"/>
    <w:rsid w:val="00C00E46"/>
    <w:rsid w:val="00C07D1E"/>
    <w:rsid w:val="00C14216"/>
    <w:rsid w:val="00C150FE"/>
    <w:rsid w:val="00C21AD0"/>
    <w:rsid w:val="00C23AA4"/>
    <w:rsid w:val="00C306DE"/>
    <w:rsid w:val="00C32F4C"/>
    <w:rsid w:val="00C32F81"/>
    <w:rsid w:val="00C34C37"/>
    <w:rsid w:val="00C37F42"/>
    <w:rsid w:val="00C41DA7"/>
    <w:rsid w:val="00C424CC"/>
    <w:rsid w:val="00C42577"/>
    <w:rsid w:val="00C426F8"/>
    <w:rsid w:val="00C46237"/>
    <w:rsid w:val="00C47DA3"/>
    <w:rsid w:val="00C517DB"/>
    <w:rsid w:val="00C51F71"/>
    <w:rsid w:val="00C61735"/>
    <w:rsid w:val="00C65890"/>
    <w:rsid w:val="00C65949"/>
    <w:rsid w:val="00C664EC"/>
    <w:rsid w:val="00C77075"/>
    <w:rsid w:val="00C81CDD"/>
    <w:rsid w:val="00C82B88"/>
    <w:rsid w:val="00C82F63"/>
    <w:rsid w:val="00C83C82"/>
    <w:rsid w:val="00C855F3"/>
    <w:rsid w:val="00C87A0C"/>
    <w:rsid w:val="00C907B1"/>
    <w:rsid w:val="00C913A7"/>
    <w:rsid w:val="00C93767"/>
    <w:rsid w:val="00C953E4"/>
    <w:rsid w:val="00CA1988"/>
    <w:rsid w:val="00CA2F81"/>
    <w:rsid w:val="00CA35B6"/>
    <w:rsid w:val="00CA35C6"/>
    <w:rsid w:val="00CA3758"/>
    <w:rsid w:val="00CB5913"/>
    <w:rsid w:val="00CB6EA6"/>
    <w:rsid w:val="00CB741A"/>
    <w:rsid w:val="00CC189D"/>
    <w:rsid w:val="00CC402D"/>
    <w:rsid w:val="00CD31E6"/>
    <w:rsid w:val="00CD4743"/>
    <w:rsid w:val="00CD603F"/>
    <w:rsid w:val="00CD67B9"/>
    <w:rsid w:val="00CE45C7"/>
    <w:rsid w:val="00CE4C58"/>
    <w:rsid w:val="00CE508D"/>
    <w:rsid w:val="00CE593C"/>
    <w:rsid w:val="00CE5C51"/>
    <w:rsid w:val="00CE6A3A"/>
    <w:rsid w:val="00CE77E2"/>
    <w:rsid w:val="00CF060D"/>
    <w:rsid w:val="00CF0706"/>
    <w:rsid w:val="00CF0C43"/>
    <w:rsid w:val="00CF0C7F"/>
    <w:rsid w:val="00CF5DA6"/>
    <w:rsid w:val="00CF79CA"/>
    <w:rsid w:val="00D00B8D"/>
    <w:rsid w:val="00D04539"/>
    <w:rsid w:val="00D0634A"/>
    <w:rsid w:val="00D06A24"/>
    <w:rsid w:val="00D12C7F"/>
    <w:rsid w:val="00D14270"/>
    <w:rsid w:val="00D14DFA"/>
    <w:rsid w:val="00D1540A"/>
    <w:rsid w:val="00D16BBF"/>
    <w:rsid w:val="00D2088D"/>
    <w:rsid w:val="00D20BB3"/>
    <w:rsid w:val="00D239C9"/>
    <w:rsid w:val="00D2775B"/>
    <w:rsid w:val="00D306C9"/>
    <w:rsid w:val="00D30DAA"/>
    <w:rsid w:val="00D356D3"/>
    <w:rsid w:val="00D35917"/>
    <w:rsid w:val="00D41F33"/>
    <w:rsid w:val="00D41FDB"/>
    <w:rsid w:val="00D43611"/>
    <w:rsid w:val="00D440C3"/>
    <w:rsid w:val="00D47170"/>
    <w:rsid w:val="00D521B9"/>
    <w:rsid w:val="00D52F5D"/>
    <w:rsid w:val="00D5430A"/>
    <w:rsid w:val="00D56AF8"/>
    <w:rsid w:val="00D60120"/>
    <w:rsid w:val="00D61002"/>
    <w:rsid w:val="00D61C09"/>
    <w:rsid w:val="00D61E6C"/>
    <w:rsid w:val="00D628A0"/>
    <w:rsid w:val="00D65435"/>
    <w:rsid w:val="00D73EA0"/>
    <w:rsid w:val="00D74F4E"/>
    <w:rsid w:val="00D7797C"/>
    <w:rsid w:val="00D802E3"/>
    <w:rsid w:val="00D80E88"/>
    <w:rsid w:val="00D82C1B"/>
    <w:rsid w:val="00D8390A"/>
    <w:rsid w:val="00D845A1"/>
    <w:rsid w:val="00D85009"/>
    <w:rsid w:val="00D871A1"/>
    <w:rsid w:val="00D87BCE"/>
    <w:rsid w:val="00D87BF1"/>
    <w:rsid w:val="00D92A92"/>
    <w:rsid w:val="00D95998"/>
    <w:rsid w:val="00D9639A"/>
    <w:rsid w:val="00DA1B61"/>
    <w:rsid w:val="00DA260A"/>
    <w:rsid w:val="00DA3211"/>
    <w:rsid w:val="00DA3AFA"/>
    <w:rsid w:val="00DB458A"/>
    <w:rsid w:val="00DB52BF"/>
    <w:rsid w:val="00DB62C3"/>
    <w:rsid w:val="00DB7FE8"/>
    <w:rsid w:val="00DC334F"/>
    <w:rsid w:val="00DD047C"/>
    <w:rsid w:val="00DD3742"/>
    <w:rsid w:val="00DD378B"/>
    <w:rsid w:val="00DD5844"/>
    <w:rsid w:val="00DD6608"/>
    <w:rsid w:val="00DD74B8"/>
    <w:rsid w:val="00DE12E7"/>
    <w:rsid w:val="00DE16E9"/>
    <w:rsid w:val="00DE3D70"/>
    <w:rsid w:val="00DE4945"/>
    <w:rsid w:val="00DE5AF8"/>
    <w:rsid w:val="00DE6293"/>
    <w:rsid w:val="00DE7AF8"/>
    <w:rsid w:val="00DF084D"/>
    <w:rsid w:val="00DF18EE"/>
    <w:rsid w:val="00DF3036"/>
    <w:rsid w:val="00DF4242"/>
    <w:rsid w:val="00DF557E"/>
    <w:rsid w:val="00DF604B"/>
    <w:rsid w:val="00E00D6F"/>
    <w:rsid w:val="00E0177E"/>
    <w:rsid w:val="00E01C50"/>
    <w:rsid w:val="00E02DA9"/>
    <w:rsid w:val="00E04125"/>
    <w:rsid w:val="00E0412A"/>
    <w:rsid w:val="00E05953"/>
    <w:rsid w:val="00E066DA"/>
    <w:rsid w:val="00E07AD8"/>
    <w:rsid w:val="00E13CC6"/>
    <w:rsid w:val="00E16E6E"/>
    <w:rsid w:val="00E17248"/>
    <w:rsid w:val="00E17480"/>
    <w:rsid w:val="00E215A2"/>
    <w:rsid w:val="00E218E3"/>
    <w:rsid w:val="00E25449"/>
    <w:rsid w:val="00E26E2E"/>
    <w:rsid w:val="00E328A5"/>
    <w:rsid w:val="00E329DE"/>
    <w:rsid w:val="00E334DF"/>
    <w:rsid w:val="00E33F77"/>
    <w:rsid w:val="00E34C9A"/>
    <w:rsid w:val="00E35E90"/>
    <w:rsid w:val="00E3749E"/>
    <w:rsid w:val="00E406A3"/>
    <w:rsid w:val="00E40B7A"/>
    <w:rsid w:val="00E475DC"/>
    <w:rsid w:val="00E515D0"/>
    <w:rsid w:val="00E527DE"/>
    <w:rsid w:val="00E55B8F"/>
    <w:rsid w:val="00E570F2"/>
    <w:rsid w:val="00E613E9"/>
    <w:rsid w:val="00E62CBE"/>
    <w:rsid w:val="00E64CA8"/>
    <w:rsid w:val="00E66BF3"/>
    <w:rsid w:val="00E7116B"/>
    <w:rsid w:val="00E71A6C"/>
    <w:rsid w:val="00E76FDE"/>
    <w:rsid w:val="00E8067E"/>
    <w:rsid w:val="00E8176C"/>
    <w:rsid w:val="00E82D29"/>
    <w:rsid w:val="00E8378E"/>
    <w:rsid w:val="00E83C18"/>
    <w:rsid w:val="00E86081"/>
    <w:rsid w:val="00E879D5"/>
    <w:rsid w:val="00E9062D"/>
    <w:rsid w:val="00E91075"/>
    <w:rsid w:val="00E91625"/>
    <w:rsid w:val="00E9257A"/>
    <w:rsid w:val="00E92A91"/>
    <w:rsid w:val="00E95622"/>
    <w:rsid w:val="00E9677E"/>
    <w:rsid w:val="00E97734"/>
    <w:rsid w:val="00EA12BE"/>
    <w:rsid w:val="00EA1B34"/>
    <w:rsid w:val="00EA2300"/>
    <w:rsid w:val="00EA35F3"/>
    <w:rsid w:val="00EA366E"/>
    <w:rsid w:val="00EA3789"/>
    <w:rsid w:val="00EA3ECF"/>
    <w:rsid w:val="00EA5CEC"/>
    <w:rsid w:val="00EB166C"/>
    <w:rsid w:val="00EB4A39"/>
    <w:rsid w:val="00EB7428"/>
    <w:rsid w:val="00EC022D"/>
    <w:rsid w:val="00EC2658"/>
    <w:rsid w:val="00EC3005"/>
    <w:rsid w:val="00EC4B3E"/>
    <w:rsid w:val="00ED0034"/>
    <w:rsid w:val="00ED1CA3"/>
    <w:rsid w:val="00ED1CF1"/>
    <w:rsid w:val="00ED42A2"/>
    <w:rsid w:val="00ED7B0B"/>
    <w:rsid w:val="00EE021B"/>
    <w:rsid w:val="00EE1B80"/>
    <w:rsid w:val="00EE2408"/>
    <w:rsid w:val="00EE3319"/>
    <w:rsid w:val="00EE4091"/>
    <w:rsid w:val="00EE4B17"/>
    <w:rsid w:val="00EE6FD1"/>
    <w:rsid w:val="00EE7352"/>
    <w:rsid w:val="00EF6348"/>
    <w:rsid w:val="00EF6B5F"/>
    <w:rsid w:val="00F0423F"/>
    <w:rsid w:val="00F0433A"/>
    <w:rsid w:val="00F05807"/>
    <w:rsid w:val="00F12441"/>
    <w:rsid w:val="00F130FC"/>
    <w:rsid w:val="00F13A0F"/>
    <w:rsid w:val="00F13BA2"/>
    <w:rsid w:val="00F14012"/>
    <w:rsid w:val="00F14C85"/>
    <w:rsid w:val="00F15569"/>
    <w:rsid w:val="00F17869"/>
    <w:rsid w:val="00F2430C"/>
    <w:rsid w:val="00F244CA"/>
    <w:rsid w:val="00F24DC8"/>
    <w:rsid w:val="00F2521E"/>
    <w:rsid w:val="00F2571E"/>
    <w:rsid w:val="00F261BE"/>
    <w:rsid w:val="00F275F1"/>
    <w:rsid w:val="00F30757"/>
    <w:rsid w:val="00F31585"/>
    <w:rsid w:val="00F323A2"/>
    <w:rsid w:val="00F32E80"/>
    <w:rsid w:val="00F34555"/>
    <w:rsid w:val="00F43E35"/>
    <w:rsid w:val="00F444A6"/>
    <w:rsid w:val="00F44EED"/>
    <w:rsid w:val="00F45034"/>
    <w:rsid w:val="00F454A6"/>
    <w:rsid w:val="00F4694E"/>
    <w:rsid w:val="00F515E3"/>
    <w:rsid w:val="00F52368"/>
    <w:rsid w:val="00F54453"/>
    <w:rsid w:val="00F54F28"/>
    <w:rsid w:val="00F60598"/>
    <w:rsid w:val="00F60726"/>
    <w:rsid w:val="00F61D89"/>
    <w:rsid w:val="00F629D0"/>
    <w:rsid w:val="00F62AE0"/>
    <w:rsid w:val="00F6309B"/>
    <w:rsid w:val="00F63249"/>
    <w:rsid w:val="00F63463"/>
    <w:rsid w:val="00F64537"/>
    <w:rsid w:val="00F65299"/>
    <w:rsid w:val="00F66B70"/>
    <w:rsid w:val="00F70F37"/>
    <w:rsid w:val="00F72314"/>
    <w:rsid w:val="00F726C5"/>
    <w:rsid w:val="00F74ACE"/>
    <w:rsid w:val="00F762C1"/>
    <w:rsid w:val="00F839E8"/>
    <w:rsid w:val="00F86034"/>
    <w:rsid w:val="00F8721A"/>
    <w:rsid w:val="00F90BEE"/>
    <w:rsid w:val="00F90C0C"/>
    <w:rsid w:val="00F917E4"/>
    <w:rsid w:val="00F9344D"/>
    <w:rsid w:val="00F94D6E"/>
    <w:rsid w:val="00F950F2"/>
    <w:rsid w:val="00F97826"/>
    <w:rsid w:val="00FA17D7"/>
    <w:rsid w:val="00FA1BC3"/>
    <w:rsid w:val="00FA3C45"/>
    <w:rsid w:val="00FA3F2D"/>
    <w:rsid w:val="00FA6515"/>
    <w:rsid w:val="00FB5090"/>
    <w:rsid w:val="00FC1886"/>
    <w:rsid w:val="00FC33AA"/>
    <w:rsid w:val="00FC35D2"/>
    <w:rsid w:val="00FC3DBA"/>
    <w:rsid w:val="00FC5415"/>
    <w:rsid w:val="00FD0D8A"/>
    <w:rsid w:val="00FD4BC4"/>
    <w:rsid w:val="00FD501C"/>
    <w:rsid w:val="00FD5C05"/>
    <w:rsid w:val="00FD7047"/>
    <w:rsid w:val="00FE02DD"/>
    <w:rsid w:val="00FE0841"/>
    <w:rsid w:val="00FE0DE0"/>
    <w:rsid w:val="00FE2FDE"/>
    <w:rsid w:val="00FE3B14"/>
    <w:rsid w:val="00FE76B4"/>
    <w:rsid w:val="00FF1BAE"/>
    <w:rsid w:val="00FF1EF1"/>
    <w:rsid w:val="00FF3397"/>
    <w:rsid w:val="00FF418E"/>
    <w:rsid w:val="00FF5187"/>
    <w:rsid w:val="00FF58D9"/>
    <w:rsid w:val="00FF7B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C4DA3"/>
  <w15:chartTrackingRefBased/>
  <w15:docId w15:val="{A3D016F7-F062-4F76-A0BB-1C3F5841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660E"/>
    <w:pPr>
      <w:spacing w:before="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7C660E"/>
    <w:pPr>
      <w:shd w:val="clear" w:color="auto" w:fill="E56300"/>
      <w:spacing w:before="5000" w:after="0" w:line="320" w:lineRule="atLeast"/>
      <w:jc w:val="center"/>
      <w:outlineLvl w:val="0"/>
    </w:pPr>
    <w:rPr>
      <w:rFonts w:ascii="Tahoma" w:eastAsiaTheme="majorEastAsia" w:hAnsi="Tahoma" w:cs="Calibri"/>
      <w:b/>
      <w:bCs/>
      <w:color w:val="FFFFFF" w:themeColor="background1"/>
      <w:kern w:val="2"/>
      <w:sz w:val="110"/>
      <w:szCs w:val="180"/>
      <w:lang w:eastAsia="zh-CN"/>
      <w14:ligatures w14:val="standardContextual"/>
    </w:rPr>
  </w:style>
  <w:style w:type="paragraph" w:styleId="Heading2">
    <w:name w:val="heading 2"/>
    <w:next w:val="Normal"/>
    <w:link w:val="Heading2Char"/>
    <w:autoRedefine/>
    <w:uiPriority w:val="9"/>
    <w:unhideWhenUsed/>
    <w:qFormat/>
    <w:rsid w:val="004C1EC6"/>
    <w:pPr>
      <w:keepNext/>
      <w:keepLines/>
      <w:spacing w:before="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4C1EC6"/>
    <w:pPr>
      <w:keepNext/>
      <w:keepLines/>
      <w:spacing w:before="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4C1EC6"/>
    <w:pPr>
      <w:keepNext/>
      <w:keepLines/>
      <w:spacing w:before="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4C1EC6"/>
    <w:pPr>
      <w:keepNext/>
      <w:keepLines/>
      <w:spacing w:before="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4C1EC6"/>
    <w:pPr>
      <w:keepNext/>
      <w:keepLines/>
      <w:spacing w:before="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4C1E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E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E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C1EC6"/>
    <w:rPr>
      <w:rFonts w:ascii="Tahoma" w:hAnsi="Tahoma" w:cs="Tahoma"/>
      <w:b/>
      <w:bCs/>
      <w:iCs w:val="0"/>
      <w:color w:val="04427D"/>
      <w:sz w:val="23"/>
      <w:szCs w:val="23"/>
      <w:u w:val="single" w:color="04427D"/>
    </w:rPr>
  </w:style>
  <w:style w:type="character" w:styleId="FollowedHyperlink">
    <w:name w:val="FollowedHyperlink"/>
    <w:basedOn w:val="DefaultParagraphFont"/>
    <w:uiPriority w:val="99"/>
    <w:semiHidden/>
    <w:unhideWhenUsed/>
    <w:qFormat/>
    <w:rsid w:val="004C1EC6"/>
    <w:rPr>
      <w:rFonts w:ascii="Tahoma" w:hAnsi="Tahoma"/>
      <w:b/>
      <w:bCs/>
      <w:color w:val="04427D"/>
      <w:sz w:val="23"/>
      <w:szCs w:val="23"/>
      <w:u w:val="single" w:color="04427D"/>
    </w:rPr>
  </w:style>
  <w:style w:type="paragraph" w:styleId="ListParagraph">
    <w:name w:val="List Paragraph"/>
    <w:basedOn w:val="Normal"/>
    <w:uiPriority w:val="34"/>
    <w:rsid w:val="00E35E90"/>
    <w:pPr>
      <w:ind w:left="720"/>
      <w:contextualSpacing/>
    </w:pPr>
  </w:style>
  <w:style w:type="character" w:customStyle="1" w:styleId="Heading1Char">
    <w:name w:val="Heading 1 Char"/>
    <w:basedOn w:val="DefaultParagraphFont"/>
    <w:link w:val="Heading1"/>
    <w:uiPriority w:val="9"/>
    <w:rsid w:val="007C660E"/>
    <w:rPr>
      <w:rFonts w:ascii="Tahoma" w:eastAsiaTheme="majorEastAsia" w:hAnsi="Tahoma" w:cs="Calibri"/>
      <w:b/>
      <w:bCs/>
      <w:color w:val="FFFFFF" w:themeColor="background1"/>
      <w:kern w:val="2"/>
      <w:sz w:val="110"/>
      <w:szCs w:val="180"/>
      <w:shd w:val="clear" w:color="auto" w:fill="E56300"/>
      <w:lang w:eastAsia="zh-CN"/>
      <w14:ligatures w14:val="standardContextual"/>
    </w:rPr>
  </w:style>
  <w:style w:type="paragraph" w:styleId="NoSpacing">
    <w:name w:val="No Spacing"/>
    <w:link w:val="NoSpacingChar"/>
    <w:uiPriority w:val="1"/>
    <w:qFormat/>
    <w:rsid w:val="004C1EC6"/>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Header">
    <w:name w:val="header"/>
    <w:next w:val="Normal"/>
    <w:link w:val="HeaderChar"/>
    <w:autoRedefine/>
    <w:uiPriority w:val="99"/>
    <w:unhideWhenUsed/>
    <w:qFormat/>
    <w:rsid w:val="004C1EC6"/>
    <w:pPr>
      <w:tabs>
        <w:tab w:val="center" w:pos="4680"/>
        <w:tab w:val="right" w:pos="9360"/>
      </w:tabs>
      <w:spacing w:before="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4C1EC6"/>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4C1EC6"/>
    <w:pPr>
      <w:tabs>
        <w:tab w:val="center" w:pos="4680"/>
        <w:tab w:val="right" w:pos="9360"/>
      </w:tabs>
      <w:spacing w:before="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4C1EC6"/>
    <w:rPr>
      <w:rFonts w:ascii="Tahoma" w:eastAsiaTheme="minorEastAsia" w:hAnsi="Tahoma" w:cs="Tahoma"/>
      <w:color w:val="000000" w:themeColor="text1"/>
      <w:kern w:val="2"/>
      <w:sz w:val="20"/>
      <w:szCs w:val="20"/>
      <w:lang w:eastAsia="zh-CN"/>
      <w14:ligatures w14:val="standardContextual"/>
    </w:rPr>
  </w:style>
  <w:style w:type="paragraph" w:styleId="BalloonText">
    <w:name w:val="Balloon Text"/>
    <w:basedOn w:val="Normal"/>
    <w:link w:val="BalloonTextChar"/>
    <w:uiPriority w:val="99"/>
    <w:semiHidden/>
    <w:unhideWhenUsed/>
    <w:rsid w:val="004C1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EC6"/>
    <w:rPr>
      <w:rFonts w:ascii="Segoe UI" w:eastAsiaTheme="minorEastAsia" w:hAnsi="Segoe UI" w:cs="Segoe UI"/>
      <w:color w:val="000000" w:themeColor="text1"/>
      <w:kern w:val="2"/>
      <w:sz w:val="18"/>
      <w:szCs w:val="18"/>
      <w:lang w:eastAsia="zh-CN"/>
      <w14:ligatures w14:val="standardContextual"/>
    </w:rPr>
  </w:style>
  <w:style w:type="character" w:customStyle="1" w:styleId="Heading2Char">
    <w:name w:val="Heading 2 Char"/>
    <w:basedOn w:val="DefaultParagraphFont"/>
    <w:link w:val="Heading2"/>
    <w:uiPriority w:val="9"/>
    <w:rsid w:val="004C1EC6"/>
    <w:rPr>
      <w:rFonts w:ascii="Tahoma" w:eastAsiaTheme="majorEastAsia" w:hAnsi="Tahoma" w:cstheme="majorBidi"/>
      <w:b/>
      <w:bCs/>
      <w:color w:val="E56300"/>
      <w:kern w:val="2"/>
      <w:sz w:val="32"/>
      <w:szCs w:val="28"/>
      <w:lang w:eastAsia="zh-CN"/>
      <w14:ligatures w14:val="standardContextual"/>
    </w:rPr>
  </w:style>
  <w:style w:type="character" w:styleId="CommentReference">
    <w:name w:val="annotation reference"/>
    <w:basedOn w:val="DefaultParagraphFont"/>
    <w:uiPriority w:val="99"/>
    <w:semiHidden/>
    <w:unhideWhenUsed/>
    <w:rsid w:val="004C1EC6"/>
    <w:rPr>
      <w:sz w:val="16"/>
      <w:szCs w:val="16"/>
    </w:rPr>
  </w:style>
  <w:style w:type="paragraph" w:styleId="CommentText">
    <w:name w:val="annotation text"/>
    <w:basedOn w:val="Normal"/>
    <w:link w:val="CommentTextChar"/>
    <w:uiPriority w:val="99"/>
    <w:unhideWhenUsed/>
    <w:rsid w:val="00254D16"/>
    <w:pPr>
      <w:spacing w:line="240" w:lineRule="auto"/>
    </w:pPr>
    <w:rPr>
      <w:sz w:val="20"/>
      <w:szCs w:val="20"/>
    </w:rPr>
  </w:style>
  <w:style w:type="character" w:customStyle="1" w:styleId="CommentTextChar">
    <w:name w:val="Comment Text Char"/>
    <w:basedOn w:val="DefaultParagraphFont"/>
    <w:link w:val="CommentText"/>
    <w:uiPriority w:val="99"/>
    <w:rsid w:val="00254D16"/>
    <w:rPr>
      <w:sz w:val="20"/>
      <w:szCs w:val="20"/>
    </w:rPr>
  </w:style>
  <w:style w:type="paragraph" w:styleId="CommentSubject">
    <w:name w:val="annotation subject"/>
    <w:basedOn w:val="Normal"/>
    <w:next w:val="Normal"/>
    <w:link w:val="CommentSubjectChar"/>
    <w:uiPriority w:val="99"/>
    <w:semiHidden/>
    <w:unhideWhenUsed/>
    <w:rsid w:val="004C1EC6"/>
    <w:rPr>
      <w:b/>
      <w:bCs/>
      <w:sz w:val="20"/>
      <w:szCs w:val="20"/>
    </w:rPr>
  </w:style>
  <w:style w:type="character" w:customStyle="1" w:styleId="CommentSubjectChar">
    <w:name w:val="Comment Subject Char"/>
    <w:basedOn w:val="DefaultParagraphFont"/>
    <w:link w:val="CommentSubject"/>
    <w:uiPriority w:val="99"/>
    <w:semiHidden/>
    <w:rsid w:val="004C1EC6"/>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4C1EC6"/>
    <w:pPr>
      <w:spacing w:after="0" w:line="240" w:lineRule="auto"/>
    </w:pPr>
    <w:rPr>
      <w:rFonts w:ascii="Tahoma" w:eastAsia="Tahoma" w:hAnsi="Tahoma" w:cs="Tahoma"/>
    </w:rPr>
  </w:style>
  <w:style w:type="paragraph" w:customStyle="1" w:styleId="Text2">
    <w:name w:val="Text 2"/>
    <w:basedOn w:val="Normal"/>
    <w:uiPriority w:val="99"/>
    <w:rsid w:val="00364A74"/>
    <w:pPr>
      <w:tabs>
        <w:tab w:val="left" w:pos="720"/>
        <w:tab w:val="left" w:pos="1680"/>
        <w:tab w:val="left" w:pos="2400"/>
        <w:tab w:val="left" w:pos="3120"/>
      </w:tabs>
      <w:ind w:left="720"/>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364A74"/>
    <w:pPr>
      <w:spacing w:line="240" w:lineRule="auto"/>
    </w:pPr>
    <w:rPr>
      <w:rFonts w:ascii="Calibri" w:hAnsi="Calibri"/>
      <w:szCs w:val="21"/>
    </w:rPr>
  </w:style>
  <w:style w:type="character" w:customStyle="1" w:styleId="PlainTextChar">
    <w:name w:val="Plain Text Char"/>
    <w:basedOn w:val="DefaultParagraphFont"/>
    <w:link w:val="PlainText"/>
    <w:uiPriority w:val="99"/>
    <w:rsid w:val="00364A74"/>
    <w:rPr>
      <w:rFonts w:ascii="Calibri" w:hAnsi="Calibri"/>
      <w:szCs w:val="21"/>
    </w:rPr>
  </w:style>
  <w:style w:type="paragraph" w:styleId="TOCHeading">
    <w:name w:val="TOC Heading"/>
    <w:next w:val="Normal"/>
    <w:autoRedefine/>
    <w:uiPriority w:val="39"/>
    <w:unhideWhenUsed/>
    <w:qFormat/>
    <w:rsid w:val="007C660E"/>
    <w:pPr>
      <w:pageBreakBefore/>
      <w:spacing w:before="160" w:line="278" w:lineRule="auto"/>
      <w:jc w:val="center"/>
    </w:pPr>
    <w:rPr>
      <w:rFonts w:ascii="Tahoma" w:eastAsiaTheme="majorEastAsia" w:hAnsi="Tahoma" w:cs="Tahoma"/>
      <w:b/>
      <w:bCs/>
      <w:sz w:val="44"/>
      <w:szCs w:val="44"/>
    </w:rPr>
  </w:style>
  <w:style w:type="paragraph" w:styleId="TOC1">
    <w:name w:val="toc 1"/>
    <w:next w:val="Normal"/>
    <w:autoRedefine/>
    <w:uiPriority w:val="39"/>
    <w:unhideWhenUsed/>
    <w:qFormat/>
    <w:rsid w:val="004C1EC6"/>
    <w:pPr>
      <w:spacing w:before="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4C1EC6"/>
    <w:pPr>
      <w:tabs>
        <w:tab w:val="left" w:pos="690"/>
        <w:tab w:val="right" w:leader="dot" w:pos="10070"/>
      </w:tabs>
      <w:spacing w:before="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character" w:customStyle="1" w:styleId="NoSpacingChar">
    <w:name w:val="No Spacing Char"/>
    <w:basedOn w:val="DefaultParagraphFont"/>
    <w:link w:val="NoSpacing"/>
    <w:uiPriority w:val="1"/>
    <w:rsid w:val="008211C9"/>
    <w:rPr>
      <w:rFonts w:ascii="Tahoma" w:eastAsiaTheme="minorEastAsia" w:hAnsi="Tahoma" w:cs="Tahoma"/>
      <w:color w:val="000000" w:themeColor="text1"/>
      <w:kern w:val="2"/>
      <w:sz w:val="23"/>
      <w:szCs w:val="23"/>
      <w:lang w:eastAsia="zh-CN"/>
      <w14:ligatures w14:val="standardContextual"/>
    </w:rPr>
  </w:style>
  <w:style w:type="paragraph" w:styleId="BodyText">
    <w:name w:val="Body Text"/>
    <w:next w:val="Normal"/>
    <w:link w:val="BodyTextChar"/>
    <w:autoRedefine/>
    <w:uiPriority w:val="1"/>
    <w:qFormat/>
    <w:rsid w:val="004C1EC6"/>
    <w:pPr>
      <w:spacing w:before="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4C1EC6"/>
    <w:rPr>
      <w:rFonts w:ascii="Tahoma" w:eastAsiaTheme="minorEastAsia" w:hAnsi="Tahoma" w:cs="Tahoma"/>
      <w:color w:val="000000" w:themeColor="text1"/>
      <w:kern w:val="2"/>
      <w:sz w:val="23"/>
      <w:szCs w:val="23"/>
      <w:lang w:eastAsia="zh-CN"/>
      <w14:ligatures w14:val="standardContextual"/>
    </w:rPr>
  </w:style>
  <w:style w:type="paragraph" w:customStyle="1" w:styleId="TableParagraph">
    <w:name w:val="Table Paragraph"/>
    <w:basedOn w:val="Normal"/>
    <w:uiPriority w:val="1"/>
    <w:qFormat/>
    <w:rsid w:val="008211C9"/>
    <w:pPr>
      <w:widowControl w:val="0"/>
      <w:autoSpaceDE w:val="0"/>
      <w:autoSpaceDN w:val="0"/>
      <w:spacing w:line="279" w:lineRule="exact"/>
      <w:ind w:left="107"/>
    </w:pPr>
    <w:rPr>
      <w:rFonts w:ascii="Calibri" w:eastAsia="Calibri" w:hAnsi="Calibri" w:cs="Calibri"/>
      <w:lang w:bidi="en-US"/>
    </w:rPr>
  </w:style>
  <w:style w:type="character" w:customStyle="1" w:styleId="Heading3Char">
    <w:name w:val="Heading 3 Char"/>
    <w:basedOn w:val="DefaultParagraphFont"/>
    <w:link w:val="Heading3"/>
    <w:uiPriority w:val="9"/>
    <w:rsid w:val="004C1EC6"/>
    <w:rPr>
      <w:rFonts w:ascii="Tahoma" w:eastAsiaTheme="majorEastAsia" w:hAnsi="Tahoma" w:cstheme="majorBidi"/>
      <w:b/>
      <w:color w:val="04427D"/>
      <w:kern w:val="2"/>
      <w:sz w:val="28"/>
      <w:szCs w:val="28"/>
      <w:lang w:eastAsia="zh-CN"/>
      <w14:ligatures w14:val="standardContextual"/>
    </w:rPr>
  </w:style>
  <w:style w:type="paragraph" w:styleId="TOC3">
    <w:name w:val="toc 3"/>
    <w:next w:val="Normal"/>
    <w:autoRedefine/>
    <w:uiPriority w:val="39"/>
    <w:unhideWhenUsed/>
    <w:qFormat/>
    <w:rsid w:val="004C1EC6"/>
    <w:pPr>
      <w:tabs>
        <w:tab w:val="right" w:leader="dot" w:pos="10070"/>
      </w:tabs>
      <w:spacing w:before="160" w:line="320" w:lineRule="atLeast"/>
      <w:ind w:left="461"/>
    </w:pPr>
    <w:rPr>
      <w:rFonts w:ascii="Tahoma" w:eastAsiaTheme="minorEastAsia" w:hAnsi="Tahoma" w:cs="Tahoma"/>
      <w:color w:val="000000" w:themeColor="text1"/>
      <w:kern w:val="2"/>
      <w:sz w:val="23"/>
      <w:szCs w:val="23"/>
      <w:lang w:eastAsia="zh-CN"/>
      <w14:ligatures w14:val="standardContextual"/>
    </w:rPr>
  </w:style>
  <w:style w:type="character" w:styleId="UnresolvedMention">
    <w:name w:val="Unresolved Mention"/>
    <w:basedOn w:val="DefaultParagraphFont"/>
    <w:uiPriority w:val="99"/>
    <w:semiHidden/>
    <w:unhideWhenUsed/>
    <w:rsid w:val="004C1EC6"/>
    <w:rPr>
      <w:color w:val="605E5C"/>
      <w:shd w:val="clear" w:color="auto" w:fill="E1DFDD"/>
    </w:rPr>
  </w:style>
  <w:style w:type="paragraph" w:customStyle="1" w:styleId="Text1">
    <w:name w:val="Text 1"/>
    <w:basedOn w:val="Normal"/>
    <w:uiPriority w:val="99"/>
    <w:rsid w:val="002065C0"/>
    <w:pPr>
      <w:tabs>
        <w:tab w:val="left" w:pos="720"/>
        <w:tab w:val="left" w:pos="1680"/>
        <w:tab w:val="left" w:pos="2400"/>
        <w:tab w:val="left" w:pos="3120"/>
      </w:tabs>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4C1EC6"/>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4C1EC6"/>
    <w:rPr>
      <w:rFonts w:ascii="Tahoma" w:eastAsiaTheme="majorEastAsia" w:hAnsi="Tahoma" w:cstheme="majorBidi"/>
      <w:color w:val="04427D"/>
      <w:kern w:val="2"/>
      <w:sz w:val="26"/>
      <w:szCs w:val="23"/>
      <w:lang w:eastAsia="zh-CN"/>
      <w14:ligatures w14:val="standardContextual"/>
    </w:rPr>
  </w:style>
  <w:style w:type="character" w:styleId="IntenseReference">
    <w:name w:val="Intense Reference"/>
    <w:basedOn w:val="DefaultParagraphFont"/>
    <w:uiPriority w:val="32"/>
    <w:qFormat/>
    <w:rsid w:val="00E35E90"/>
    <w:rPr>
      <w:b/>
      <w:bCs/>
      <w:smallCaps/>
      <w:color w:val="365F91" w:themeColor="accent1" w:themeShade="BF"/>
      <w:spacing w:val="5"/>
    </w:rPr>
  </w:style>
  <w:style w:type="paragraph" w:styleId="ListBullet">
    <w:name w:val="List Bullet"/>
    <w:basedOn w:val="Normal"/>
    <w:uiPriority w:val="99"/>
    <w:unhideWhenUsed/>
    <w:rsid w:val="004C1EC6"/>
    <w:pPr>
      <w:numPr>
        <w:numId w:val="1"/>
      </w:numPr>
      <w:contextualSpacing/>
    </w:pPr>
  </w:style>
  <w:style w:type="paragraph" w:styleId="ListBullet2">
    <w:name w:val="List Bullet 2"/>
    <w:basedOn w:val="Normal"/>
    <w:uiPriority w:val="99"/>
    <w:unhideWhenUsed/>
    <w:rsid w:val="004C1EC6"/>
    <w:pPr>
      <w:numPr>
        <w:numId w:val="2"/>
      </w:numPr>
      <w:contextualSpacing/>
    </w:pPr>
  </w:style>
  <w:style w:type="character" w:customStyle="1" w:styleId="Heading6Char">
    <w:name w:val="Heading 6 Char"/>
    <w:basedOn w:val="DefaultParagraphFont"/>
    <w:link w:val="Heading6"/>
    <w:uiPriority w:val="9"/>
    <w:semiHidden/>
    <w:rsid w:val="004C1EC6"/>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4C1EC6"/>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4C1EC6"/>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4C1EC6"/>
    <w:rPr>
      <w:rFonts w:ascii="Tahoma" w:eastAsiaTheme="majorEastAsia" w:hAnsi="Tahoma" w:cstheme="majorBidi"/>
      <w:color w:val="272727" w:themeColor="text1" w:themeTint="D8"/>
      <w:kern w:val="2"/>
      <w:sz w:val="23"/>
      <w:szCs w:val="23"/>
      <w:lang w:eastAsia="zh-CN"/>
      <w14:ligatures w14:val="standardContextual"/>
    </w:rPr>
  </w:style>
  <w:style w:type="paragraph" w:styleId="Title">
    <w:name w:val="Title"/>
    <w:basedOn w:val="Normal"/>
    <w:next w:val="Normal"/>
    <w:link w:val="TitleChar"/>
    <w:uiPriority w:val="10"/>
    <w:qFormat/>
    <w:rsid w:val="00E35E90"/>
    <w:pPr>
      <w:outlineLvl w:val="0"/>
    </w:pPr>
    <w:rPr>
      <w:rFonts w:eastAsiaTheme="majorEastAsia" w:cstheme="majorBidi"/>
      <w:b/>
      <w:bCs/>
      <w:color w:val="E56300"/>
      <w:spacing w:val="-10"/>
      <w:kern w:val="28"/>
      <w:sz w:val="32"/>
      <w:szCs w:val="32"/>
    </w:rPr>
  </w:style>
  <w:style w:type="character" w:customStyle="1" w:styleId="TitleChar">
    <w:name w:val="Title Char"/>
    <w:basedOn w:val="DefaultParagraphFont"/>
    <w:link w:val="Title"/>
    <w:uiPriority w:val="10"/>
    <w:rsid w:val="00E35E90"/>
    <w:rPr>
      <w:rFonts w:ascii="Tahoma" w:eastAsiaTheme="majorEastAsia" w:hAnsi="Tahoma" w:cstheme="majorBidi"/>
      <w:b/>
      <w:bCs/>
      <w:color w:val="E56300"/>
      <w:spacing w:val="-10"/>
      <w:kern w:val="28"/>
      <w:sz w:val="32"/>
      <w:szCs w:val="32"/>
      <w:lang w:eastAsia="zh-CN"/>
      <w14:ligatures w14:val="standardContextual"/>
    </w:rPr>
  </w:style>
  <w:style w:type="paragraph" w:styleId="Subtitle">
    <w:name w:val="Subtitle"/>
    <w:basedOn w:val="Normal"/>
    <w:next w:val="Normal"/>
    <w:link w:val="SubtitleChar"/>
    <w:uiPriority w:val="11"/>
    <w:qFormat/>
    <w:rsid w:val="00E3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E90"/>
    <w:rPr>
      <w:rFonts w:ascii="Tahoma" w:eastAsiaTheme="majorEastAsia" w:hAnsi="Tahoma"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E35E90"/>
    <w:pPr>
      <w:jc w:val="center"/>
    </w:pPr>
    <w:rPr>
      <w:i/>
      <w:iCs/>
      <w:color w:val="404040" w:themeColor="text1" w:themeTint="BF"/>
    </w:rPr>
  </w:style>
  <w:style w:type="character" w:customStyle="1" w:styleId="QuoteChar">
    <w:name w:val="Quote Char"/>
    <w:basedOn w:val="DefaultParagraphFont"/>
    <w:link w:val="Quote"/>
    <w:uiPriority w:val="29"/>
    <w:rsid w:val="00E35E90"/>
    <w:rPr>
      <w:rFonts w:ascii="Tahoma" w:eastAsiaTheme="minorEastAsia" w:hAnsi="Tahoma"/>
      <w:i/>
      <w:iCs/>
      <w:color w:val="404040" w:themeColor="text1" w:themeTint="BF"/>
      <w:kern w:val="2"/>
      <w:sz w:val="23"/>
      <w:szCs w:val="23"/>
      <w:lang w:eastAsia="zh-CN"/>
      <w14:ligatures w14:val="standardContextual"/>
    </w:rPr>
  </w:style>
  <w:style w:type="character" w:styleId="IntenseEmphasis">
    <w:name w:val="Intense Emphasis"/>
    <w:basedOn w:val="DefaultParagraphFont"/>
    <w:uiPriority w:val="21"/>
    <w:qFormat/>
    <w:rsid w:val="00E35E90"/>
    <w:rPr>
      <w:i/>
      <w:iCs/>
      <w:color w:val="365F91" w:themeColor="accent1" w:themeShade="BF"/>
    </w:rPr>
  </w:style>
  <w:style w:type="paragraph" w:styleId="IntenseQuote">
    <w:name w:val="Intense Quote"/>
    <w:basedOn w:val="Normal"/>
    <w:next w:val="Normal"/>
    <w:link w:val="IntenseQuoteChar"/>
    <w:uiPriority w:val="30"/>
    <w:qFormat/>
    <w:rsid w:val="00E35E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5E90"/>
    <w:rPr>
      <w:rFonts w:ascii="Tahoma" w:eastAsiaTheme="minorEastAsia" w:hAnsi="Tahoma"/>
      <w:i/>
      <w:iCs/>
      <w:color w:val="365F91" w:themeColor="accent1" w:themeShade="BF"/>
      <w:kern w:val="2"/>
      <w:sz w:val="23"/>
      <w:szCs w:val="23"/>
      <w:lang w:eastAsia="zh-CN"/>
      <w14:ligatures w14:val="standardContextual"/>
    </w:rPr>
  </w:style>
  <w:style w:type="character" w:styleId="BookTitle">
    <w:name w:val="Book Title"/>
    <w:basedOn w:val="DefaultParagraphFont"/>
    <w:uiPriority w:val="33"/>
    <w:qFormat/>
    <w:rsid w:val="00E35E90"/>
    <w:rPr>
      <w:rFonts w:ascii="Tahoma" w:hAnsi="Tahoma"/>
      <w:b/>
      <w:bCs/>
      <w:i w:val="0"/>
      <w:color w:val="000000" w:themeColor="text1"/>
      <w:spacing w:val="5"/>
      <w:sz w:val="144"/>
    </w:rPr>
  </w:style>
  <w:style w:type="character" w:customStyle="1" w:styleId="BookTitleDate">
    <w:name w:val="Book Title Date"/>
    <w:basedOn w:val="BookTitle"/>
    <w:uiPriority w:val="1"/>
    <w:qFormat/>
    <w:rsid w:val="00E35E90"/>
    <w:rPr>
      <w:rFonts w:ascii="Tahoma" w:hAnsi="Tahoma"/>
      <w:b/>
      <w:bCs/>
      <w:i w:val="0"/>
      <w:noProof/>
      <w:color w:val="000000" w:themeColor="text1"/>
      <w:spacing w:val="5"/>
      <w:sz w:val="23"/>
    </w:rPr>
  </w:style>
  <w:style w:type="paragraph" w:customStyle="1" w:styleId="TextNormalTableHeader">
    <w:name w:val="Text (Normal Table Header)"/>
    <w:next w:val="Normal"/>
    <w:qFormat/>
    <w:rsid w:val="00933095"/>
    <w:pPr>
      <w:spacing w:after="0" w:line="320" w:lineRule="atLeast"/>
      <w:jc w:val="center"/>
    </w:pPr>
    <w:rPr>
      <w:rFonts w:ascii="Tahoma" w:eastAsiaTheme="minorEastAsia" w:hAnsi="Tahoma"/>
      <w:b/>
      <w:bCs/>
      <w:color w:val="FFFFFF" w:themeColor="background1"/>
      <w:kern w:val="2"/>
      <w:sz w:val="26"/>
      <w:szCs w:val="26"/>
      <w:lang w:eastAsia="zh-CN"/>
      <w14:ligatures w14:val="standardContextual"/>
    </w:rPr>
  </w:style>
  <w:style w:type="paragraph" w:customStyle="1" w:styleId="TextNormalTableBody">
    <w:name w:val="Text (Normal Table Body)"/>
    <w:next w:val="Normal"/>
    <w:qFormat/>
    <w:rsid w:val="00933095"/>
    <w:pPr>
      <w:spacing w:after="0" w:line="320" w:lineRule="atLeast"/>
      <w:jc w:val="center"/>
    </w:pPr>
    <w:rPr>
      <w:rFonts w:ascii="Tahoma" w:eastAsiaTheme="minorEastAsia" w:hAnsi="Tahoma"/>
      <w:bCs/>
      <w:color w:val="000000" w:themeColor="text1"/>
      <w:kern w:val="2"/>
      <w:sz w:val="23"/>
      <w:szCs w:val="23"/>
      <w:lang w:eastAsia="zh-CN"/>
      <w14:ligatures w14:val="standardContextual"/>
    </w:rPr>
  </w:style>
  <w:style w:type="paragraph" w:customStyle="1" w:styleId="BulletList1">
    <w:name w:val="Bullet List 1"/>
    <w:next w:val="Normal"/>
    <w:link w:val="BulletList1Char"/>
    <w:autoRedefine/>
    <w:qFormat/>
    <w:rsid w:val="004C1EC6"/>
    <w:pPr>
      <w:numPr>
        <w:numId w:val="3"/>
      </w:numPr>
      <w:spacing w:before="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4C1EC6"/>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4C1EC6"/>
    <w:pPr>
      <w:numPr>
        <w:numId w:val="4"/>
      </w:numPr>
      <w:spacing w:before="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4C1EC6"/>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4C1EC6"/>
    <w:pPr>
      <w:numPr>
        <w:numId w:val="5"/>
      </w:numPr>
      <w:spacing w:before="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4C1EC6"/>
    <w:rPr>
      <w:rFonts w:ascii="Tahoma" w:eastAsiaTheme="minorEastAsia" w:hAnsi="Tahoma" w:cs="Tahoma"/>
      <w:color w:val="000000" w:themeColor="text1"/>
      <w:kern w:val="2"/>
      <w:sz w:val="23"/>
      <w:szCs w:val="23"/>
      <w:lang w:eastAsia="zh-CN"/>
      <w14:ligatures w14:val="standardContextual"/>
    </w:rPr>
  </w:style>
  <w:style w:type="paragraph" w:customStyle="1" w:styleId="AddressText">
    <w:name w:val="Address Text"/>
    <w:basedOn w:val="Normal"/>
    <w:link w:val="AddressTextChar"/>
    <w:qFormat/>
    <w:rsid w:val="00E35E90"/>
    <w:pPr>
      <w:spacing w:before="0"/>
      <w:ind w:left="4320"/>
      <w:jc w:val="left"/>
    </w:pPr>
  </w:style>
  <w:style w:type="character" w:customStyle="1" w:styleId="AddressTextChar">
    <w:name w:val="Address Text Char"/>
    <w:basedOn w:val="DefaultParagraphFont"/>
    <w:link w:val="AddressText"/>
    <w:rsid w:val="00E35E90"/>
    <w:rPr>
      <w:rFonts w:ascii="Tahoma" w:eastAsiaTheme="minorEastAsia" w:hAnsi="Tahoma"/>
      <w:color w:val="000000" w:themeColor="text1"/>
      <w:kern w:val="2"/>
      <w:sz w:val="23"/>
      <w:szCs w:val="23"/>
      <w:lang w:eastAsia="zh-CN"/>
      <w14:ligatures w14:val="standardContextual"/>
    </w:rPr>
  </w:style>
  <w:style w:type="paragraph" w:styleId="List">
    <w:name w:val="List"/>
    <w:basedOn w:val="Normal"/>
    <w:uiPriority w:val="99"/>
    <w:semiHidden/>
    <w:unhideWhenUsed/>
    <w:rsid w:val="004C1EC6"/>
    <w:pPr>
      <w:ind w:left="360" w:hanging="360"/>
      <w:contextualSpacing/>
    </w:pPr>
  </w:style>
  <w:style w:type="paragraph" w:styleId="TOC4">
    <w:name w:val="toc 4"/>
    <w:basedOn w:val="Normal"/>
    <w:next w:val="Normal"/>
    <w:autoRedefine/>
    <w:uiPriority w:val="39"/>
    <w:unhideWhenUsed/>
    <w:rsid w:val="00DF557E"/>
    <w:pPr>
      <w:spacing w:after="100"/>
      <w:ind w:left="690"/>
    </w:pPr>
  </w:style>
  <w:style w:type="paragraph" w:customStyle="1" w:styleId="TextNormalTableBody2">
    <w:name w:val="Text (Normal Table Body 2"/>
    <w:basedOn w:val="TextNormalTableBody"/>
    <w:qFormat/>
    <w:rsid w:val="00E35E90"/>
    <w:pPr>
      <w:jc w:val="left"/>
    </w:pPr>
  </w:style>
  <w:style w:type="paragraph" w:customStyle="1" w:styleId="Introduction">
    <w:name w:val="Introduction"/>
    <w:next w:val="Normal"/>
    <w:autoRedefine/>
    <w:qFormat/>
    <w:rsid w:val="004C1EC6"/>
    <w:pPr>
      <w:widowControl w:val="0"/>
      <w:autoSpaceDE w:val="0"/>
      <w:autoSpaceDN w:val="0"/>
      <w:spacing w:before="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styleId="NormalWeb">
    <w:name w:val="Normal (Web)"/>
    <w:basedOn w:val="Normal"/>
    <w:uiPriority w:val="99"/>
    <w:semiHidden/>
    <w:unhideWhenUsed/>
    <w:rsid w:val="004C1EC6"/>
    <w:rPr>
      <w:rFonts w:ascii="Times New Roman" w:eastAsiaTheme="minorHAnsi" w:hAnsi="Times New Roman" w:cs="Times New Roman"/>
      <w:sz w:val="24"/>
      <w:szCs w:val="24"/>
    </w:rPr>
  </w:style>
  <w:style w:type="table" w:styleId="TableGrid">
    <w:name w:val="Table Grid"/>
    <w:basedOn w:val="TableNormal"/>
    <w:uiPriority w:val="59"/>
    <w:rsid w:val="004C1EC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4C1EC6"/>
    <w:pPr>
      <w:spacing w:before="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Address">
    <w:name w:val="Address"/>
    <w:next w:val="Normal"/>
    <w:link w:val="AddressChar"/>
    <w:autoRedefine/>
    <w:qFormat/>
    <w:rsid w:val="004C1EC6"/>
    <w:pPr>
      <w:spacing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4C1EC6"/>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4C1EC6"/>
    <w:pPr>
      <w:spacing w:before="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4C1EC6"/>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C1EC6"/>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4C1EC6"/>
    <w:rPr>
      <w:vertAlign w:val="superscript"/>
    </w:rPr>
  </w:style>
  <w:style w:type="paragraph" w:customStyle="1" w:styleId="BodyTextTableBody">
    <w:name w:val="Body Text (Table Body)"/>
    <w:next w:val="Normal"/>
    <w:autoRedefine/>
    <w:qFormat/>
    <w:rsid w:val="004C1EC6"/>
    <w:pPr>
      <w:widowControl w:val="0"/>
      <w:spacing w:before="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4C1E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1351">
      <w:bodyDiv w:val="1"/>
      <w:marLeft w:val="0"/>
      <w:marRight w:val="0"/>
      <w:marTop w:val="0"/>
      <w:marBottom w:val="0"/>
      <w:divBdr>
        <w:top w:val="none" w:sz="0" w:space="0" w:color="auto"/>
        <w:left w:val="none" w:sz="0" w:space="0" w:color="auto"/>
        <w:bottom w:val="none" w:sz="0" w:space="0" w:color="auto"/>
        <w:right w:val="none" w:sz="0" w:space="0" w:color="auto"/>
      </w:divBdr>
    </w:div>
    <w:div w:id="764764654">
      <w:bodyDiv w:val="1"/>
      <w:marLeft w:val="0"/>
      <w:marRight w:val="0"/>
      <w:marTop w:val="0"/>
      <w:marBottom w:val="0"/>
      <w:divBdr>
        <w:top w:val="none" w:sz="0" w:space="0" w:color="auto"/>
        <w:left w:val="none" w:sz="0" w:space="0" w:color="auto"/>
        <w:bottom w:val="none" w:sz="0" w:space="0" w:color="auto"/>
        <w:right w:val="none" w:sz="0" w:space="0" w:color="auto"/>
      </w:divBdr>
    </w:div>
    <w:div w:id="920680603">
      <w:bodyDiv w:val="1"/>
      <w:marLeft w:val="0"/>
      <w:marRight w:val="0"/>
      <w:marTop w:val="0"/>
      <w:marBottom w:val="0"/>
      <w:divBdr>
        <w:top w:val="none" w:sz="0" w:space="0" w:color="auto"/>
        <w:left w:val="none" w:sz="0" w:space="0" w:color="auto"/>
        <w:bottom w:val="none" w:sz="0" w:space="0" w:color="auto"/>
        <w:right w:val="none" w:sz="0" w:space="0" w:color="auto"/>
      </w:divBdr>
    </w:div>
    <w:div w:id="1491827241">
      <w:bodyDiv w:val="1"/>
      <w:marLeft w:val="0"/>
      <w:marRight w:val="0"/>
      <w:marTop w:val="0"/>
      <w:marBottom w:val="0"/>
      <w:divBdr>
        <w:top w:val="none" w:sz="0" w:space="0" w:color="auto"/>
        <w:left w:val="none" w:sz="0" w:space="0" w:color="auto"/>
        <w:bottom w:val="none" w:sz="0" w:space="0" w:color="auto"/>
        <w:right w:val="none" w:sz="0" w:space="0" w:color="auto"/>
      </w:divBdr>
    </w:div>
    <w:div w:id="1598295637">
      <w:bodyDiv w:val="1"/>
      <w:marLeft w:val="0"/>
      <w:marRight w:val="0"/>
      <w:marTop w:val="0"/>
      <w:marBottom w:val="0"/>
      <w:divBdr>
        <w:top w:val="none" w:sz="0" w:space="0" w:color="auto"/>
        <w:left w:val="none" w:sz="0" w:space="0" w:color="auto"/>
        <w:bottom w:val="none" w:sz="0" w:space="0" w:color="auto"/>
        <w:right w:val="none" w:sz="0" w:space="0" w:color="auto"/>
      </w:divBdr>
    </w:div>
    <w:div w:id="16741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2/chapter-IV/subchapter-C/part-440/subpart-A/section-440.169" TargetMode="External"/><Relationship Id="rId18" Type="http://schemas.openxmlformats.org/officeDocument/2006/relationships/hyperlink" Target="https://revisor.mo.gov/main/OneSection.aspx?section=630.005" TargetMode="External"/><Relationship Id="rId26" Type="http://schemas.openxmlformats.org/officeDocument/2006/relationships/hyperlink" Target="https://www.ecfr.gov/current/title-45/subtitle-A/subchapter-A/part-92?toc=1" TargetMode="External"/><Relationship Id="rId39" Type="http://schemas.openxmlformats.org/officeDocument/2006/relationships/hyperlink" Target="https://www.ecfr.gov/current/title-42/chapter-IV/subchapter-C/part-441/subpart-G/section-441.301" TargetMode="External"/><Relationship Id="rId21" Type="http://schemas.openxmlformats.org/officeDocument/2006/relationships/hyperlink" Target="https://dmh.mo.gov/dev-disabilities/service-providers" TargetMode="External"/><Relationship Id="rId34" Type="http://schemas.openxmlformats.org/officeDocument/2006/relationships/hyperlink" Target="https://mydss.mo.gov/media/pdf/healthy-children-and-youth" TargetMode="External"/><Relationship Id="rId42" Type="http://schemas.openxmlformats.org/officeDocument/2006/relationships/hyperlink" Target="https://dmh.mo.gov/constituent-services/constituent-rights" TargetMode="External"/><Relationship Id="rId47" Type="http://schemas.openxmlformats.org/officeDocument/2006/relationships/hyperlink" Target="https://dmh.mo.gov/dev-disabilities/value-based-payments" TargetMode="External"/><Relationship Id="rId50" Type="http://schemas.openxmlformats.org/officeDocument/2006/relationships/hyperlink" Target="https://wpc-edi.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current/title-42/chapter-IV/subchapter-C/part-440/subpart-A/section-440.169" TargetMode="External"/><Relationship Id="rId17" Type="http://schemas.openxmlformats.org/officeDocument/2006/relationships/hyperlink" Target="https://s1.sos.mo.gov/adrules/csr/current/9csr/9csr" TargetMode="External"/><Relationship Id="rId25" Type="http://schemas.openxmlformats.org/officeDocument/2006/relationships/hyperlink" Target="https://www.ecfr.gov/current/title-42/chapter-IV/subchapter-C/part-434/subpart-A/section-434.6" TargetMode="External"/><Relationship Id="rId33" Type="http://schemas.openxmlformats.org/officeDocument/2006/relationships/hyperlink" Target="https://dmh.mo.gov/dev-disabilities/case-mgmt-providers" TargetMode="External"/><Relationship Id="rId38" Type="http://schemas.openxmlformats.org/officeDocument/2006/relationships/hyperlink" Target="https://dmh.mo.gov/dev-disabilities/manuals" TargetMode="External"/><Relationship Id="rId46" Type="http://schemas.openxmlformats.org/officeDocument/2006/relationships/hyperlink" Target="https://dss.mo.gov/dss_map/" TargetMode="External"/><Relationship Id="rId2" Type="http://schemas.openxmlformats.org/officeDocument/2006/relationships/numbering" Target="numbering.xml"/><Relationship Id="rId16" Type="http://schemas.openxmlformats.org/officeDocument/2006/relationships/hyperlink" Target="https://s1.sos.mo.gov/adrules/csr/current/9csr/9csr" TargetMode="External"/><Relationship Id="rId20" Type="http://schemas.openxmlformats.org/officeDocument/2006/relationships/hyperlink" Target="https://mydss.mo.gov/media/pdf/targeted-case-management-individuals-developmental-disabilities-0" TargetMode="External"/><Relationship Id="rId29" Type="http://schemas.openxmlformats.org/officeDocument/2006/relationships/hyperlink" Target="https://mydss.mo.gov/media/pdf/developmental-disabilities-waiver-program-manual" TargetMode="External"/><Relationship Id="rId41" Type="http://schemas.openxmlformats.org/officeDocument/2006/relationships/hyperlink" Target="https://dmh.mo.gov/media/pdf/knowing-your-rights-guide-individuals-developmental-disabilities-understanding-rights-and"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h.mo.gov/dev-disabilities" TargetMode="External"/><Relationship Id="rId24" Type="http://schemas.openxmlformats.org/officeDocument/2006/relationships/hyperlink" Target="https://www.ecfr.gov/current/title-42/chapter-IV/subchapter-C/part-447/subpart-A/section-447.10" TargetMode="External"/><Relationship Id="rId32" Type="http://schemas.openxmlformats.org/officeDocument/2006/relationships/hyperlink" Target="https://dmh.mo.gov/media/pdf/targeted-contract-services" TargetMode="External"/><Relationship Id="rId37" Type="http://schemas.openxmlformats.org/officeDocument/2006/relationships/hyperlink" Target="https://www.ecfr.gov/current/title-42/chapter-IV/subchapter-C/part-441/subpart-G/section-441.301" TargetMode="External"/><Relationship Id="rId40" Type="http://schemas.openxmlformats.org/officeDocument/2006/relationships/hyperlink" Target="https://mydss.mo.gov/media/pdf/developmental-disabilities-waiver-program-manual" TargetMode="External"/><Relationship Id="rId45" Type="http://schemas.openxmlformats.org/officeDocument/2006/relationships/hyperlink" Target="https://dmh.mo.gov/dev-disabilities/regional-offices" TargetMode="External"/><Relationship Id="rId53" Type="http://schemas.openxmlformats.org/officeDocument/2006/relationships/hyperlink" Target="https://www.cms.gov/medicare/cms-forms/cms-forms/downloads/cms1500.pdf" TargetMode="External"/><Relationship Id="rId5" Type="http://schemas.openxmlformats.org/officeDocument/2006/relationships/webSettings" Target="webSettings.xml"/><Relationship Id="rId15" Type="http://schemas.openxmlformats.org/officeDocument/2006/relationships/hyperlink" Target="https://www.ssa.gov/OP_Home/ssact/title19/1915.htm" TargetMode="External"/><Relationship Id="rId23" Type="http://schemas.openxmlformats.org/officeDocument/2006/relationships/hyperlink" Target="https://mmac.mo.gov/providers/provider-enrollment/" TargetMode="External"/><Relationship Id="rId28" Type="http://schemas.openxmlformats.org/officeDocument/2006/relationships/hyperlink" Target="https://www.sos.mo.gov/cmsimages/adrules/csr/current/9csr/9c45-3.pdf" TargetMode="External"/><Relationship Id="rId36" Type="http://schemas.openxmlformats.org/officeDocument/2006/relationships/hyperlink" Target="https://mydss.mo.gov/mhd/waiver-programs" TargetMode="External"/><Relationship Id="rId49" Type="http://schemas.openxmlformats.org/officeDocument/2006/relationships/hyperlink" Target="https://s1.sos.mo.gov/adrules/csr/current/13csr/13csr" TargetMode="External"/><Relationship Id="rId10" Type="http://schemas.openxmlformats.org/officeDocument/2006/relationships/image" Target="media/image1.png"/><Relationship Id="rId19" Type="http://schemas.openxmlformats.org/officeDocument/2006/relationships/hyperlink" Target="https://www.sos.mo.gov/CMSImages/AdRules/csr/current/9csr/9c45-2.pdf" TargetMode="External"/><Relationship Id="rId31" Type="http://schemas.openxmlformats.org/officeDocument/2006/relationships/hyperlink" Target="https://www.sos.mo.gov/cmsimages/adrules/csr/current/9csr/9c10-5.pdf" TargetMode="External"/><Relationship Id="rId44" Type="http://schemas.openxmlformats.org/officeDocument/2006/relationships/hyperlink" Target="https://dmh.mo.gov/dev-disabilities/regional-offices" TargetMode="External"/><Relationship Id="rId52" Type="http://schemas.openxmlformats.org/officeDocument/2006/relationships/hyperlink" Target="https://www.emomed.com/public/publicdocs/D.0%20Companion%20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fr.gov/current/title-42/chapter-IV/subchapter-C/part-441/subpart-A/section-441.18" TargetMode="External"/><Relationship Id="rId22" Type="http://schemas.openxmlformats.org/officeDocument/2006/relationships/hyperlink" Target="https://dmh.mo.gov/dev-disabilities/service-providers" TargetMode="External"/><Relationship Id="rId27" Type="http://schemas.openxmlformats.org/officeDocument/2006/relationships/hyperlink" Target="https://www.ecfr.gov/current/title-42/chapter-IV/subchapter-G/part-483/subpart-I/section-483.430" TargetMode="External"/><Relationship Id="rId30" Type="http://schemas.openxmlformats.org/officeDocument/2006/relationships/hyperlink" Target="https://dmh.mo.gov/media/pdf/targeted-contract-services" TargetMode="External"/><Relationship Id="rId35" Type="http://schemas.openxmlformats.org/officeDocument/2006/relationships/hyperlink" Target="https://mydss.mo.gov/media/pdf/developmental-disabilities-waiver-program-manual" TargetMode="External"/><Relationship Id="rId43" Type="http://schemas.openxmlformats.org/officeDocument/2006/relationships/hyperlink" Target="https://dmh.mo.gov/dev-disabilities/regional-offices" TargetMode="External"/><Relationship Id="rId48" Type="http://schemas.openxmlformats.org/officeDocument/2006/relationships/hyperlink" Target="https://s1.sos.mo.gov/adrules/csr/current/13csr/13csr"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emomed.com/public/publicdocs/5010%20Companion%20Guide.pdf"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63E64"/>
      </a:hlink>
      <a:folHlink>
        <a:srgbClr val="163E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04E0B-FD37-4E45-86E8-A8FBF3F5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31</Pages>
  <Words>9916</Words>
  <Characters>62427</Characters>
  <Application>Microsoft Office Word</Application>
  <DocSecurity>8</DocSecurity>
  <Lines>520</Lines>
  <Paragraphs>144</Paragraphs>
  <ScaleCrop>false</ScaleCrop>
  <HeadingPairs>
    <vt:vector size="2" baseType="variant">
      <vt:variant>
        <vt:lpstr>Title</vt:lpstr>
      </vt:variant>
      <vt:variant>
        <vt:i4>1</vt:i4>
      </vt:variant>
    </vt:vector>
  </HeadingPairs>
  <TitlesOfParts>
    <vt:vector size="1" baseType="lpstr">
      <vt:lpstr>MO HealthNet Targeted Case Management for Individuals with Developmental Disabilities Manual</vt:lpstr>
    </vt:vector>
  </TitlesOfParts>
  <Manager>Department of Social Services</Manager>
  <Company>State of Missouri</Company>
  <LinksUpToDate>false</LinksUpToDate>
  <CharactersWithSpaces>72199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Targeted Case Management for Individuals with Developmental Disabilities Manual</dc:title>
  <dc:subject/>
  <dc:creator>MO HealthNet</dc:creator>
  <cp:keywords>MO HealthNet Targeted Case Management for Individuals with Developmental Disabilities Manual</cp:keywords>
  <dc:description/>
  <cp:lastModifiedBy>Peanick, Julie</cp:lastModifiedBy>
  <cp:revision>2</cp:revision>
  <cp:lastPrinted>2024-11-19T14:14:00Z</cp:lastPrinted>
  <dcterms:created xsi:type="dcterms:W3CDTF">2026-04-07T14:20:00Z</dcterms:created>
  <dcterms:modified xsi:type="dcterms:W3CDTF">2026-04-07T14:20:00Z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658f782c3d1410645acfdaeac9c075c8e0b7bf761eaa79eb38006ad2ea8d4a36</vt:lpwstr>
  </property>
</Properties>
</file>