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6A4A468A" w:rsidR="004C5767" w:rsidRPr="008859E1" w:rsidRDefault="004C5767" w:rsidP="00D27533">
      <w:pPr>
        <w:pStyle w:val="tbody"/>
        <w:rPr>
          <w:b w:val="0"/>
          <w:bCs/>
        </w:rPr>
      </w:pPr>
      <w:r w:rsidRPr="00C02553">
        <w:t>Drug/Drug Class:</w:t>
      </w:r>
      <w:r w:rsidR="003B4820">
        <w:t xml:space="preserve"> </w:t>
      </w:r>
      <w:proofErr w:type="spellStart"/>
      <w:r w:rsidR="00795669" w:rsidRPr="00795669">
        <w:rPr>
          <w:b w:val="0"/>
          <w:bCs/>
        </w:rPr>
        <w:t>Givlaari</w:t>
      </w:r>
      <w:proofErr w:type="spellEnd"/>
      <w:r w:rsidR="00795669" w:rsidRPr="00795669">
        <w:rPr>
          <w:b w:val="0"/>
          <w:bCs/>
        </w:rPr>
        <w:t xml:space="preserve"> Clinical Edit</w:t>
      </w:r>
    </w:p>
    <w:p w14:paraId="7AD7FFCE" w14:textId="45AFB0ED" w:rsidR="004C5767" w:rsidRPr="00C02553" w:rsidRDefault="004C5767" w:rsidP="00D27533">
      <w:pPr>
        <w:pStyle w:val="tbody"/>
      </w:pPr>
      <w:r w:rsidRPr="00C02553">
        <w:t xml:space="preserve">First Implementation Date: </w:t>
      </w:r>
      <w:r w:rsidR="003A7756" w:rsidRPr="003A7756">
        <w:rPr>
          <w:b w:val="0"/>
          <w:bCs/>
        </w:rPr>
        <w:t>July 30, 2020</w:t>
      </w:r>
    </w:p>
    <w:p w14:paraId="4B7D760D" w14:textId="00342F06" w:rsidR="004C5767" w:rsidRPr="00D232D9" w:rsidRDefault="00D95E68" w:rsidP="15EB50BA">
      <w:pPr>
        <w:pStyle w:val="tbody"/>
        <w:rPr>
          <w:b w:val="0"/>
        </w:rPr>
      </w:pPr>
      <w:r>
        <w:t>Proposed</w:t>
      </w:r>
      <w:r w:rsidR="004C5767">
        <w:t xml:space="preserve"> Date:</w:t>
      </w:r>
      <w:r w:rsidR="00065C22">
        <w:t xml:space="preserve"> </w:t>
      </w:r>
      <w:r w:rsidR="00B00EDC">
        <w:rPr>
          <w:b w:val="0"/>
        </w:rPr>
        <w:t>April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00235223" w:rsidR="004C5767" w:rsidRPr="00D27533" w:rsidRDefault="004C5767" w:rsidP="00D27533">
      <w:pPr>
        <w:pStyle w:val="tbody"/>
        <w:rPr>
          <w:b w:val="0"/>
          <w:bCs/>
          <w:spacing w:val="-3"/>
        </w:rPr>
      </w:pPr>
      <w:r w:rsidRPr="00C02553">
        <w:t xml:space="preserve">Criteria Status: </w:t>
      </w:r>
      <w:r w:rsidR="00566BE4" w:rsidRPr="00941B39">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5FF99228" w:rsidR="00D47996" w:rsidRDefault="79EEA449" w:rsidP="00696E3A">
      <w:r>
        <w:t>Ensure appropriate utilization and control of</w:t>
      </w:r>
      <w:r w:rsidR="00A463B4">
        <w:t xml:space="preserve"> </w:t>
      </w:r>
      <w:r w:rsidR="00A463B4" w:rsidRPr="00DB083D">
        <w:rPr>
          <w:rFonts w:cs="Arial"/>
          <w:spacing w:val="-3"/>
        </w:rPr>
        <w:t>Givlaari</w:t>
      </w:r>
      <w:r w:rsidR="00A463B4">
        <w:rPr>
          <w:rFonts w:cs="Arial"/>
          <w:spacing w:val="-3"/>
          <w:vertAlign w:val="superscript"/>
        </w:rPr>
        <w:t>®</w:t>
      </w:r>
      <w:r w:rsidR="00A463B4">
        <w:rPr>
          <w:rFonts w:cs="Arial"/>
          <w:spacing w:val="-3"/>
        </w:rPr>
        <w:t xml:space="preserve"> (givosiran)</w:t>
      </w:r>
      <w:r w:rsidR="00D47996">
        <w:t xml:space="preserve">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6F069786" w14:textId="77777777" w:rsidR="00D331CC" w:rsidRDefault="00D331CC" w:rsidP="00D331CC">
      <w:pPr>
        <w:pStyle w:val="Header"/>
        <w:rPr>
          <w:rFonts w:cs="Arial"/>
          <w:spacing w:val="-3"/>
          <w:sz w:val="20"/>
        </w:rPr>
      </w:pPr>
      <w:r w:rsidRPr="00403D0D">
        <w:rPr>
          <w:rFonts w:cs="Arial"/>
          <w:spacing w:val="-3"/>
          <w:sz w:val="20"/>
        </w:rPr>
        <w:t>Givlaari</w:t>
      </w:r>
      <w:r>
        <w:rPr>
          <w:rFonts w:cs="Arial"/>
          <w:spacing w:val="-3"/>
          <w:sz w:val="20"/>
          <w:vertAlign w:val="superscript"/>
        </w:rPr>
        <w:t>®</w:t>
      </w:r>
      <w:r w:rsidRPr="00403D0D">
        <w:rPr>
          <w:rFonts w:cs="Arial"/>
          <w:spacing w:val="-3"/>
          <w:sz w:val="20"/>
        </w:rPr>
        <w:t xml:space="preserve"> (givosiran)</w:t>
      </w:r>
      <w:r>
        <w:rPr>
          <w:rFonts w:cs="Arial"/>
          <w:spacing w:val="-3"/>
          <w:sz w:val="20"/>
        </w:rPr>
        <w:t xml:space="preserve"> was approved by the FDA in November 2019 for the treatment of acute hepatic porphyria (AHP) in adults. </w:t>
      </w:r>
      <w:r w:rsidRPr="00403D0D">
        <w:rPr>
          <w:rFonts w:cs="Arial"/>
          <w:spacing w:val="-3"/>
          <w:sz w:val="20"/>
        </w:rPr>
        <w:t xml:space="preserve">Porphyria refers to a group of at least 8 inherited metabolic </w:t>
      </w:r>
      <w:r w:rsidRPr="00F4554B">
        <w:rPr>
          <w:rFonts w:cs="Arial"/>
          <w:spacing w:val="-3"/>
          <w:sz w:val="20"/>
        </w:rPr>
        <w:t>disorders that arise because of a malfunction in the synthesis of heme, which is essential for the transport of oxygen to cells in the body. There are two general categories of porphyria – erythropoietic porphyria, where pathway intermediates originate in the bone marrow and are transported through the bloodstream, and hepatic porphyria, where they accumulate in the liver. AHP is comprised of four types of porphyrias: acute intermittent porphyria, hereditary coproporphyria, variegate porphyria and ALA dehydratase-deficiency porphyria. Symptoms of AHP vary widely but typically occur as intermittent attacks usually involving the nervous system, which may be life-threatening due to complications</w:t>
      </w:r>
      <w:r w:rsidRPr="00403D0D">
        <w:rPr>
          <w:rFonts w:cs="Arial"/>
          <w:spacing w:val="-3"/>
          <w:sz w:val="20"/>
        </w:rPr>
        <w:t xml:space="preserve"> such as seizures or paralysis</w:t>
      </w:r>
      <w:r>
        <w:rPr>
          <w:rFonts w:cs="Arial"/>
          <w:spacing w:val="-3"/>
          <w:sz w:val="20"/>
        </w:rPr>
        <w:t xml:space="preserve">. </w:t>
      </w:r>
      <w:r w:rsidRPr="00403D0D">
        <w:rPr>
          <w:rFonts w:cs="Arial"/>
          <w:spacing w:val="-3"/>
          <w:sz w:val="20"/>
        </w:rPr>
        <w:t>Approximately 20% of patients with recurrent symptoms develop chronic and ongoing pain and other symptoms</w:t>
      </w:r>
      <w:r>
        <w:rPr>
          <w:rFonts w:cs="Arial"/>
          <w:spacing w:val="-3"/>
          <w:sz w:val="20"/>
        </w:rPr>
        <w:t>, and a</w:t>
      </w:r>
      <w:r w:rsidRPr="00403D0D">
        <w:rPr>
          <w:rFonts w:cs="Arial"/>
          <w:spacing w:val="-3"/>
          <w:sz w:val="20"/>
        </w:rPr>
        <w:t>pproximately 3-5% of patients have frequent attacks, defined as more than 4 attacks per year, for a period of many years</w:t>
      </w:r>
      <w:r>
        <w:t xml:space="preserve">. </w:t>
      </w:r>
      <w:r w:rsidRPr="00403D0D">
        <w:rPr>
          <w:rFonts w:cs="Arial"/>
          <w:spacing w:val="-3"/>
          <w:sz w:val="20"/>
        </w:rPr>
        <w:t>Long-term complications of AHP include hypertension, chronic kidney disease, and liver disease (including hepatocellular carcinoma)</w:t>
      </w:r>
      <w:r>
        <w:rPr>
          <w:rFonts w:cs="Arial"/>
          <w:spacing w:val="-3"/>
          <w:sz w:val="20"/>
        </w:rPr>
        <w:t xml:space="preserve">. </w:t>
      </w:r>
      <w:r w:rsidRPr="00403D0D">
        <w:rPr>
          <w:rFonts w:cs="Arial"/>
          <w:spacing w:val="-3"/>
          <w:sz w:val="20"/>
        </w:rPr>
        <w:t>Givlaari is a double-stranded small interfering RNA that causes degradation of aminolevulinate synthase 1 (</w:t>
      </w:r>
      <w:r w:rsidRPr="00F94324">
        <w:rPr>
          <w:rFonts w:cs="Arial"/>
          <w:i/>
          <w:iCs/>
          <w:spacing w:val="-3"/>
          <w:sz w:val="20"/>
        </w:rPr>
        <w:t>ALAS1</w:t>
      </w:r>
      <w:r w:rsidRPr="00403D0D">
        <w:rPr>
          <w:rFonts w:cs="Arial"/>
          <w:spacing w:val="-3"/>
          <w:sz w:val="20"/>
        </w:rPr>
        <w:t xml:space="preserve">) mRNA in hepatocytes through RNA interference, reducing the elevated levels of liver </w:t>
      </w:r>
      <w:r w:rsidRPr="00F94324">
        <w:rPr>
          <w:rFonts w:cs="Arial"/>
          <w:i/>
          <w:iCs/>
          <w:spacing w:val="-3"/>
          <w:sz w:val="20"/>
        </w:rPr>
        <w:t>ALAS1</w:t>
      </w:r>
      <w:r w:rsidRPr="00403D0D">
        <w:rPr>
          <w:rFonts w:cs="Arial"/>
          <w:spacing w:val="-3"/>
          <w:sz w:val="20"/>
        </w:rPr>
        <w:t xml:space="preserve"> mRNA. This leads to reduced circulating levels of neurotoxic intermediates aminolevulinic acid (ALA) and porphobilinogen (PBG), factors associated with attacks and other disease manifestations of AHP.</w:t>
      </w:r>
      <w:r>
        <w:rPr>
          <w:rFonts w:cs="Arial"/>
          <w:spacing w:val="-3"/>
          <w:sz w:val="20"/>
        </w:rPr>
        <w:t xml:space="preserve"> </w:t>
      </w:r>
    </w:p>
    <w:p w14:paraId="6AEFD55B" w14:textId="77777777" w:rsidR="00D331CC" w:rsidRDefault="00D331CC" w:rsidP="00D331CC">
      <w:pPr>
        <w:pStyle w:val="Header"/>
        <w:rPr>
          <w:rFonts w:cs="Arial"/>
          <w:spacing w:val="-3"/>
          <w:sz w:val="20"/>
        </w:rPr>
      </w:pPr>
    </w:p>
    <w:p w14:paraId="7ACECC9F" w14:textId="0DD8F0A2" w:rsidR="00B56DCC" w:rsidRDefault="00D331CC" w:rsidP="00D331CC">
      <w:pPr>
        <w:rPr>
          <w:rFonts w:cs="Arial"/>
          <w:spacing w:val="-3"/>
        </w:rPr>
      </w:pPr>
      <w:r w:rsidRPr="00EB655F">
        <w:rPr>
          <w:rFonts w:cs="Arial"/>
          <w:spacing w:val="-3"/>
        </w:rPr>
        <w:t xml:space="preserve">Due to the high cost and specific approved indication, MO HealthNet will impose clinical criteria to ensure appropriate utilization of </w:t>
      </w:r>
      <w:r>
        <w:rPr>
          <w:rFonts w:cs="Arial"/>
          <w:spacing w:val="-3"/>
        </w:rPr>
        <w:t>Givlaari.</w:t>
      </w:r>
    </w:p>
    <w:p w14:paraId="7D2EB454" w14:textId="77777777" w:rsidR="00D331CC" w:rsidRDefault="00D331CC" w:rsidP="00D331CC"/>
    <w:p w14:paraId="5B5260CF" w14:textId="7D3C1AB6" w:rsidR="003D4704" w:rsidRPr="00AD17B7" w:rsidRDefault="003D4704" w:rsidP="003D4704">
      <w:r>
        <w:rPr>
          <w:b/>
          <w:bCs/>
        </w:rPr>
        <w:t xml:space="preserve">Program-Specific Information: </w:t>
      </w:r>
      <w:r w:rsidR="008001DE">
        <w:t xml:space="preserve">Date Range FFS </w:t>
      </w:r>
      <w:r w:rsidR="008001DE" w:rsidRPr="00C5484C">
        <w:t>1-1-2025 to 12-31-2025</w:t>
      </w:r>
    </w:p>
    <w:tbl>
      <w:tblPr>
        <w:tblW w:w="9900" w:type="dxa"/>
        <w:tblInd w:w="-365" w:type="dxa"/>
        <w:tblLayout w:type="fixed"/>
        <w:tblLook w:val="04A0" w:firstRow="1" w:lastRow="0" w:firstColumn="1" w:lastColumn="0" w:noHBand="0" w:noVBand="1"/>
      </w:tblPr>
      <w:tblGrid>
        <w:gridCol w:w="3459"/>
        <w:gridCol w:w="1778"/>
        <w:gridCol w:w="1112"/>
        <w:gridCol w:w="1890"/>
        <w:gridCol w:w="1661"/>
      </w:tblGrid>
      <w:tr w:rsidR="00131919" w:rsidRPr="008F3889" w14:paraId="54EF98CC" w14:textId="77777777" w:rsidTr="0054442D">
        <w:tc>
          <w:tcPr>
            <w:tcW w:w="345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5A2BC72" w14:textId="77777777" w:rsidR="00131919" w:rsidRPr="008F3889" w:rsidRDefault="00131919" w:rsidP="009F59AC">
            <w:pPr>
              <w:jc w:val="center"/>
              <w:rPr>
                <w:rFonts w:cs="Arial"/>
                <w:b/>
                <w:spacing w:val="-3"/>
                <w:szCs w:val="20"/>
              </w:rPr>
            </w:pPr>
            <w:r w:rsidRPr="008F3889">
              <w:rPr>
                <w:rFonts w:cs="Arial"/>
                <w:b/>
                <w:spacing w:val="-3"/>
                <w:szCs w:val="20"/>
              </w:rPr>
              <w:t>Drug</w:t>
            </w:r>
          </w:p>
        </w:tc>
        <w:tc>
          <w:tcPr>
            <w:tcW w:w="177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F243388" w14:textId="77777777" w:rsidR="00131919" w:rsidRPr="008F3889" w:rsidRDefault="00131919" w:rsidP="009F59AC">
            <w:pPr>
              <w:jc w:val="center"/>
              <w:rPr>
                <w:rFonts w:cs="Arial"/>
                <w:b/>
                <w:spacing w:val="-3"/>
                <w:szCs w:val="20"/>
              </w:rPr>
            </w:pPr>
            <w:r>
              <w:rPr>
                <w:rFonts w:cs="Arial"/>
                <w:b/>
                <w:spacing w:val="-3"/>
                <w:szCs w:val="20"/>
              </w:rPr>
              <w:t>Participants</w:t>
            </w:r>
          </w:p>
        </w:tc>
        <w:tc>
          <w:tcPr>
            <w:tcW w:w="111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AD9EB9B" w14:textId="77777777" w:rsidR="00131919" w:rsidRPr="008F3889" w:rsidRDefault="00131919" w:rsidP="009F59AC">
            <w:pPr>
              <w:jc w:val="center"/>
              <w:rPr>
                <w:rFonts w:cs="Arial"/>
                <w:spacing w:val="-3"/>
                <w:szCs w:val="20"/>
              </w:rPr>
            </w:pPr>
            <w:r w:rsidRPr="008F3889">
              <w:rPr>
                <w:rFonts w:cs="Arial"/>
                <w:b/>
                <w:spacing w:val="-3"/>
                <w:szCs w:val="20"/>
              </w:rPr>
              <w:t>Claims</w:t>
            </w:r>
          </w:p>
        </w:tc>
        <w:tc>
          <w:tcPr>
            <w:tcW w:w="189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530753E" w14:textId="77777777" w:rsidR="00131919" w:rsidRPr="008F3889" w:rsidRDefault="00131919" w:rsidP="009F59AC">
            <w:pPr>
              <w:jc w:val="center"/>
              <w:rPr>
                <w:rFonts w:cs="Arial"/>
                <w:spacing w:val="-3"/>
                <w:szCs w:val="20"/>
              </w:rPr>
            </w:pPr>
            <w:r w:rsidRPr="008F3889">
              <w:rPr>
                <w:rFonts w:cs="Arial"/>
                <w:b/>
                <w:spacing w:val="-3"/>
                <w:szCs w:val="20"/>
              </w:rPr>
              <w:t>Spend</w:t>
            </w:r>
          </w:p>
        </w:tc>
        <w:tc>
          <w:tcPr>
            <w:tcW w:w="166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F0EC6DB" w14:textId="77777777" w:rsidR="00131919" w:rsidRPr="008F3889" w:rsidRDefault="00131919" w:rsidP="009F59AC">
            <w:pPr>
              <w:jc w:val="center"/>
              <w:rPr>
                <w:rFonts w:cs="Arial"/>
                <w:b/>
                <w:spacing w:val="-3"/>
                <w:szCs w:val="20"/>
              </w:rPr>
            </w:pPr>
            <w:r w:rsidRPr="008F3889">
              <w:rPr>
                <w:rFonts w:cs="Arial"/>
                <w:b/>
                <w:spacing w:val="-3"/>
                <w:szCs w:val="20"/>
              </w:rPr>
              <w:t>Avg Spend Per Claim</w:t>
            </w:r>
          </w:p>
        </w:tc>
      </w:tr>
      <w:tr w:rsidR="0054442D" w:rsidRPr="00993FFA" w14:paraId="4533E1F9" w14:textId="77777777" w:rsidTr="0054442D">
        <w:tc>
          <w:tcPr>
            <w:tcW w:w="3459" w:type="dxa"/>
            <w:tcBorders>
              <w:top w:val="single" w:sz="4" w:space="0" w:color="auto"/>
              <w:left w:val="single" w:sz="4" w:space="0" w:color="999999"/>
              <w:bottom w:val="single" w:sz="4" w:space="0" w:color="auto"/>
              <w:right w:val="single" w:sz="4" w:space="0" w:color="auto"/>
            </w:tcBorders>
            <w:vAlign w:val="bottom"/>
          </w:tcPr>
          <w:p w14:paraId="06C5B0C4" w14:textId="77777777" w:rsidR="0054442D" w:rsidRPr="00EB655F" w:rsidRDefault="0054442D" w:rsidP="0054442D">
            <w:pPr>
              <w:jc w:val="center"/>
              <w:rPr>
                <w:rFonts w:cs="Arial"/>
                <w:caps/>
                <w:spacing w:val="-3"/>
                <w:szCs w:val="20"/>
              </w:rPr>
            </w:pPr>
            <w:r>
              <w:rPr>
                <w:rFonts w:cs="Arial"/>
                <w:szCs w:val="20"/>
              </w:rPr>
              <w:t>GIVLAARI 189 MG/ML VIAL</w:t>
            </w:r>
          </w:p>
        </w:tc>
        <w:tc>
          <w:tcPr>
            <w:tcW w:w="1778" w:type="dxa"/>
            <w:tcBorders>
              <w:top w:val="single" w:sz="4" w:space="0" w:color="auto"/>
              <w:left w:val="single" w:sz="4" w:space="0" w:color="999999"/>
              <w:bottom w:val="single" w:sz="4" w:space="0" w:color="auto"/>
              <w:right w:val="single" w:sz="4" w:space="0" w:color="auto"/>
            </w:tcBorders>
            <w:vAlign w:val="bottom"/>
          </w:tcPr>
          <w:p w14:paraId="691AFCD5" w14:textId="58931642" w:rsidR="0054442D" w:rsidRPr="00EB655F" w:rsidRDefault="009C4EA7" w:rsidP="0054442D">
            <w:pPr>
              <w:jc w:val="center"/>
              <w:rPr>
                <w:rFonts w:cs="Arial"/>
                <w:caps/>
                <w:spacing w:val="-3"/>
                <w:szCs w:val="20"/>
              </w:rPr>
            </w:pPr>
            <w:r>
              <w:rPr>
                <w:rFonts w:cs="Arial"/>
                <w:caps/>
                <w:spacing w:val="-3"/>
                <w:szCs w:val="20"/>
              </w:rPr>
              <w:t>4</w:t>
            </w:r>
          </w:p>
        </w:tc>
        <w:tc>
          <w:tcPr>
            <w:tcW w:w="1112" w:type="dxa"/>
            <w:tcBorders>
              <w:top w:val="single" w:sz="4" w:space="0" w:color="auto"/>
              <w:left w:val="single" w:sz="4" w:space="0" w:color="999999"/>
              <w:bottom w:val="single" w:sz="4" w:space="0" w:color="auto"/>
              <w:right w:val="single" w:sz="4" w:space="0" w:color="auto"/>
            </w:tcBorders>
            <w:vAlign w:val="bottom"/>
          </w:tcPr>
          <w:p w14:paraId="4B6268F8" w14:textId="1B8D4652" w:rsidR="0054442D" w:rsidRPr="00993FFA" w:rsidRDefault="0054442D" w:rsidP="0054442D">
            <w:pPr>
              <w:jc w:val="center"/>
              <w:rPr>
                <w:rFonts w:cs="Arial"/>
                <w:spacing w:val="-3"/>
                <w:szCs w:val="20"/>
                <w:highlight w:val="yellow"/>
              </w:rPr>
            </w:pPr>
            <w:r>
              <w:rPr>
                <w:rFonts w:cs="Arial"/>
                <w:szCs w:val="20"/>
              </w:rPr>
              <w:t>41</w:t>
            </w:r>
          </w:p>
        </w:tc>
        <w:tc>
          <w:tcPr>
            <w:tcW w:w="1890" w:type="dxa"/>
            <w:tcBorders>
              <w:top w:val="single" w:sz="4" w:space="0" w:color="auto"/>
              <w:left w:val="single" w:sz="4" w:space="0" w:color="auto"/>
              <w:bottom w:val="single" w:sz="4" w:space="0" w:color="auto"/>
              <w:right w:val="single" w:sz="4" w:space="0" w:color="auto"/>
            </w:tcBorders>
            <w:vAlign w:val="bottom"/>
          </w:tcPr>
          <w:p w14:paraId="1961DA06" w14:textId="515E60DB" w:rsidR="0054442D" w:rsidRPr="00993FFA" w:rsidRDefault="0054442D" w:rsidP="0054442D">
            <w:pPr>
              <w:jc w:val="center"/>
              <w:rPr>
                <w:rFonts w:cs="Arial"/>
                <w:spacing w:val="-3"/>
                <w:szCs w:val="20"/>
                <w:highlight w:val="yellow"/>
              </w:rPr>
            </w:pPr>
            <w:r>
              <w:rPr>
                <w:rFonts w:cs="Arial"/>
                <w:szCs w:val="20"/>
              </w:rPr>
              <w:t>$2,073,040.36</w:t>
            </w:r>
          </w:p>
        </w:tc>
        <w:tc>
          <w:tcPr>
            <w:tcW w:w="1661" w:type="dxa"/>
            <w:tcBorders>
              <w:top w:val="single" w:sz="4" w:space="0" w:color="auto"/>
              <w:left w:val="single" w:sz="4" w:space="0" w:color="auto"/>
              <w:bottom w:val="single" w:sz="4" w:space="0" w:color="auto"/>
              <w:right w:val="single" w:sz="4" w:space="0" w:color="auto"/>
            </w:tcBorders>
            <w:vAlign w:val="bottom"/>
          </w:tcPr>
          <w:p w14:paraId="59F5C92E" w14:textId="7544B4BD" w:rsidR="0054442D" w:rsidRPr="00993FFA" w:rsidRDefault="0054442D" w:rsidP="0054442D">
            <w:pPr>
              <w:jc w:val="center"/>
              <w:rPr>
                <w:rFonts w:cs="Arial"/>
                <w:bCs/>
                <w:spacing w:val="-3"/>
                <w:szCs w:val="20"/>
                <w:highlight w:val="yellow"/>
              </w:rPr>
            </w:pPr>
            <w:r>
              <w:rPr>
                <w:rFonts w:cs="Arial"/>
                <w:szCs w:val="20"/>
              </w:rPr>
              <w:t>$50,561.96</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65CB9871" w:rsidR="0097028A" w:rsidRPr="0079438F" w:rsidRDefault="0097028A" w:rsidP="00696E3A">
      <w:pPr>
        <w:rPr>
          <w:b/>
        </w:rPr>
      </w:pPr>
      <w:r w:rsidRPr="00696E3A">
        <w:rPr>
          <w:b/>
          <w:bCs/>
        </w:rPr>
        <w:t>Drug class for review:</w:t>
      </w:r>
      <w:r w:rsidRPr="00C02553">
        <w:t xml:space="preserve"> </w:t>
      </w:r>
      <w:r w:rsidR="00E26795" w:rsidRPr="00E26795">
        <w:t>Givlaari</w:t>
      </w:r>
      <w:r w:rsidR="00E26795" w:rsidRPr="00BC51B7">
        <w:rPr>
          <w:vertAlign w:val="superscript"/>
        </w:rPr>
        <w:t>®</w:t>
      </w:r>
      <w:r w:rsidR="00E26795" w:rsidRPr="00E26795">
        <w:t xml:space="preserve"> (givosiran)</w:t>
      </w:r>
    </w:p>
    <w:p w14:paraId="26CFE8A0" w14:textId="599D3264"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131919" w:rsidRPr="00131919">
        <w:rPr>
          <w:rFonts w:cs="Arial"/>
          <w:szCs w:val="20"/>
        </w:rPr>
        <w:t xml:space="preserve"> </w:t>
      </w:r>
      <w:r w:rsidR="00131919">
        <w:rPr>
          <w:rFonts w:cs="Arial"/>
          <w:szCs w:val="20"/>
        </w:rPr>
        <w:t>aged 18 years or older</w:t>
      </w:r>
    </w:p>
    <w:p w14:paraId="7F2A9816" w14:textId="77777777" w:rsidR="005328B2" w:rsidRDefault="005328B2" w:rsidP="005328B2">
      <w:pPr>
        <w:rPr>
          <w:rFonts w:cs="Arial"/>
          <w:szCs w:val="20"/>
        </w:rPr>
      </w:pPr>
    </w:p>
    <w:p w14:paraId="27FA4511" w14:textId="77777777" w:rsidR="007B6644" w:rsidRDefault="007B6644" w:rsidP="005328B2">
      <w:pPr>
        <w:rPr>
          <w:rFonts w:cs="Arial"/>
          <w:szCs w:val="20"/>
        </w:rPr>
      </w:pPr>
    </w:p>
    <w:p w14:paraId="5B6E8F4E" w14:textId="77777777" w:rsidR="007B6644" w:rsidRPr="002C2C41" w:rsidRDefault="007B6644" w:rsidP="005328B2">
      <w:pPr>
        <w:rPr>
          <w:rFonts w:cs="Arial"/>
          <w:szCs w:val="20"/>
        </w:rPr>
      </w:pPr>
    </w:p>
    <w:p w14:paraId="6413C035" w14:textId="4FE30429" w:rsidR="00AE77DB" w:rsidRPr="00C02553" w:rsidRDefault="00AE77DB" w:rsidP="0097028A">
      <w:pPr>
        <w:pStyle w:val="Heading1"/>
        <w:rPr>
          <w:lang w:val="en-US"/>
        </w:rPr>
      </w:pPr>
      <w:r w:rsidRPr="00C02553">
        <w:rPr>
          <w:lang w:val="en-US"/>
        </w:rPr>
        <w:lastRenderedPageBreak/>
        <w:t>Approval Criteria</w:t>
      </w:r>
    </w:p>
    <w:p w14:paraId="4BAA1D7A" w14:textId="77777777" w:rsidR="00635DDB" w:rsidRPr="00696E3A" w:rsidRDefault="00635DDB" w:rsidP="00635DDB">
      <w:pPr>
        <w:rPr>
          <w:b/>
          <w:bCs/>
        </w:rPr>
      </w:pPr>
      <w:r w:rsidRPr="00696E3A">
        <w:rPr>
          <w:b/>
          <w:bCs/>
        </w:rPr>
        <w:t>Initial Therapy:</w:t>
      </w:r>
    </w:p>
    <w:p w14:paraId="71DC7141" w14:textId="77777777" w:rsidR="00E12AFB" w:rsidRPr="00BC51B7" w:rsidRDefault="00E12AFB" w:rsidP="00BC51B7">
      <w:pPr>
        <w:pStyle w:val="ListParagraph"/>
      </w:pPr>
      <w:r w:rsidRPr="00BC51B7">
        <w:t>Must meet all of the following:</w:t>
      </w:r>
    </w:p>
    <w:p w14:paraId="30F1C007" w14:textId="77777777" w:rsidR="00E12AFB" w:rsidRPr="00BC51B7" w:rsidRDefault="00E12AFB" w:rsidP="0037528A">
      <w:pPr>
        <w:pStyle w:val="ListParagraph"/>
        <w:numPr>
          <w:ilvl w:val="1"/>
          <w:numId w:val="6"/>
        </w:numPr>
      </w:pPr>
      <w:r w:rsidRPr="00BC51B7">
        <w:t>Participant aged 18 years or older;</w:t>
      </w:r>
    </w:p>
    <w:p w14:paraId="4560984C" w14:textId="77777777" w:rsidR="00E12AFB" w:rsidRPr="00BC51B7" w:rsidRDefault="00E12AFB" w:rsidP="0037528A">
      <w:pPr>
        <w:pStyle w:val="ListParagraph"/>
        <w:numPr>
          <w:ilvl w:val="1"/>
          <w:numId w:val="6"/>
        </w:numPr>
      </w:pPr>
      <w:r w:rsidRPr="00BC51B7">
        <w:t>Prescribed by or in consultation with a hepatologist, gastroenterologist, or other specialist in the treated disease state;</w:t>
      </w:r>
    </w:p>
    <w:p w14:paraId="25BF6797" w14:textId="77777777" w:rsidR="00E12AFB" w:rsidRPr="00BC51B7" w:rsidRDefault="00E12AFB" w:rsidP="0037528A">
      <w:pPr>
        <w:pStyle w:val="ListParagraph"/>
        <w:numPr>
          <w:ilvl w:val="1"/>
          <w:numId w:val="6"/>
        </w:numPr>
      </w:pPr>
      <w:r w:rsidRPr="00BC51B7">
        <w:t>Documented diagnosis of acute hepatic porphyria (AHP);</w:t>
      </w:r>
    </w:p>
    <w:p w14:paraId="3AF5C660" w14:textId="77777777" w:rsidR="00E12AFB" w:rsidRPr="00BC51B7" w:rsidRDefault="00E12AFB" w:rsidP="0037528A">
      <w:pPr>
        <w:pStyle w:val="ListParagraph"/>
        <w:numPr>
          <w:ilvl w:val="1"/>
          <w:numId w:val="6"/>
        </w:numPr>
      </w:pPr>
      <w:r w:rsidRPr="00BC51B7">
        <w:t>Documentation of all of the following random (spot) urine tests used to verify AHP diagnosis:</w:t>
      </w:r>
    </w:p>
    <w:p w14:paraId="01C82566" w14:textId="77777777" w:rsidR="00E12AFB" w:rsidRPr="00BC51B7" w:rsidRDefault="00E12AFB" w:rsidP="0037528A">
      <w:pPr>
        <w:pStyle w:val="ListParagraph"/>
        <w:numPr>
          <w:ilvl w:val="2"/>
          <w:numId w:val="6"/>
        </w:numPr>
      </w:pPr>
      <w:r w:rsidRPr="00BC51B7">
        <w:t>Porphobilinogen (PBG);</w:t>
      </w:r>
    </w:p>
    <w:p w14:paraId="764F6955" w14:textId="77777777" w:rsidR="00E12AFB" w:rsidRPr="00BC51B7" w:rsidRDefault="00E12AFB" w:rsidP="0037528A">
      <w:pPr>
        <w:pStyle w:val="ListParagraph"/>
        <w:numPr>
          <w:ilvl w:val="2"/>
          <w:numId w:val="6"/>
        </w:numPr>
      </w:pPr>
      <w:r w:rsidRPr="00BC51B7">
        <w:t>Delta-aminolevulinic acid (ALA);</w:t>
      </w:r>
    </w:p>
    <w:p w14:paraId="5F88D352" w14:textId="77777777" w:rsidR="00E12AFB" w:rsidRPr="00BC51B7" w:rsidRDefault="00E12AFB" w:rsidP="0037528A">
      <w:pPr>
        <w:pStyle w:val="ListParagraph"/>
        <w:numPr>
          <w:ilvl w:val="2"/>
          <w:numId w:val="6"/>
        </w:numPr>
      </w:pPr>
      <w:r w:rsidRPr="00BC51B7">
        <w:t>Porphyrins;</w:t>
      </w:r>
    </w:p>
    <w:p w14:paraId="1F1FE1DC" w14:textId="77777777" w:rsidR="00E12AFB" w:rsidRPr="00BC51B7" w:rsidRDefault="00E12AFB" w:rsidP="0037528A">
      <w:pPr>
        <w:pStyle w:val="ListParagraph"/>
        <w:numPr>
          <w:ilvl w:val="1"/>
          <w:numId w:val="6"/>
        </w:numPr>
      </w:pPr>
      <w:r w:rsidRPr="00BC51B7">
        <w:t xml:space="preserve">Documentation of active disease defined as at least 1 porphyria attack within the past 6 months (defined by hospitalization, urgent healthcare visit, or intravenous hemin therapy); </w:t>
      </w:r>
      <w:r w:rsidRPr="00B8703C">
        <w:rPr>
          <w:b/>
          <w:bCs/>
        </w:rPr>
        <w:t>AND</w:t>
      </w:r>
    </w:p>
    <w:p w14:paraId="25286C12" w14:textId="77777777" w:rsidR="00E12AFB" w:rsidRPr="00BC51B7" w:rsidRDefault="00E12AFB" w:rsidP="0037528A">
      <w:pPr>
        <w:pStyle w:val="ListParagraph"/>
        <w:numPr>
          <w:ilvl w:val="1"/>
          <w:numId w:val="6"/>
        </w:numPr>
      </w:pPr>
      <w:r w:rsidRPr="00BC51B7">
        <w:t>Documentation of current LFTs, serum creatinine, and blood homocysteine levels.</w:t>
      </w:r>
    </w:p>
    <w:p w14:paraId="1AC6BC64" w14:textId="77777777" w:rsidR="00E12AFB" w:rsidRPr="00BC51B7" w:rsidRDefault="00E12AFB" w:rsidP="00BC51B7">
      <w:pPr>
        <w:pStyle w:val="ListParagraph"/>
      </w:pPr>
      <w:r w:rsidRPr="00BC51B7">
        <w:t>Initial approval period: 6 months</w:t>
      </w:r>
    </w:p>
    <w:p w14:paraId="1B509DCA" w14:textId="77777777" w:rsidR="00635DDB" w:rsidRPr="002C2C41" w:rsidRDefault="00635DDB" w:rsidP="00635DDB">
      <w:pPr>
        <w:rPr>
          <w:rFonts w:cs="Arial"/>
          <w:szCs w:val="20"/>
        </w:rPr>
      </w:pPr>
    </w:p>
    <w:p w14:paraId="7EC2017B" w14:textId="77777777" w:rsidR="00635DDB" w:rsidRPr="00696E3A" w:rsidRDefault="00635DDB" w:rsidP="00635DDB">
      <w:pPr>
        <w:rPr>
          <w:b/>
          <w:bCs/>
        </w:rPr>
      </w:pPr>
      <w:r w:rsidRPr="00696E3A">
        <w:rPr>
          <w:b/>
          <w:bCs/>
        </w:rPr>
        <w:t>Continuation of Therapy:</w:t>
      </w:r>
    </w:p>
    <w:p w14:paraId="711B4857" w14:textId="77777777" w:rsidR="001E23AB" w:rsidRPr="00D85214" w:rsidRDefault="001E23AB" w:rsidP="001E23AB">
      <w:pPr>
        <w:pStyle w:val="ListParagraph"/>
        <w:numPr>
          <w:ilvl w:val="0"/>
          <w:numId w:val="18"/>
        </w:numPr>
        <w:rPr>
          <w:rFonts w:cs="Arial"/>
          <w:bCs/>
          <w:szCs w:val="20"/>
        </w:rPr>
      </w:pPr>
      <w:r w:rsidRPr="00D85214">
        <w:rPr>
          <w:rFonts w:cs="Arial"/>
          <w:bCs/>
          <w:szCs w:val="20"/>
        </w:rPr>
        <w:t>Must meet all of the following:</w:t>
      </w:r>
    </w:p>
    <w:p w14:paraId="3EB319FB" w14:textId="77777777" w:rsidR="001E23AB" w:rsidRPr="00D85214" w:rsidRDefault="001E23AB" w:rsidP="001E23AB">
      <w:pPr>
        <w:pStyle w:val="ListParagraph"/>
        <w:numPr>
          <w:ilvl w:val="1"/>
          <w:numId w:val="17"/>
        </w:numPr>
        <w:ind w:left="720"/>
        <w:rPr>
          <w:rFonts w:cs="Arial"/>
          <w:szCs w:val="20"/>
        </w:rPr>
      </w:pPr>
      <w:r w:rsidRPr="49F13494">
        <w:rPr>
          <w:rFonts w:cs="Arial"/>
          <w:szCs w:val="20"/>
        </w:rPr>
        <w:t>Documentation of clinical benefit of therapy, including all of the following:</w:t>
      </w:r>
    </w:p>
    <w:p w14:paraId="77F88D12" w14:textId="77777777" w:rsidR="001E23AB" w:rsidRPr="00D85214" w:rsidRDefault="001E23AB" w:rsidP="001E23AB">
      <w:pPr>
        <w:pStyle w:val="ListParagraph"/>
        <w:numPr>
          <w:ilvl w:val="2"/>
          <w:numId w:val="17"/>
        </w:numPr>
        <w:ind w:left="1080"/>
        <w:rPr>
          <w:rFonts w:cs="Arial"/>
          <w:bCs/>
          <w:szCs w:val="20"/>
        </w:rPr>
      </w:pPr>
      <w:r w:rsidRPr="00D85214">
        <w:rPr>
          <w:rFonts w:cs="Arial"/>
          <w:bCs/>
          <w:szCs w:val="20"/>
        </w:rPr>
        <w:t>Stabilized or decreased AHP attack frequency (i.e., decreased hospitalizations, urgent healthcare visits, or hemin therapy);</w:t>
      </w:r>
    </w:p>
    <w:p w14:paraId="1548D20B" w14:textId="77777777" w:rsidR="001E23AB" w:rsidRPr="00D85214" w:rsidRDefault="001E23AB" w:rsidP="001E23AB">
      <w:pPr>
        <w:pStyle w:val="ListParagraph"/>
        <w:numPr>
          <w:ilvl w:val="2"/>
          <w:numId w:val="17"/>
        </w:numPr>
        <w:ind w:left="1080"/>
        <w:rPr>
          <w:rFonts w:cs="Arial"/>
          <w:bCs/>
          <w:szCs w:val="20"/>
        </w:rPr>
      </w:pPr>
      <w:r w:rsidRPr="00D85214">
        <w:rPr>
          <w:rFonts w:cs="Arial"/>
          <w:bCs/>
          <w:szCs w:val="20"/>
        </w:rPr>
        <w:t>Current LFTs &lt; 3 times the ULN (monthly during the first 6 months of therapy and then at least once annually);</w:t>
      </w:r>
    </w:p>
    <w:p w14:paraId="25AEB60E" w14:textId="77777777" w:rsidR="001E23AB" w:rsidRPr="00D85214" w:rsidRDefault="001E23AB" w:rsidP="001E23AB">
      <w:pPr>
        <w:pStyle w:val="ListParagraph"/>
        <w:numPr>
          <w:ilvl w:val="2"/>
          <w:numId w:val="17"/>
        </w:numPr>
        <w:ind w:left="1080"/>
        <w:rPr>
          <w:rFonts w:cs="Arial"/>
          <w:b/>
          <w:szCs w:val="20"/>
        </w:rPr>
      </w:pPr>
      <w:r w:rsidRPr="00D85214">
        <w:rPr>
          <w:rFonts w:cs="Arial"/>
          <w:bCs/>
          <w:szCs w:val="20"/>
        </w:rPr>
        <w:t xml:space="preserve">Current serum creatinine (at least once annually); </w:t>
      </w:r>
      <w:r w:rsidRPr="00D85214">
        <w:rPr>
          <w:rFonts w:cs="Arial"/>
          <w:b/>
          <w:szCs w:val="20"/>
        </w:rPr>
        <w:t>AND</w:t>
      </w:r>
    </w:p>
    <w:p w14:paraId="3A8B0A8F" w14:textId="77777777" w:rsidR="001E23AB" w:rsidRPr="00D85214" w:rsidRDefault="001E23AB" w:rsidP="001E23AB">
      <w:pPr>
        <w:pStyle w:val="ListParagraph"/>
        <w:numPr>
          <w:ilvl w:val="2"/>
          <w:numId w:val="17"/>
        </w:numPr>
        <w:ind w:left="1080"/>
        <w:rPr>
          <w:rFonts w:cs="Arial"/>
          <w:bCs/>
          <w:szCs w:val="20"/>
        </w:rPr>
      </w:pPr>
      <w:r w:rsidRPr="00D85214">
        <w:rPr>
          <w:rFonts w:cs="Arial"/>
          <w:bCs/>
          <w:szCs w:val="20"/>
        </w:rPr>
        <w:t>Current blood homocysteine levels (at least once annually).</w:t>
      </w:r>
    </w:p>
    <w:p w14:paraId="0320D0C4" w14:textId="77777777" w:rsidR="001E23AB" w:rsidRPr="00C65490" w:rsidRDefault="001E23AB" w:rsidP="001E23AB">
      <w:pPr>
        <w:pStyle w:val="ListParagraph"/>
        <w:numPr>
          <w:ilvl w:val="0"/>
          <w:numId w:val="17"/>
        </w:numPr>
        <w:jc w:val="both"/>
        <w:rPr>
          <w:rFonts w:cs="Arial"/>
          <w:bCs/>
          <w:szCs w:val="20"/>
        </w:rPr>
      </w:pPr>
      <w:r w:rsidRPr="00D85214">
        <w:rPr>
          <w:rFonts w:cs="Arial"/>
          <w:bCs/>
          <w:szCs w:val="20"/>
        </w:rPr>
        <w:t>Continuation approval period: 12 months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516D12" w:rsidRDefault="00904D7A" w:rsidP="00516D12">
      <w:pPr>
        <w:pStyle w:val="ListParagraph"/>
      </w:pPr>
      <w:r w:rsidRPr="00516D12">
        <w:t>Therapy will deny with presence of one of the following:</w:t>
      </w:r>
    </w:p>
    <w:p w14:paraId="1D97C1E5" w14:textId="7E37A748" w:rsidR="00904D7A" w:rsidRPr="005328B2" w:rsidRDefault="00904D7A" w:rsidP="001E23AB">
      <w:pPr>
        <w:pStyle w:val="ListParagraph"/>
        <w:numPr>
          <w:ilvl w:val="1"/>
          <w:numId w:val="6"/>
        </w:numPr>
      </w:pPr>
      <w:r w:rsidRPr="005328B2">
        <w:t>Any approval criteria are not met</w:t>
      </w:r>
      <w:r w:rsidR="001E23AB">
        <w:t>.</w:t>
      </w: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4B555F66" w14:textId="77777777" w:rsidR="00934AF6" w:rsidRPr="004E3570" w:rsidRDefault="00343D6B" w:rsidP="00934AF6">
      <w:pPr>
        <w:rPr>
          <w:rFonts w:cs="Arial"/>
          <w:szCs w:val="20"/>
        </w:rPr>
      </w:pPr>
      <w:r w:rsidRPr="00696E3A">
        <w:rPr>
          <w:b/>
          <w:bCs/>
        </w:rPr>
        <w:t>Default Approval Period:</w:t>
      </w:r>
      <w:r w:rsidR="00973BD6">
        <w:t xml:space="preserve"> </w:t>
      </w:r>
      <w:r w:rsidR="00934AF6">
        <w:rPr>
          <w:rFonts w:cs="Arial"/>
          <w:szCs w:val="20"/>
        </w:rPr>
        <w:t>6 months</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281442EA" w14:textId="77777777" w:rsidR="00FA0F1E" w:rsidRDefault="00FA0F1E" w:rsidP="00FA0F1E">
      <w:pPr>
        <w:pStyle w:val="ListParagraph"/>
      </w:pPr>
      <w:r>
        <w:t>GIVLAARI</w:t>
      </w:r>
      <w:r w:rsidRPr="00B8703C">
        <w:rPr>
          <w:vertAlign w:val="superscript"/>
        </w:rPr>
        <w:t>®</w:t>
      </w:r>
      <w:r>
        <w:t xml:space="preserve"> (givosiran) injection, [package insert]. Cambridge, MA: Alnylam Pharmaceuticals, Inc.; April 2024.</w:t>
      </w:r>
    </w:p>
    <w:p w14:paraId="2C57E659" w14:textId="3293864F" w:rsidR="00FA0F1E" w:rsidRDefault="00FA0F1E" w:rsidP="00FA0F1E">
      <w:pPr>
        <w:pStyle w:val="ListParagraph"/>
      </w:pPr>
      <w:r w:rsidRPr="00FA0F1E">
        <w:rPr>
          <w:lang w:val="es-US"/>
        </w:rPr>
        <w:t xml:space="preserve">Porphyria Diagnosis. https://www.porphyria.com/hcp. </w:t>
      </w:r>
      <w:r>
        <w:t xml:space="preserve">Accessed </w:t>
      </w:r>
      <w:r w:rsidR="0052566E">
        <w:t>March</w:t>
      </w:r>
      <w:r>
        <w:t xml:space="preserve"> </w:t>
      </w:r>
      <w:r w:rsidR="0052566E">
        <w:t>3</w:t>
      </w:r>
      <w:r>
        <w:t>, 202</w:t>
      </w:r>
      <w:r w:rsidR="0052566E">
        <w:t>6</w:t>
      </w:r>
      <w:r>
        <w:t>.</w:t>
      </w:r>
    </w:p>
    <w:p w14:paraId="432CA7EB" w14:textId="5172E1CE" w:rsidR="00FA0F1E" w:rsidRDefault="00FA0F1E" w:rsidP="00FA0F1E">
      <w:pPr>
        <w:pStyle w:val="ListParagraph"/>
      </w:pPr>
      <w:r>
        <w:t xml:space="preserve">American Porphyria Foundation. https://www.porphyriafoundation.org/. </w:t>
      </w:r>
      <w:r w:rsidR="0052566E">
        <w:t>Accessed March 3, 2026</w:t>
      </w:r>
      <w:r>
        <w:t>.</w:t>
      </w:r>
    </w:p>
    <w:p w14:paraId="2332B611" w14:textId="4D1E0169" w:rsidR="00FA0F1E" w:rsidRDefault="00FA0F1E" w:rsidP="00FA0F1E">
      <w:pPr>
        <w:pStyle w:val="ListParagraph"/>
      </w:pPr>
      <w:r>
        <w:t xml:space="preserve">National Organization for Rare Disease. Porphyria. https://rarediseases.org/rare-diseases/porphyria/. Last updated </w:t>
      </w:r>
      <w:r w:rsidR="009B0A13">
        <w:t>April 16</w:t>
      </w:r>
      <w:r>
        <w:t>, 202</w:t>
      </w:r>
      <w:r w:rsidR="009B0A13">
        <w:t>5</w:t>
      </w:r>
      <w:r>
        <w:t xml:space="preserve">. </w:t>
      </w:r>
      <w:r w:rsidR="009B0A13">
        <w:t>Accessed March 3, 2026</w:t>
      </w:r>
      <w:r>
        <w:t xml:space="preserve">. </w:t>
      </w:r>
    </w:p>
    <w:p w14:paraId="6B7F7FE4" w14:textId="77777777" w:rsidR="00FA0F1E" w:rsidRDefault="00FA0F1E" w:rsidP="00FA0F1E">
      <w:pPr>
        <w:pStyle w:val="ListParagraph"/>
      </w:pPr>
      <w:r>
        <w:t>Wang, B, et al. Acute Hepatic Porphyrias: Review and Recent Progress. Hepatology Communications, Vol 3, Issue 2. December 20, 2018. https://doi.org/10.1002/hep4.1297</w:t>
      </w:r>
    </w:p>
    <w:p w14:paraId="155A463E" w14:textId="40DE59BB" w:rsidR="00FA0F1E" w:rsidRDefault="00FA0F1E" w:rsidP="00FA0F1E">
      <w:pPr>
        <w:pStyle w:val="ListParagraph"/>
      </w:pPr>
      <w:r>
        <w:t xml:space="preserve">IPD Analytics. Hematologic: Porphyria. Accessed </w:t>
      </w:r>
      <w:r w:rsidR="009B0A13">
        <w:t>March 3, 2026</w:t>
      </w:r>
      <w:r>
        <w:t>.</w:t>
      </w:r>
    </w:p>
    <w:p w14:paraId="4345681A" w14:textId="77777777" w:rsidR="00FA0F1E" w:rsidRDefault="00FA0F1E" w:rsidP="00FA0F1E">
      <w:pPr>
        <w:pStyle w:val="ListParagraph"/>
      </w:pPr>
      <w:r>
        <w:t>IPD Analytics. New Drug Review: Givlaari (givosiran). December 2019.</w:t>
      </w:r>
    </w:p>
    <w:p w14:paraId="3FA1E7DB" w14:textId="75786DAC" w:rsidR="00777CA4" w:rsidRDefault="00777CA4" w:rsidP="00FA0F1E">
      <w:pPr>
        <w:pStyle w:val="ListParagraph"/>
        <w:numPr>
          <w:ilvl w:val="0"/>
          <w:numId w:val="0"/>
        </w:numPr>
        <w:ind w:left="360"/>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EDEAA" w14:textId="77777777" w:rsidR="00561EB2" w:rsidRPr="00C02553" w:rsidRDefault="00561EB2" w:rsidP="00AE77DB">
      <w:r w:rsidRPr="00C02553">
        <w:separator/>
      </w:r>
    </w:p>
  </w:endnote>
  <w:endnote w:type="continuationSeparator" w:id="0">
    <w:p w14:paraId="6CF11251" w14:textId="77777777" w:rsidR="00561EB2" w:rsidRPr="00C02553" w:rsidRDefault="00561EB2" w:rsidP="00AE77DB">
      <w:r w:rsidRPr="00C02553">
        <w:continuationSeparator/>
      </w:r>
    </w:p>
  </w:endnote>
  <w:endnote w:type="continuationNotice" w:id="1">
    <w:p w14:paraId="1CED8F23" w14:textId="77777777" w:rsidR="00561EB2" w:rsidRPr="00C02553" w:rsidRDefault="00561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28FAF" w14:textId="77777777" w:rsidR="00561EB2" w:rsidRPr="00C02553" w:rsidRDefault="00561EB2" w:rsidP="00AE77DB">
      <w:r w:rsidRPr="00C02553">
        <w:separator/>
      </w:r>
    </w:p>
  </w:footnote>
  <w:footnote w:type="continuationSeparator" w:id="0">
    <w:p w14:paraId="75981402" w14:textId="77777777" w:rsidR="00561EB2" w:rsidRPr="00C02553" w:rsidRDefault="00561EB2" w:rsidP="00AE77DB">
      <w:r w:rsidRPr="00C02553">
        <w:continuationSeparator/>
      </w:r>
    </w:p>
  </w:footnote>
  <w:footnote w:type="continuationNotice" w:id="1">
    <w:p w14:paraId="6D650435" w14:textId="77777777" w:rsidR="00561EB2" w:rsidRPr="00C02553" w:rsidRDefault="00561E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AE666C">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AE666C">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AE666C">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AB37B0"/>
    <w:multiLevelType w:val="hybridMultilevel"/>
    <w:tmpl w:val="CEB0E9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82E04"/>
    <w:multiLevelType w:val="hybridMultilevel"/>
    <w:tmpl w:val="3C8C4F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573ED5"/>
    <w:multiLevelType w:val="hybridMultilevel"/>
    <w:tmpl w:val="5EC88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8"/>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5"/>
  </w:num>
  <w:num w:numId="13" w16cid:durableId="604729665">
    <w:abstractNumId w:val="5"/>
  </w:num>
  <w:num w:numId="14" w16cid:durableId="1805081292">
    <w:abstractNumId w:val="11"/>
  </w:num>
  <w:num w:numId="15" w16cid:durableId="1911186802">
    <w:abstractNumId w:val="6"/>
  </w:num>
  <w:num w:numId="16" w16cid:durableId="1207376926">
    <w:abstractNumId w:val="13"/>
  </w:num>
  <w:num w:numId="17" w16cid:durableId="873468828">
    <w:abstractNumId w:val="12"/>
  </w:num>
  <w:num w:numId="18" w16cid:durableId="106957355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rzUBY7FyqtresjyNeNAAja9y6IaCL23m1TUjluLGB6OzbpauPisVTLIHAkOqmZOYjpJ4/yUsQYfShwul/QlfBw==" w:salt="2Jt9XU5uEf7mKTzUIY96fQ=="/>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76D9"/>
    <w:rsid w:val="000344C5"/>
    <w:rsid w:val="00040AD3"/>
    <w:rsid w:val="00053807"/>
    <w:rsid w:val="000572E5"/>
    <w:rsid w:val="00061541"/>
    <w:rsid w:val="00064162"/>
    <w:rsid w:val="00065C22"/>
    <w:rsid w:val="00074464"/>
    <w:rsid w:val="00076030"/>
    <w:rsid w:val="00082590"/>
    <w:rsid w:val="000913C3"/>
    <w:rsid w:val="000953B9"/>
    <w:rsid w:val="000A2D17"/>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1919"/>
    <w:rsid w:val="00132C7F"/>
    <w:rsid w:val="00143A11"/>
    <w:rsid w:val="00144DBE"/>
    <w:rsid w:val="00152C8B"/>
    <w:rsid w:val="0015636A"/>
    <w:rsid w:val="00172053"/>
    <w:rsid w:val="00177A80"/>
    <w:rsid w:val="001808B8"/>
    <w:rsid w:val="00196FC0"/>
    <w:rsid w:val="001A50CB"/>
    <w:rsid w:val="001A74B7"/>
    <w:rsid w:val="001B2D47"/>
    <w:rsid w:val="001B5F66"/>
    <w:rsid w:val="001C0250"/>
    <w:rsid w:val="001C0BEA"/>
    <w:rsid w:val="001C6DA4"/>
    <w:rsid w:val="001C73B1"/>
    <w:rsid w:val="001D1E7D"/>
    <w:rsid w:val="001D6567"/>
    <w:rsid w:val="001E23AB"/>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46564"/>
    <w:rsid w:val="00246A3B"/>
    <w:rsid w:val="00250FBF"/>
    <w:rsid w:val="00255404"/>
    <w:rsid w:val="0025594F"/>
    <w:rsid w:val="00270C5E"/>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5515"/>
    <w:rsid w:val="003608B5"/>
    <w:rsid w:val="003613AF"/>
    <w:rsid w:val="0037528A"/>
    <w:rsid w:val="003878C1"/>
    <w:rsid w:val="00396C0B"/>
    <w:rsid w:val="003A630F"/>
    <w:rsid w:val="003A7756"/>
    <w:rsid w:val="003B3958"/>
    <w:rsid w:val="003B4820"/>
    <w:rsid w:val="003B5F4B"/>
    <w:rsid w:val="003B682F"/>
    <w:rsid w:val="003C53FC"/>
    <w:rsid w:val="003C7013"/>
    <w:rsid w:val="003D4704"/>
    <w:rsid w:val="003D641B"/>
    <w:rsid w:val="003F227C"/>
    <w:rsid w:val="004023CC"/>
    <w:rsid w:val="00407564"/>
    <w:rsid w:val="00411152"/>
    <w:rsid w:val="004156AA"/>
    <w:rsid w:val="004253A1"/>
    <w:rsid w:val="004313B6"/>
    <w:rsid w:val="00433339"/>
    <w:rsid w:val="00446BBC"/>
    <w:rsid w:val="004472C0"/>
    <w:rsid w:val="00450705"/>
    <w:rsid w:val="00451928"/>
    <w:rsid w:val="00460B5D"/>
    <w:rsid w:val="0046618B"/>
    <w:rsid w:val="0048608C"/>
    <w:rsid w:val="00496E57"/>
    <w:rsid w:val="004B3E10"/>
    <w:rsid w:val="004C0F5D"/>
    <w:rsid w:val="004C375A"/>
    <w:rsid w:val="004C4954"/>
    <w:rsid w:val="004C5767"/>
    <w:rsid w:val="004D0080"/>
    <w:rsid w:val="004D5322"/>
    <w:rsid w:val="004D78B0"/>
    <w:rsid w:val="004E611F"/>
    <w:rsid w:val="004F2A79"/>
    <w:rsid w:val="004F4D37"/>
    <w:rsid w:val="00501A14"/>
    <w:rsid w:val="00501DE3"/>
    <w:rsid w:val="005058CB"/>
    <w:rsid w:val="0051044D"/>
    <w:rsid w:val="005139E4"/>
    <w:rsid w:val="00515075"/>
    <w:rsid w:val="00516D12"/>
    <w:rsid w:val="00517728"/>
    <w:rsid w:val="00520FE9"/>
    <w:rsid w:val="005233E7"/>
    <w:rsid w:val="0052566E"/>
    <w:rsid w:val="00526C8D"/>
    <w:rsid w:val="005328B2"/>
    <w:rsid w:val="00535BD5"/>
    <w:rsid w:val="00540977"/>
    <w:rsid w:val="00541C0C"/>
    <w:rsid w:val="0054442D"/>
    <w:rsid w:val="00551668"/>
    <w:rsid w:val="005572D5"/>
    <w:rsid w:val="00561EB2"/>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F0A81"/>
    <w:rsid w:val="005F0FCF"/>
    <w:rsid w:val="005F6104"/>
    <w:rsid w:val="0060042F"/>
    <w:rsid w:val="006008BC"/>
    <w:rsid w:val="00602CFD"/>
    <w:rsid w:val="00606B55"/>
    <w:rsid w:val="00612A7B"/>
    <w:rsid w:val="00616E5E"/>
    <w:rsid w:val="006173A4"/>
    <w:rsid w:val="006205AD"/>
    <w:rsid w:val="00625C3A"/>
    <w:rsid w:val="00635DDB"/>
    <w:rsid w:val="0064149A"/>
    <w:rsid w:val="00646DFE"/>
    <w:rsid w:val="00650530"/>
    <w:rsid w:val="00650C96"/>
    <w:rsid w:val="00653788"/>
    <w:rsid w:val="0065477F"/>
    <w:rsid w:val="00656896"/>
    <w:rsid w:val="00661656"/>
    <w:rsid w:val="0066374F"/>
    <w:rsid w:val="006726FD"/>
    <w:rsid w:val="00677C65"/>
    <w:rsid w:val="00693152"/>
    <w:rsid w:val="00694FAE"/>
    <w:rsid w:val="00696E3A"/>
    <w:rsid w:val="006A0834"/>
    <w:rsid w:val="006A4BBD"/>
    <w:rsid w:val="006A52F1"/>
    <w:rsid w:val="006B561D"/>
    <w:rsid w:val="006B6D5D"/>
    <w:rsid w:val="006D2330"/>
    <w:rsid w:val="006D72D2"/>
    <w:rsid w:val="006E0F8B"/>
    <w:rsid w:val="006E12F7"/>
    <w:rsid w:val="006E29D7"/>
    <w:rsid w:val="007068A4"/>
    <w:rsid w:val="00706D67"/>
    <w:rsid w:val="00713052"/>
    <w:rsid w:val="00721367"/>
    <w:rsid w:val="007231FA"/>
    <w:rsid w:val="00732C67"/>
    <w:rsid w:val="00734418"/>
    <w:rsid w:val="00757826"/>
    <w:rsid w:val="00762B13"/>
    <w:rsid w:val="007632B7"/>
    <w:rsid w:val="0076382F"/>
    <w:rsid w:val="00765768"/>
    <w:rsid w:val="00765D10"/>
    <w:rsid w:val="00766AC8"/>
    <w:rsid w:val="00767486"/>
    <w:rsid w:val="0077070E"/>
    <w:rsid w:val="0077296A"/>
    <w:rsid w:val="00777CA4"/>
    <w:rsid w:val="00792DF0"/>
    <w:rsid w:val="0079438F"/>
    <w:rsid w:val="00795669"/>
    <w:rsid w:val="007A3034"/>
    <w:rsid w:val="007A527E"/>
    <w:rsid w:val="007A53E7"/>
    <w:rsid w:val="007A78F7"/>
    <w:rsid w:val="007B3333"/>
    <w:rsid w:val="007B379F"/>
    <w:rsid w:val="007B37D6"/>
    <w:rsid w:val="007B5D30"/>
    <w:rsid w:val="007B6644"/>
    <w:rsid w:val="007D2920"/>
    <w:rsid w:val="007D42DD"/>
    <w:rsid w:val="007E6A37"/>
    <w:rsid w:val="007E7E91"/>
    <w:rsid w:val="007F1774"/>
    <w:rsid w:val="007F593C"/>
    <w:rsid w:val="008001DE"/>
    <w:rsid w:val="00811A70"/>
    <w:rsid w:val="0081406E"/>
    <w:rsid w:val="00832211"/>
    <w:rsid w:val="008325F4"/>
    <w:rsid w:val="00832AC8"/>
    <w:rsid w:val="00846FA4"/>
    <w:rsid w:val="008524BA"/>
    <w:rsid w:val="00852B74"/>
    <w:rsid w:val="00856928"/>
    <w:rsid w:val="008607AA"/>
    <w:rsid w:val="00865538"/>
    <w:rsid w:val="00870875"/>
    <w:rsid w:val="0088225C"/>
    <w:rsid w:val="00884026"/>
    <w:rsid w:val="00884C78"/>
    <w:rsid w:val="008859E1"/>
    <w:rsid w:val="008931D3"/>
    <w:rsid w:val="00896264"/>
    <w:rsid w:val="008A2549"/>
    <w:rsid w:val="008A5D88"/>
    <w:rsid w:val="008B2851"/>
    <w:rsid w:val="008C000E"/>
    <w:rsid w:val="008D0F2F"/>
    <w:rsid w:val="008D237F"/>
    <w:rsid w:val="008D3FD8"/>
    <w:rsid w:val="008D6B05"/>
    <w:rsid w:val="008E7D2D"/>
    <w:rsid w:val="008F44C0"/>
    <w:rsid w:val="008F5999"/>
    <w:rsid w:val="00903AD6"/>
    <w:rsid w:val="00904D7A"/>
    <w:rsid w:val="00915332"/>
    <w:rsid w:val="009204BB"/>
    <w:rsid w:val="00934AF6"/>
    <w:rsid w:val="00935918"/>
    <w:rsid w:val="00935EC3"/>
    <w:rsid w:val="00941B39"/>
    <w:rsid w:val="00951097"/>
    <w:rsid w:val="00953C1E"/>
    <w:rsid w:val="009575DF"/>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0A13"/>
    <w:rsid w:val="009B1A62"/>
    <w:rsid w:val="009C3CC7"/>
    <w:rsid w:val="009C4EA7"/>
    <w:rsid w:val="009D2057"/>
    <w:rsid w:val="009D3D6C"/>
    <w:rsid w:val="009D5551"/>
    <w:rsid w:val="009D62DB"/>
    <w:rsid w:val="009E3B42"/>
    <w:rsid w:val="009F518A"/>
    <w:rsid w:val="00A02AF6"/>
    <w:rsid w:val="00A05B60"/>
    <w:rsid w:val="00A13266"/>
    <w:rsid w:val="00A14FA6"/>
    <w:rsid w:val="00A15D64"/>
    <w:rsid w:val="00A20575"/>
    <w:rsid w:val="00A32452"/>
    <w:rsid w:val="00A325CC"/>
    <w:rsid w:val="00A32BBF"/>
    <w:rsid w:val="00A37444"/>
    <w:rsid w:val="00A4281A"/>
    <w:rsid w:val="00A459CF"/>
    <w:rsid w:val="00A463B4"/>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C3CD9"/>
    <w:rsid w:val="00AD2C5F"/>
    <w:rsid w:val="00AE1481"/>
    <w:rsid w:val="00AE27F9"/>
    <w:rsid w:val="00AE666C"/>
    <w:rsid w:val="00AE77DB"/>
    <w:rsid w:val="00AF2E70"/>
    <w:rsid w:val="00AF7453"/>
    <w:rsid w:val="00B00EDC"/>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1482"/>
    <w:rsid w:val="00B86372"/>
    <w:rsid w:val="00B8703C"/>
    <w:rsid w:val="00BA1C17"/>
    <w:rsid w:val="00BA1D65"/>
    <w:rsid w:val="00BB3B4D"/>
    <w:rsid w:val="00BC351E"/>
    <w:rsid w:val="00BC3F77"/>
    <w:rsid w:val="00BC51B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4D52"/>
    <w:rsid w:val="00C2586C"/>
    <w:rsid w:val="00C26001"/>
    <w:rsid w:val="00C34E72"/>
    <w:rsid w:val="00C56B1F"/>
    <w:rsid w:val="00C61B52"/>
    <w:rsid w:val="00C62745"/>
    <w:rsid w:val="00C654CA"/>
    <w:rsid w:val="00C763BD"/>
    <w:rsid w:val="00C779A8"/>
    <w:rsid w:val="00C82E19"/>
    <w:rsid w:val="00C96873"/>
    <w:rsid w:val="00CA1735"/>
    <w:rsid w:val="00CA207E"/>
    <w:rsid w:val="00CA3C4B"/>
    <w:rsid w:val="00CA7252"/>
    <w:rsid w:val="00CB2C5A"/>
    <w:rsid w:val="00CE0C1C"/>
    <w:rsid w:val="00CE1C70"/>
    <w:rsid w:val="00CE34AF"/>
    <w:rsid w:val="00CF00A4"/>
    <w:rsid w:val="00CF25FB"/>
    <w:rsid w:val="00CF614C"/>
    <w:rsid w:val="00D02F34"/>
    <w:rsid w:val="00D13D87"/>
    <w:rsid w:val="00D16590"/>
    <w:rsid w:val="00D20720"/>
    <w:rsid w:val="00D232D9"/>
    <w:rsid w:val="00D250D9"/>
    <w:rsid w:val="00D27533"/>
    <w:rsid w:val="00D331CC"/>
    <w:rsid w:val="00D4201A"/>
    <w:rsid w:val="00D42DA3"/>
    <w:rsid w:val="00D4546D"/>
    <w:rsid w:val="00D47996"/>
    <w:rsid w:val="00D61118"/>
    <w:rsid w:val="00D614F1"/>
    <w:rsid w:val="00D70D50"/>
    <w:rsid w:val="00D71917"/>
    <w:rsid w:val="00D85D2B"/>
    <w:rsid w:val="00D95E68"/>
    <w:rsid w:val="00DA3A0F"/>
    <w:rsid w:val="00DA4E62"/>
    <w:rsid w:val="00DA6990"/>
    <w:rsid w:val="00DB27BA"/>
    <w:rsid w:val="00DB3009"/>
    <w:rsid w:val="00DB337A"/>
    <w:rsid w:val="00DB685E"/>
    <w:rsid w:val="00DC034A"/>
    <w:rsid w:val="00DC51CB"/>
    <w:rsid w:val="00DD4819"/>
    <w:rsid w:val="00DD4B8A"/>
    <w:rsid w:val="00DD5403"/>
    <w:rsid w:val="00DE1388"/>
    <w:rsid w:val="00DE20FE"/>
    <w:rsid w:val="00DE7501"/>
    <w:rsid w:val="00DF3146"/>
    <w:rsid w:val="00DF57C3"/>
    <w:rsid w:val="00E008D9"/>
    <w:rsid w:val="00E02FE0"/>
    <w:rsid w:val="00E07ABE"/>
    <w:rsid w:val="00E11A3F"/>
    <w:rsid w:val="00E12AFB"/>
    <w:rsid w:val="00E1386E"/>
    <w:rsid w:val="00E2369B"/>
    <w:rsid w:val="00E23EC0"/>
    <w:rsid w:val="00E26795"/>
    <w:rsid w:val="00E354AA"/>
    <w:rsid w:val="00E43D54"/>
    <w:rsid w:val="00E442FB"/>
    <w:rsid w:val="00E529DB"/>
    <w:rsid w:val="00E53A5E"/>
    <w:rsid w:val="00E6466A"/>
    <w:rsid w:val="00E72221"/>
    <w:rsid w:val="00E81B96"/>
    <w:rsid w:val="00E83428"/>
    <w:rsid w:val="00E84C58"/>
    <w:rsid w:val="00E873A5"/>
    <w:rsid w:val="00E90D11"/>
    <w:rsid w:val="00E915E5"/>
    <w:rsid w:val="00EB0367"/>
    <w:rsid w:val="00EB4FB9"/>
    <w:rsid w:val="00EB5BC8"/>
    <w:rsid w:val="00EC2738"/>
    <w:rsid w:val="00ED0709"/>
    <w:rsid w:val="00ED760F"/>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4C1"/>
    <w:rsid w:val="00F63A52"/>
    <w:rsid w:val="00F730BA"/>
    <w:rsid w:val="00F87CCE"/>
    <w:rsid w:val="00F903BE"/>
    <w:rsid w:val="00F95D04"/>
    <w:rsid w:val="00FA0F1E"/>
    <w:rsid w:val="00FA16EC"/>
    <w:rsid w:val="00FA2811"/>
    <w:rsid w:val="00FA4837"/>
    <w:rsid w:val="00FB1D33"/>
    <w:rsid w:val="00FB5C98"/>
    <w:rsid w:val="00FB5E96"/>
    <w:rsid w:val="00FC05A0"/>
    <w:rsid w:val="00FC6758"/>
    <w:rsid w:val="00FD051E"/>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8607AA"/>
    <w:rPr>
      <w:sz w:val="16"/>
      <w:szCs w:val="16"/>
    </w:rPr>
  </w:style>
  <w:style w:type="paragraph" w:styleId="CommentSubject">
    <w:name w:val="annotation subject"/>
    <w:basedOn w:val="CommentText"/>
    <w:next w:val="CommentText"/>
    <w:link w:val="CommentSubjectChar"/>
    <w:uiPriority w:val="99"/>
    <w:semiHidden/>
    <w:unhideWhenUsed/>
    <w:rsid w:val="008607AA"/>
    <w:rPr>
      <w:b/>
      <w:bCs/>
    </w:rPr>
  </w:style>
  <w:style w:type="character" w:customStyle="1" w:styleId="CommentTextChar">
    <w:name w:val="Comment Text Char"/>
    <w:basedOn w:val="DefaultParagraphFont"/>
    <w:link w:val="CommentText"/>
    <w:semiHidden/>
    <w:rsid w:val="008607AA"/>
    <w:rPr>
      <w:rFonts w:ascii="Arial" w:hAnsi="Arial"/>
    </w:rPr>
  </w:style>
  <w:style w:type="character" w:customStyle="1" w:styleId="CommentSubjectChar">
    <w:name w:val="Comment Subject Char"/>
    <w:basedOn w:val="CommentTextChar"/>
    <w:link w:val="CommentSubject"/>
    <w:uiPriority w:val="99"/>
    <w:semiHidden/>
    <w:rsid w:val="008607A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992BC-7C11-4A83-A97F-D2E41AE80BFC}">
  <ds:schemaRefs>
    <ds:schemaRef ds:uri="http://purl.org/dc/dcmitype/"/>
    <ds:schemaRef ds:uri="http://schemas.microsoft.com/office/infopath/2007/PartnerControls"/>
    <ds:schemaRef ds:uri="f5eefb00-5952-4f7e-8cf8-96f81cfadd0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ba01ddc-ae9a-4c9e-819c-7140b4239cde"/>
    <ds:schemaRef ds:uri="http://schemas.microsoft.com/sharepoint/v3"/>
    <ds:schemaRef ds:uri="http://www.w3.org/XML/1998/namespace"/>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BBF5226B-676E-4031-97E6-A4036C16B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666</Words>
  <Characters>4098</Characters>
  <Application>Microsoft Office Word</Application>
  <DocSecurity>10</DocSecurity>
  <Lines>34</Lines>
  <Paragraphs>9</Paragraphs>
  <ScaleCrop>false</ScaleCrop>
  <HeadingPairs>
    <vt:vector size="2" baseType="variant">
      <vt:variant>
        <vt:lpstr>Title</vt:lpstr>
      </vt:variant>
      <vt:variant>
        <vt:i4>1</vt:i4>
      </vt:variant>
    </vt:vector>
  </HeadingPairs>
  <TitlesOfParts>
    <vt:vector size="1" baseType="lpstr">
      <vt:lpstr>Givlaari CE</vt:lpstr>
    </vt:vector>
  </TitlesOfParts>
  <Company>DSS</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Givlaari CE</dc:title>
  <dc:subject/>
  <dc:creator>DMS</dc:creator>
  <cp:keywords/>
  <cp:lastModifiedBy>Heriford, Katherine</cp:lastModifiedBy>
  <cp:revision>46</cp:revision>
  <cp:lastPrinted>2018-10-31T18:17:00Z</cp:lastPrinted>
  <dcterms:created xsi:type="dcterms:W3CDTF">2025-11-19T15:39:00Z</dcterms:created>
  <dcterms:modified xsi:type="dcterms:W3CDTF">2026-04-02T22:21:00Z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