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7281A222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F65125" w:rsidRPr="00F65125">
        <w:rPr>
          <w:b w:val="0"/>
          <w:bCs/>
        </w:rPr>
        <w:t>Corticosteroids, Ophthalmic “Soft” PDL Edit</w:t>
      </w:r>
    </w:p>
    <w:p w14:paraId="7AD7FFCE" w14:textId="138A40BD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EF44D0" w:rsidRPr="00EF44D0">
        <w:rPr>
          <w:b w:val="0"/>
          <w:bCs/>
        </w:rPr>
        <w:t>July 11, 2019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4AB6DB2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12109A6" w14:textId="77777777" w:rsidR="0095019E" w:rsidRDefault="0095019E" w:rsidP="0095019E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8513EA">
        <w:rPr>
          <w:rFonts w:cs="Arial"/>
          <w:spacing w:val="-3"/>
          <w:sz w:val="20"/>
        </w:rPr>
        <w:t>Topical corticosteroids are effective in reducing anterior segment inflammation but are associated with adverse drug reactions including elevation of intraocular pressure and cataract form</w:t>
      </w:r>
      <w:r>
        <w:rPr>
          <w:rFonts w:cs="Arial"/>
          <w:spacing w:val="-3"/>
          <w:sz w:val="20"/>
        </w:rPr>
        <w:t>ation</w:t>
      </w:r>
      <w:r w:rsidRPr="008513EA">
        <w:rPr>
          <w:rFonts w:cs="Arial"/>
          <w:spacing w:val="-3"/>
          <w:sz w:val="20"/>
        </w:rPr>
        <w:t>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Newer “soft” ophthalmic corticosteroids have been developed with improved therapeutic indices through retrometabolic drug design.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The retrometabolic drug design principles appear to achieve the necessary balance between solubility/lipophilicity, tissue distribution, glucocorticoid receptor binding, and metabolic deactivation to be effective as a topical ophthalmic steroid.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The “soft” steroids are safe and effective in treating a wide variety of ocular inflammatory conditions including giant papillary conjunctivitis, seasonal allergic conjunctivitis,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uveitis</w:t>
      </w:r>
      <w:r>
        <w:rPr>
          <w:rFonts w:cs="Arial"/>
          <w:spacing w:val="-3"/>
          <w:sz w:val="20"/>
        </w:rPr>
        <w:t xml:space="preserve">, and </w:t>
      </w:r>
      <w:r w:rsidRPr="008513EA">
        <w:rPr>
          <w:rFonts w:cs="Arial"/>
          <w:spacing w:val="-3"/>
          <w:sz w:val="20"/>
        </w:rPr>
        <w:t>ocular inflammation and pain following cataract surgery.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Clinical studies have confirmed the retrometabolic design of “soft” steroids minimize</w:t>
      </w:r>
      <w:r>
        <w:rPr>
          <w:rFonts w:cs="Arial"/>
          <w:spacing w:val="-3"/>
          <w:sz w:val="20"/>
        </w:rPr>
        <w:t>s</w:t>
      </w:r>
      <w:r w:rsidRPr="008513EA">
        <w:rPr>
          <w:rFonts w:cs="Arial"/>
          <w:spacing w:val="-3"/>
          <w:sz w:val="20"/>
        </w:rPr>
        <w:t xml:space="preserve"> adverse reactions such as cataract formation and intraocular pressure elevation.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BD5C1EC" w14:textId="77777777" w:rsidR="002B514D" w:rsidRPr="00EA59A9" w:rsidRDefault="002B514D" w:rsidP="002B514D">
      <w:pPr>
        <w:pStyle w:val="ListParagraph"/>
      </w:pPr>
      <w:r w:rsidRPr="00EA59A9">
        <w:t>Difluprednate</w:t>
      </w:r>
    </w:p>
    <w:p w14:paraId="1B21829C" w14:textId="20229EE0" w:rsidR="00846FA4" w:rsidRDefault="002B514D" w:rsidP="002B514D">
      <w:pPr>
        <w:pStyle w:val="ListParagraph"/>
      </w:pPr>
      <w:r w:rsidRPr="00D638FD">
        <w:t>Lotemax</w:t>
      </w:r>
      <w:r w:rsidRPr="00D638FD">
        <w:rPr>
          <w:vertAlign w:val="superscript"/>
        </w:rPr>
        <w:t xml:space="preserve">® </w:t>
      </w:r>
      <w:r w:rsidRPr="00D638FD">
        <w:t>Gel</w:t>
      </w:r>
      <w:r>
        <w:t>/</w:t>
      </w:r>
      <w:r w:rsidRPr="00FF2803">
        <w:t>Susp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435110B0" w14:textId="77777777" w:rsidR="000F05EF" w:rsidRPr="008513EA" w:rsidRDefault="000F05EF" w:rsidP="000F05EF">
      <w:pPr>
        <w:pStyle w:val="ListParagraph"/>
      </w:pPr>
      <w:r w:rsidRPr="008513EA">
        <w:t>Alrex</w:t>
      </w:r>
      <w:r w:rsidRPr="008513EA">
        <w:rPr>
          <w:vertAlign w:val="superscript"/>
        </w:rPr>
        <w:t>®</w:t>
      </w:r>
    </w:p>
    <w:p w14:paraId="17FA0F66" w14:textId="77777777" w:rsidR="000F05EF" w:rsidRPr="00EA59A9" w:rsidRDefault="000F05EF" w:rsidP="000F05EF">
      <w:pPr>
        <w:pStyle w:val="ListParagraph"/>
      </w:pPr>
      <w:r w:rsidRPr="00EA59A9">
        <w:t>Durezol</w:t>
      </w:r>
      <w:r w:rsidRPr="00EA59A9">
        <w:rPr>
          <w:vertAlign w:val="superscript"/>
        </w:rPr>
        <w:t>®</w:t>
      </w:r>
    </w:p>
    <w:p w14:paraId="6F2D7F43" w14:textId="77777777" w:rsidR="000F05EF" w:rsidRPr="00D638FD" w:rsidRDefault="000F05EF" w:rsidP="000F05EF">
      <w:pPr>
        <w:pStyle w:val="ListParagraph"/>
      </w:pPr>
      <w:r w:rsidRPr="00D638FD">
        <w:t>Eysuvis</w:t>
      </w:r>
      <w:r>
        <w:rPr>
          <w:vertAlign w:val="superscript"/>
        </w:rPr>
        <w:t>®</w:t>
      </w:r>
    </w:p>
    <w:p w14:paraId="3F782AEC" w14:textId="77777777" w:rsidR="000F05EF" w:rsidRPr="008513EA" w:rsidRDefault="000F05EF" w:rsidP="000F05EF">
      <w:pPr>
        <w:pStyle w:val="ListParagraph"/>
      </w:pPr>
      <w:r w:rsidRPr="008513EA">
        <w:t>Inveltys</w:t>
      </w:r>
      <w:r>
        <w:rPr>
          <w:vertAlign w:val="superscript"/>
        </w:rPr>
        <w:t>®</w:t>
      </w:r>
    </w:p>
    <w:p w14:paraId="001363B3" w14:textId="77777777" w:rsidR="000F05EF" w:rsidRPr="008513EA" w:rsidRDefault="000F05EF" w:rsidP="000F05EF">
      <w:pPr>
        <w:pStyle w:val="ListParagraph"/>
      </w:pPr>
      <w:r w:rsidRPr="008513EA">
        <w:t>Lotemax</w:t>
      </w:r>
      <w:r w:rsidRPr="008513EA">
        <w:rPr>
          <w:vertAlign w:val="superscript"/>
        </w:rPr>
        <w:t>®</w:t>
      </w:r>
      <w:r w:rsidRPr="008513EA">
        <w:t xml:space="preserve"> </w:t>
      </w:r>
      <w:r>
        <w:t>Oint</w:t>
      </w:r>
    </w:p>
    <w:p w14:paraId="02E473D7" w14:textId="77777777" w:rsidR="000F05EF" w:rsidRPr="00D00EA0" w:rsidRDefault="000F05EF" w:rsidP="000F05EF">
      <w:pPr>
        <w:pStyle w:val="ListParagraph"/>
      </w:pPr>
      <w:r w:rsidRPr="00D00EA0">
        <w:t>Lotemax</w:t>
      </w:r>
      <w:r w:rsidRPr="00D00EA0">
        <w:rPr>
          <w:vertAlign w:val="superscript"/>
        </w:rPr>
        <w:t xml:space="preserve">® </w:t>
      </w:r>
      <w:r w:rsidRPr="00D00EA0">
        <w:t>SM</w:t>
      </w:r>
    </w:p>
    <w:p w14:paraId="079F807A" w14:textId="4517F084" w:rsidR="00846FA4" w:rsidRPr="00696E3A" w:rsidRDefault="000F05EF" w:rsidP="000F05EF">
      <w:pPr>
        <w:pStyle w:val="ListParagraph"/>
      </w:pPr>
      <w:r w:rsidRPr="008513EA">
        <w:t>Loteprednol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5C48F10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040B9D" w:rsidRPr="00040B9D">
        <w:t>Corticosteroids, Ophthalmic “Soft”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42191A0" w14:textId="77777777" w:rsidR="00837F7C" w:rsidRDefault="00837F7C" w:rsidP="00837F7C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bookmarkStart w:id="1" w:name="_Hlk2937196"/>
      <w:r w:rsidRPr="00D40409">
        <w:rPr>
          <w:rFonts w:cs="Arial"/>
          <w:bCs/>
          <w:szCs w:val="20"/>
        </w:rPr>
        <w:lastRenderedPageBreak/>
        <w:t xml:space="preserve">Must meet </w:t>
      </w:r>
      <w:r>
        <w:rPr>
          <w:rFonts w:cs="Arial"/>
          <w:bCs/>
          <w:szCs w:val="20"/>
        </w:rPr>
        <w:t xml:space="preserve">one </w:t>
      </w:r>
      <w:r w:rsidRPr="00D40409">
        <w:rPr>
          <w:rFonts w:cs="Arial"/>
          <w:bCs/>
          <w:szCs w:val="20"/>
        </w:rPr>
        <w:t>of the following:</w:t>
      </w:r>
    </w:p>
    <w:p w14:paraId="16DC5CC7" w14:textId="77777777" w:rsidR="00837F7C" w:rsidRDefault="00837F7C" w:rsidP="00837F7C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 w:rsidRPr="00EF4356">
        <w:rPr>
          <w:rFonts w:cs="Arial"/>
          <w:bCs/>
          <w:szCs w:val="20"/>
        </w:rPr>
        <w:t>Claim is for a preferred agent</w:t>
      </w:r>
      <w:r>
        <w:rPr>
          <w:rFonts w:cs="Arial"/>
          <w:bCs/>
          <w:szCs w:val="20"/>
        </w:rPr>
        <w:t xml:space="preserve">; </w:t>
      </w:r>
      <w:r>
        <w:rPr>
          <w:rFonts w:cs="Arial"/>
          <w:b/>
          <w:szCs w:val="20"/>
        </w:rPr>
        <w:t>OR</w:t>
      </w:r>
    </w:p>
    <w:p w14:paraId="1EDFF3DE" w14:textId="77777777" w:rsidR="00837F7C" w:rsidRPr="00EF4356" w:rsidRDefault="00837F7C" w:rsidP="00837F7C">
      <w:pPr>
        <w:pStyle w:val="ListParagraph"/>
        <w:numPr>
          <w:ilvl w:val="1"/>
          <w:numId w:val="17"/>
        </w:numPr>
        <w:tabs>
          <w:tab w:val="clear" w:pos="1440"/>
          <w:tab w:val="num" w:pos="720"/>
        </w:tabs>
        <w:ind w:left="720"/>
        <w:rPr>
          <w:rFonts w:cs="Arial"/>
          <w:szCs w:val="20"/>
        </w:rPr>
      </w:pPr>
      <w:r w:rsidRPr="0000260C">
        <w:rPr>
          <w:rFonts w:cs="Arial"/>
        </w:rPr>
        <w:t xml:space="preserve">Failure to achieve desired therapeutic outcomes with trial on </w:t>
      </w:r>
      <w:r>
        <w:rPr>
          <w:rFonts w:cs="Arial"/>
        </w:rPr>
        <w:t>2</w:t>
      </w:r>
      <w:r w:rsidRPr="0000260C">
        <w:rPr>
          <w:rFonts w:cs="Arial"/>
        </w:rPr>
        <w:t xml:space="preserve"> or more preferred agents</w:t>
      </w:r>
      <w:r w:rsidRPr="00EF4356">
        <w:rPr>
          <w:rFonts w:cs="Arial"/>
        </w:rPr>
        <w:t>;</w:t>
      </w:r>
      <w:r w:rsidRPr="0000260C">
        <w:rPr>
          <w:rFonts w:cs="Arial"/>
        </w:rPr>
        <w:t xml:space="preserve"> </w:t>
      </w:r>
    </w:p>
    <w:p w14:paraId="109B609F" w14:textId="77777777" w:rsidR="00837F7C" w:rsidRPr="0000260C" w:rsidRDefault="00837F7C" w:rsidP="00837F7C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trial period for preferred agents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OR</w:t>
      </w:r>
    </w:p>
    <w:p w14:paraId="33D6667D" w14:textId="77777777" w:rsidR="00837F7C" w:rsidRDefault="00837F7C" w:rsidP="00837F7C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ADE/ADR to preferred agents</w:t>
      </w:r>
      <w:r>
        <w:rPr>
          <w:rFonts w:cs="Arial"/>
        </w:rPr>
        <w:t>.</w:t>
      </w:r>
    </w:p>
    <w:bookmarkEnd w:id="1"/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5DCC6061" w:rsidR="001E4CBA" w:rsidRPr="00837F7C" w:rsidRDefault="00904D7A" w:rsidP="00837F7C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3064C166" w14:textId="77777777" w:rsidR="00837F7C" w:rsidRPr="002C2C41" w:rsidRDefault="00837F7C" w:rsidP="00837F7C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1684818E" w14:textId="77777777" w:rsidR="000F3661" w:rsidRPr="00445D4D" w:rsidRDefault="000F3661" w:rsidP="000F3661">
      <w:pPr>
        <w:pStyle w:val="ListParagraph"/>
      </w:pPr>
      <w:bookmarkStart w:id="3" w:name="_Hlk34121003"/>
      <w:r w:rsidRPr="00445D4D">
        <w:t>Evidence-Based Medicine and Fiscal Analysis: “Therapeutic Class Review: OPHTHALMIC: “Soft” Corticosteroids</w:t>
      </w:r>
      <w:r>
        <w:t>,</w:t>
      </w:r>
      <w:r w:rsidRPr="00445D4D">
        <w:t xml:space="preserve">” Gainwell Technologies; Last updated </w:t>
      </w:r>
      <w:r>
        <w:t>January 25, 2024</w:t>
      </w:r>
      <w:r w:rsidRPr="00445D4D">
        <w:t>.</w:t>
      </w:r>
    </w:p>
    <w:p w14:paraId="746AF4AE" w14:textId="447EA551" w:rsidR="000F3661" w:rsidRPr="00BA4D36" w:rsidRDefault="000F3661" w:rsidP="000F3661">
      <w:pPr>
        <w:pStyle w:val="ListParagraph"/>
      </w:pPr>
      <w:r w:rsidRPr="00BA4D36">
        <w:t xml:space="preserve">Evidence-Based Medicine Analysis: “Corticosteroids, Ophthalmic "Soft" Steroids”, UMKC-DIC; Last updated </w:t>
      </w:r>
      <w:r w:rsidR="00D031BE">
        <w:t>February 2026</w:t>
      </w:r>
      <w:r w:rsidRPr="00BA4D36">
        <w:t>.</w:t>
      </w:r>
    </w:p>
    <w:bookmarkEnd w:id="3"/>
    <w:p w14:paraId="4639BE15" w14:textId="72316D79" w:rsidR="000F3661" w:rsidRPr="00700A44" w:rsidRDefault="000F3661" w:rsidP="000F3661">
      <w:pPr>
        <w:pStyle w:val="ListParagraph"/>
        <w:rPr>
          <w:rStyle w:val="normaltextrun"/>
          <w:rFonts w:cs="Arial"/>
        </w:rPr>
      </w:pPr>
      <w:r w:rsidRPr="00BF4E23">
        <w:t>USPDI, Micromedex; 202</w:t>
      </w:r>
      <w:r>
        <w:t>6</w:t>
      </w:r>
      <w:r w:rsidRPr="00BF4E23">
        <w:t xml:space="preserve">. </w:t>
      </w:r>
    </w:p>
    <w:p w14:paraId="3FA1E7DB" w14:textId="0B65C049" w:rsidR="00777CA4" w:rsidRDefault="000F3661" w:rsidP="000F3661">
      <w:pPr>
        <w:pStyle w:val="ListParagraph"/>
      </w:pPr>
      <w:r w:rsidRPr="00191765">
        <w:rPr>
          <w:rStyle w:val="normaltextrun"/>
          <w:rFonts w:cs="Arial"/>
          <w:szCs w:val="20"/>
        </w:rPr>
        <w:t>Facts and Comparisons </w:t>
      </w:r>
      <w:r w:rsidRPr="00191765">
        <w:rPr>
          <w:rStyle w:val="spellingerror"/>
          <w:rFonts w:cs="Arial"/>
          <w:szCs w:val="20"/>
        </w:rPr>
        <w:t>eAnswers</w:t>
      </w:r>
      <w:r w:rsidRPr="00191765">
        <w:rPr>
          <w:rStyle w:val="normaltextrun"/>
          <w:rFonts w:cs="Arial"/>
          <w:szCs w:val="20"/>
        </w:rPr>
        <w:t> (online); 202</w:t>
      </w:r>
      <w:r>
        <w:rPr>
          <w:rStyle w:val="normaltextrun"/>
          <w:rFonts w:cs="Arial"/>
          <w:szCs w:val="20"/>
        </w:rPr>
        <w:t>6</w:t>
      </w:r>
      <w:r w:rsidRPr="00191765">
        <w:rPr>
          <w:rStyle w:val="normaltextrun"/>
          <w:rFonts w:cs="Arial"/>
          <w:szCs w:val="20"/>
        </w:rPr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2A4" w14:textId="77777777" w:rsidR="003B0F4D" w:rsidRPr="00C02553" w:rsidRDefault="003B0F4D" w:rsidP="00AE77DB">
      <w:r w:rsidRPr="00C02553">
        <w:separator/>
      </w:r>
    </w:p>
  </w:endnote>
  <w:endnote w:type="continuationSeparator" w:id="0">
    <w:p w14:paraId="0AD85521" w14:textId="77777777" w:rsidR="003B0F4D" w:rsidRPr="00C02553" w:rsidRDefault="003B0F4D" w:rsidP="00AE77DB">
      <w:r w:rsidRPr="00C02553">
        <w:continuationSeparator/>
      </w:r>
    </w:p>
  </w:endnote>
  <w:endnote w:type="continuationNotice" w:id="1">
    <w:p w14:paraId="3696EE56" w14:textId="77777777" w:rsidR="003B0F4D" w:rsidRPr="00C02553" w:rsidRDefault="003B0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9C5A" w14:textId="77777777" w:rsidR="003B0F4D" w:rsidRPr="00C02553" w:rsidRDefault="003B0F4D" w:rsidP="00AE77DB">
      <w:r w:rsidRPr="00C02553">
        <w:separator/>
      </w:r>
    </w:p>
  </w:footnote>
  <w:footnote w:type="continuationSeparator" w:id="0">
    <w:p w14:paraId="7E236549" w14:textId="77777777" w:rsidR="003B0F4D" w:rsidRPr="00C02553" w:rsidRDefault="003B0F4D" w:rsidP="00AE77DB">
      <w:r w:rsidRPr="00C02553">
        <w:continuationSeparator/>
      </w:r>
    </w:p>
  </w:footnote>
  <w:footnote w:type="continuationNotice" w:id="1">
    <w:p w14:paraId="05C2145F" w14:textId="77777777" w:rsidR="003B0F4D" w:rsidRPr="00C02553" w:rsidRDefault="003B0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0774AF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0774AF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74AF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DD45AF"/>
    <w:multiLevelType w:val="hybridMultilevel"/>
    <w:tmpl w:val="2CA4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3785B"/>
    <w:multiLevelType w:val="hybridMultilevel"/>
    <w:tmpl w:val="36E65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3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325670716">
    <w:abstractNumId w:val="16"/>
  </w:num>
  <w:num w:numId="16" w16cid:durableId="1516311634">
    <w:abstractNumId w:val="12"/>
  </w:num>
  <w:num w:numId="17" w16cid:durableId="1926451861">
    <w:abstractNumId w:val="5"/>
  </w:num>
  <w:num w:numId="18" w16cid:durableId="279607515">
    <w:abstractNumId w:val="8"/>
  </w:num>
  <w:num w:numId="19" w16cid:durableId="13014209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F4k1w1zvAMorqqImcqraVrWTbd9JNqXd/SJCXJ3ZWfKrqvgnW0wLT3bZCxoY7w0OU16ZobkUXbeZ/AdI2CKdhg==" w:salt="uerZ12MJ1xn9ozBHQKg+O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40B9D"/>
    <w:rsid w:val="00053807"/>
    <w:rsid w:val="000572E5"/>
    <w:rsid w:val="00057F84"/>
    <w:rsid w:val="00061541"/>
    <w:rsid w:val="00064162"/>
    <w:rsid w:val="00065C22"/>
    <w:rsid w:val="00066885"/>
    <w:rsid w:val="00074464"/>
    <w:rsid w:val="00076030"/>
    <w:rsid w:val="000774AF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0F05EF"/>
    <w:rsid w:val="000F3661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B514D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6C0B"/>
    <w:rsid w:val="003A630F"/>
    <w:rsid w:val="003B0F4D"/>
    <w:rsid w:val="003B3958"/>
    <w:rsid w:val="003B4820"/>
    <w:rsid w:val="003B5C5F"/>
    <w:rsid w:val="003B5F4B"/>
    <w:rsid w:val="003B682F"/>
    <w:rsid w:val="003C53FC"/>
    <w:rsid w:val="003C7013"/>
    <w:rsid w:val="003D4333"/>
    <w:rsid w:val="003D641B"/>
    <w:rsid w:val="003F227C"/>
    <w:rsid w:val="004023CC"/>
    <w:rsid w:val="0040723F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3CFE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267F0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47422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6125"/>
    <w:rsid w:val="007D2920"/>
    <w:rsid w:val="007D42DD"/>
    <w:rsid w:val="007E6A37"/>
    <w:rsid w:val="007F1774"/>
    <w:rsid w:val="007F6915"/>
    <w:rsid w:val="00807D76"/>
    <w:rsid w:val="00811A70"/>
    <w:rsid w:val="0081406E"/>
    <w:rsid w:val="00832211"/>
    <w:rsid w:val="008325F4"/>
    <w:rsid w:val="00832AC8"/>
    <w:rsid w:val="00837F7C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019E"/>
    <w:rsid w:val="00951097"/>
    <w:rsid w:val="00952344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4A20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031BE"/>
    <w:rsid w:val="00D13D87"/>
    <w:rsid w:val="00D16590"/>
    <w:rsid w:val="00D20720"/>
    <w:rsid w:val="00D250D9"/>
    <w:rsid w:val="00D27533"/>
    <w:rsid w:val="00D42DA3"/>
    <w:rsid w:val="00D43056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44D0"/>
    <w:rsid w:val="00EF6F8B"/>
    <w:rsid w:val="00F03898"/>
    <w:rsid w:val="00F1527A"/>
    <w:rsid w:val="00F2696B"/>
    <w:rsid w:val="00F27821"/>
    <w:rsid w:val="00F4092A"/>
    <w:rsid w:val="00F41F69"/>
    <w:rsid w:val="00F42FE4"/>
    <w:rsid w:val="00F43E41"/>
    <w:rsid w:val="00F4790C"/>
    <w:rsid w:val="00F50C4B"/>
    <w:rsid w:val="00F54C08"/>
    <w:rsid w:val="00F553A2"/>
    <w:rsid w:val="00F6068C"/>
    <w:rsid w:val="00F62F33"/>
    <w:rsid w:val="00F63A52"/>
    <w:rsid w:val="00F65125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DefaultParagraphFont"/>
    <w:rsid w:val="000F3661"/>
  </w:style>
  <w:style w:type="character" w:styleId="CommentReference">
    <w:name w:val="annotation reference"/>
    <w:basedOn w:val="DefaultParagraphFont"/>
    <w:uiPriority w:val="99"/>
    <w:semiHidden/>
    <w:unhideWhenUsed/>
    <w:rsid w:val="00483C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C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83CF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purl.org/dc/terms/"/>
    <ds:schemaRef ds:uri="http://schemas.openxmlformats.org/package/2006/metadata/core-properti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aba01ddc-ae9a-4c9e-819c-7140b4239c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8183B5-890E-4534-8557-39B19D81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2294</Characters>
  <Application>Microsoft Office Word</Application>
  <DocSecurity>10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Corticosteroids, Ophthalmic “Soft” PDL Edit</vt:lpstr>
    </vt:vector>
  </TitlesOfParts>
  <Company>DSS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Corticosteroids, Ophthalmic “Soft” PDL Edit</dc:title>
  <dc:creator>DMS</dc:creator>
  <cp:lastModifiedBy>Heriford, Katherine</cp:lastModifiedBy>
  <cp:revision>15</cp:revision>
  <cp:lastPrinted>2018-10-31T20:17:00Z</cp:lastPrinted>
  <dcterms:created xsi:type="dcterms:W3CDTF">2026-02-26T22:02:00Z</dcterms:created>
  <dcterms:modified xsi:type="dcterms:W3CDTF">2026-04-06T15:52:00Z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