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53653399" w:rsidR="004C5767" w:rsidRPr="008859E1" w:rsidRDefault="004C5767" w:rsidP="00D27533">
      <w:pPr>
        <w:pStyle w:val="tbody"/>
        <w:rPr>
          <w:b w:val="0"/>
          <w:bCs/>
        </w:rPr>
      </w:pPr>
      <w:r w:rsidRPr="00C02553">
        <w:t>Drug/Drug Class:</w:t>
      </w:r>
      <w:r w:rsidR="003B4820" w:rsidRPr="00573856">
        <w:rPr>
          <w:b w:val="0"/>
          <w:bCs/>
        </w:rPr>
        <w:t xml:space="preserve"> </w:t>
      </w:r>
      <w:r w:rsidR="00571D2D" w:rsidRPr="00571D2D">
        <w:rPr>
          <w:b w:val="0"/>
          <w:bCs/>
        </w:rPr>
        <w:t>Antihistamines, Ophthalmic PDL Edit</w:t>
      </w:r>
    </w:p>
    <w:p w14:paraId="7AD7FFCE" w14:textId="29CEE41F" w:rsidR="004C5767" w:rsidRPr="00C02553" w:rsidRDefault="004C5767" w:rsidP="00D27533">
      <w:pPr>
        <w:pStyle w:val="tbody"/>
      </w:pPr>
      <w:r w:rsidRPr="00C02553">
        <w:t>First Implementation Date:</w:t>
      </w:r>
      <w:r w:rsidRPr="00573856">
        <w:rPr>
          <w:b w:val="0"/>
          <w:bCs/>
        </w:rPr>
        <w:t xml:space="preserve"> </w:t>
      </w:r>
      <w:r w:rsidR="00D30FAE" w:rsidRPr="00D30FAE">
        <w:rPr>
          <w:b w:val="0"/>
          <w:bCs/>
        </w:rPr>
        <w:t>April 26, 2006</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05A7014" w:rsidR="004C5767" w:rsidRPr="00D27533" w:rsidRDefault="004C5767" w:rsidP="00D27533">
      <w:pPr>
        <w:pStyle w:val="tbody"/>
        <w:rPr>
          <w:b w:val="0"/>
          <w:bCs/>
          <w:spacing w:val="-3"/>
        </w:rPr>
      </w:pPr>
      <w:r w:rsidRPr="007F1B9F">
        <w:t xml:space="preserve">Criteria Status: </w:t>
      </w:r>
      <w:r w:rsidR="00566BE4" w:rsidRPr="007F1B9F">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45F724BE" w14:textId="77777777" w:rsidR="0016633A" w:rsidRDefault="0016633A" w:rsidP="0016633A">
      <w:pPr>
        <w:pStyle w:val="Header"/>
        <w:tabs>
          <w:tab w:val="left" w:pos="720"/>
        </w:tabs>
        <w:rPr>
          <w:rFonts w:cs="Arial"/>
          <w:spacing w:val="-3"/>
          <w:sz w:val="20"/>
        </w:rPr>
      </w:pPr>
      <w:r>
        <w:rPr>
          <w:rFonts w:cs="Arial"/>
          <w:spacing w:val="-3"/>
          <w:sz w:val="20"/>
        </w:rPr>
        <w:t>The estimated prevalence of seasonal allergic conjunctivitis is 15%, and the condition occurs in both adults and children. The common allergens include pollens, dust mites, mold spores, animal dander, perfumes, and food sensitivities. Humidity, temperature, and a person’s activity are all factors that affect the intensity, frequency, and duration of the allergic response. Activation of the immune response results in the release of inappropriately high amounts of chemical mediators – most commonly histamine. These mediators are responsible for the symptoms associated with eye allergies. Allergic conjunctivitis can produce two types of discharge, serous and mucoid. A serous discharge is watery, whereas mucoid discharge is stringy or ropy. Other symptoms include redness, tearing, swelling, burning, blurred vision, sensitivity to light, or a sensation of fullness in the eyelids. Ophthalmic antihistamines reduce the ocular symptoms and relieve the eye discomfort associated with allergic conjunctivitis.</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76C085FD" w14:textId="77777777" w:rsidR="00CB2102" w:rsidRPr="00E763EA" w:rsidRDefault="00CB2102" w:rsidP="00CB2102">
      <w:pPr>
        <w:pStyle w:val="ListParagraph"/>
        <w:rPr>
          <w:b/>
          <w:bCs/>
          <w:i/>
          <w:iCs/>
          <w:color w:val="0070C0"/>
        </w:rPr>
      </w:pPr>
      <w:r w:rsidRPr="00E763EA">
        <w:t>Alaway</w:t>
      </w:r>
      <w:r w:rsidRPr="00E763EA">
        <w:rPr>
          <w:vertAlign w:val="superscript"/>
        </w:rPr>
        <w:t>®</w:t>
      </w:r>
    </w:p>
    <w:p w14:paraId="52E13A70" w14:textId="77777777" w:rsidR="00CB2102" w:rsidRPr="00246A78" w:rsidRDefault="00CB2102" w:rsidP="00CB2102">
      <w:pPr>
        <w:pStyle w:val="ListParagraph"/>
        <w:rPr>
          <w:i/>
          <w:iCs/>
        </w:rPr>
      </w:pPr>
      <w:r w:rsidRPr="00246A78">
        <w:t>Azelastine 0.05%</w:t>
      </w:r>
    </w:p>
    <w:p w14:paraId="258BBA86" w14:textId="77777777" w:rsidR="00CB2102" w:rsidRPr="00E763EA" w:rsidRDefault="00CB2102" w:rsidP="00CB2102">
      <w:pPr>
        <w:pStyle w:val="ListParagraph"/>
        <w:rPr>
          <w:i/>
        </w:rPr>
      </w:pPr>
      <w:r w:rsidRPr="00E763EA">
        <w:t>Ketotifen 10 mL OTC</w:t>
      </w:r>
    </w:p>
    <w:p w14:paraId="7C7F665E" w14:textId="77777777" w:rsidR="00CB2102" w:rsidRPr="00E763EA" w:rsidRDefault="00CB2102" w:rsidP="00CB2102">
      <w:pPr>
        <w:pStyle w:val="ListParagraph"/>
        <w:rPr>
          <w:i/>
          <w:iCs/>
        </w:rPr>
      </w:pPr>
      <w:r w:rsidRPr="00E763EA">
        <w:t>Olopatadine 0.1% OTC</w:t>
      </w:r>
    </w:p>
    <w:p w14:paraId="1B21829C" w14:textId="2F81831C" w:rsidR="00846FA4" w:rsidRDefault="00CB2102" w:rsidP="00CB2102">
      <w:pPr>
        <w:pStyle w:val="ListParagraph"/>
      </w:pPr>
      <w:r w:rsidRPr="00E763EA">
        <w:t>Olopatadine 0.2% OTC</w:t>
      </w:r>
      <w:r w:rsidRPr="00846FA4">
        <w:rPr>
          <w:vertAlign w:val="superscript"/>
        </w:rPr>
        <w:t xml:space="preserve"> </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117F082A" w14:textId="77777777" w:rsidR="00E25F88" w:rsidRPr="00E763EA" w:rsidRDefault="00E25F88" w:rsidP="00E25F88">
      <w:pPr>
        <w:pStyle w:val="ListParagraph"/>
      </w:pPr>
      <w:r w:rsidRPr="00E763EA">
        <w:t>Bepotastine</w:t>
      </w:r>
    </w:p>
    <w:p w14:paraId="5168E3F6" w14:textId="77777777" w:rsidR="00E25F88" w:rsidRPr="00E763EA" w:rsidRDefault="00E25F88" w:rsidP="00E25F88">
      <w:pPr>
        <w:pStyle w:val="ListParagraph"/>
        <w:rPr>
          <w:iCs/>
        </w:rPr>
      </w:pPr>
      <w:r w:rsidRPr="00E763EA">
        <w:t>Bepreve</w:t>
      </w:r>
      <w:r w:rsidRPr="00E763EA">
        <w:rPr>
          <w:vertAlign w:val="superscript"/>
        </w:rPr>
        <w:sym w:font="Symbol" w:char="F0E2"/>
      </w:r>
    </w:p>
    <w:p w14:paraId="3FFE30C1" w14:textId="77777777" w:rsidR="00E25F88" w:rsidRPr="00E763EA" w:rsidRDefault="00E25F88" w:rsidP="00E25F88">
      <w:pPr>
        <w:pStyle w:val="ListParagraph"/>
        <w:rPr>
          <w:iCs/>
        </w:rPr>
      </w:pPr>
      <w:r w:rsidRPr="00E763EA">
        <w:t>Epinastine</w:t>
      </w:r>
    </w:p>
    <w:p w14:paraId="15A13488" w14:textId="77777777" w:rsidR="00E25F88" w:rsidRPr="00E763EA" w:rsidRDefault="00E25F88" w:rsidP="00E25F88">
      <w:pPr>
        <w:pStyle w:val="ListParagraph"/>
        <w:rPr>
          <w:i/>
          <w:iCs/>
        </w:rPr>
      </w:pPr>
      <w:r w:rsidRPr="00E763EA">
        <w:t>Ketotifen 5 mL OTC</w:t>
      </w:r>
    </w:p>
    <w:p w14:paraId="646905C5" w14:textId="77777777" w:rsidR="00E25F88" w:rsidRPr="00E763EA" w:rsidRDefault="00E25F88" w:rsidP="00E25F88">
      <w:pPr>
        <w:pStyle w:val="ListParagraph"/>
        <w:rPr>
          <w:iCs/>
        </w:rPr>
      </w:pPr>
      <w:r w:rsidRPr="00E763EA">
        <w:t>Olopatadine 0.1% Rx</w:t>
      </w:r>
    </w:p>
    <w:p w14:paraId="2C0F3188" w14:textId="77777777" w:rsidR="00E25F88" w:rsidRPr="00E763EA" w:rsidRDefault="00E25F88" w:rsidP="00E25F88">
      <w:pPr>
        <w:pStyle w:val="ListParagraph"/>
        <w:rPr>
          <w:iCs/>
        </w:rPr>
      </w:pPr>
      <w:r w:rsidRPr="00E763EA">
        <w:t>Olopatadine 0.2% Rx (gen Pataday</w:t>
      </w:r>
      <w:r w:rsidRPr="00E763EA">
        <w:rPr>
          <w:vertAlign w:val="superscript"/>
        </w:rPr>
        <w:t>®</w:t>
      </w:r>
      <w:r w:rsidRPr="00E763EA">
        <w:t>)</w:t>
      </w:r>
    </w:p>
    <w:p w14:paraId="5D8F3A5E" w14:textId="74F3FD1B" w:rsidR="00F55017" w:rsidRPr="00F55017" w:rsidRDefault="00F55017" w:rsidP="00F55017">
      <w:pPr>
        <w:pStyle w:val="ListParagraph"/>
        <w:rPr>
          <w:b/>
          <w:bCs/>
          <w:iCs/>
          <w:color w:val="1F497D" w:themeColor="text2"/>
        </w:rPr>
      </w:pPr>
      <w:r w:rsidRPr="00F55017">
        <w:rPr>
          <w:b/>
          <w:bCs/>
          <w:color w:val="1F497D" w:themeColor="text2"/>
        </w:rPr>
        <w:t>Olopatadine 0.</w:t>
      </w:r>
      <w:r>
        <w:rPr>
          <w:b/>
          <w:bCs/>
          <w:color w:val="1F497D" w:themeColor="text2"/>
        </w:rPr>
        <w:t>7</w:t>
      </w:r>
      <w:r w:rsidRPr="00F55017">
        <w:rPr>
          <w:b/>
          <w:bCs/>
          <w:color w:val="1F497D" w:themeColor="text2"/>
        </w:rPr>
        <w:t xml:space="preserve">% </w:t>
      </w:r>
      <w:r>
        <w:rPr>
          <w:b/>
          <w:bCs/>
          <w:color w:val="1F497D" w:themeColor="text2"/>
        </w:rPr>
        <w:t>OTC</w:t>
      </w:r>
    </w:p>
    <w:p w14:paraId="5DEBF583" w14:textId="5B378ED8" w:rsidR="00E25F88" w:rsidRPr="00E763EA" w:rsidRDefault="00E25F88" w:rsidP="00E25F88">
      <w:pPr>
        <w:pStyle w:val="ListParagraph"/>
        <w:rPr>
          <w:iCs/>
        </w:rPr>
      </w:pPr>
      <w:r w:rsidRPr="00E763EA">
        <w:t>Pataday</w:t>
      </w:r>
      <w:r w:rsidRPr="00E763EA">
        <w:rPr>
          <w:vertAlign w:val="superscript"/>
        </w:rPr>
        <w:sym w:font="Symbol" w:char="F0E2"/>
      </w:r>
    </w:p>
    <w:p w14:paraId="40368AE4" w14:textId="77777777" w:rsidR="00E25F88" w:rsidRPr="00E763EA" w:rsidRDefault="00E25F88" w:rsidP="00E25F88">
      <w:pPr>
        <w:pStyle w:val="ListParagraph"/>
        <w:rPr>
          <w:b/>
          <w:bCs/>
          <w:iCs/>
        </w:rPr>
      </w:pPr>
      <w:r w:rsidRPr="00E763EA">
        <w:t>Zaditor</w:t>
      </w:r>
      <w:r w:rsidRPr="00E763EA">
        <w:rPr>
          <w:vertAlign w:val="superscript"/>
        </w:rPr>
        <w:sym w:font="Symbol" w:char="F0E2"/>
      </w:r>
      <w:r w:rsidRPr="00E763EA">
        <w:t xml:space="preserve"> </w:t>
      </w:r>
    </w:p>
    <w:p w14:paraId="079F807A" w14:textId="55375543" w:rsidR="00846FA4" w:rsidRPr="00696E3A" w:rsidRDefault="00E25F88" w:rsidP="00E25F88">
      <w:pPr>
        <w:pStyle w:val="ListParagraph"/>
      </w:pPr>
      <w:r w:rsidRPr="00E763EA">
        <w:t>Zerviate</w:t>
      </w:r>
      <w:r w:rsidRPr="00E763EA">
        <w:rPr>
          <w:vertAlign w:val="superscript"/>
        </w:rPr>
        <w:sym w:font="Symbol" w:char="F0E2"/>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20490E7E" w:rsidR="0097028A" w:rsidRPr="0079438F" w:rsidRDefault="0097028A" w:rsidP="00696E3A">
      <w:pPr>
        <w:rPr>
          <w:b/>
        </w:rPr>
      </w:pPr>
      <w:r w:rsidRPr="00696E3A">
        <w:rPr>
          <w:b/>
          <w:bCs/>
        </w:rPr>
        <w:lastRenderedPageBreak/>
        <w:t>Drug class for review:</w:t>
      </w:r>
      <w:r w:rsidRPr="00C02553">
        <w:t xml:space="preserve"> </w:t>
      </w:r>
      <w:r w:rsidR="009A504B" w:rsidRPr="009A504B">
        <w:t>Antihistamines, Ophthalmic</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69E39BBB" w14:textId="77777777" w:rsidR="00B40F07" w:rsidRPr="002F4E3C" w:rsidRDefault="00B40F07" w:rsidP="00B40F07">
      <w:pPr>
        <w:pStyle w:val="ListBullet2"/>
        <w:numPr>
          <w:ilvl w:val="0"/>
          <w:numId w:val="18"/>
        </w:numPr>
        <w:rPr>
          <w:rFonts w:ascii="Arial" w:hAnsi="Arial" w:cs="Arial"/>
          <w:bCs/>
          <w:sz w:val="20"/>
          <w:szCs w:val="20"/>
        </w:rPr>
      </w:pPr>
      <w:r w:rsidRPr="002F4E3C">
        <w:rPr>
          <w:rFonts w:ascii="Arial" w:hAnsi="Arial" w:cs="Arial"/>
          <w:bCs/>
          <w:sz w:val="20"/>
          <w:szCs w:val="20"/>
        </w:rPr>
        <w:t xml:space="preserve">Must meet one of the following: </w:t>
      </w:r>
    </w:p>
    <w:p w14:paraId="5BDA495F" w14:textId="77777777" w:rsidR="00B40F07" w:rsidRPr="002F4E3C" w:rsidRDefault="00B40F07" w:rsidP="00B40F07">
      <w:pPr>
        <w:pStyle w:val="ListBullet2"/>
        <w:numPr>
          <w:ilvl w:val="1"/>
          <w:numId w:val="18"/>
        </w:numPr>
        <w:rPr>
          <w:rFonts w:ascii="Arial" w:hAnsi="Arial" w:cs="Arial"/>
          <w:b/>
          <w:sz w:val="20"/>
          <w:szCs w:val="20"/>
        </w:rPr>
      </w:pPr>
      <w:r w:rsidRPr="002F4E3C">
        <w:rPr>
          <w:rFonts w:ascii="Arial" w:hAnsi="Arial" w:cs="Arial"/>
          <w:bCs/>
          <w:sz w:val="20"/>
          <w:szCs w:val="20"/>
        </w:rPr>
        <w:t>Claim is for a preferred agent;</w:t>
      </w:r>
      <w:r w:rsidRPr="002F4E3C">
        <w:rPr>
          <w:rFonts w:ascii="Arial" w:hAnsi="Arial" w:cs="Arial"/>
          <w:b/>
          <w:sz w:val="20"/>
          <w:szCs w:val="20"/>
        </w:rPr>
        <w:t xml:space="preserve"> OR</w:t>
      </w:r>
    </w:p>
    <w:p w14:paraId="603DA5B0" w14:textId="77777777" w:rsidR="00B40F07" w:rsidRPr="002F4E3C" w:rsidRDefault="00B40F07" w:rsidP="00B40F07">
      <w:pPr>
        <w:pStyle w:val="ListBullet2"/>
        <w:numPr>
          <w:ilvl w:val="1"/>
          <w:numId w:val="18"/>
        </w:numPr>
        <w:rPr>
          <w:rFonts w:ascii="Arial" w:hAnsi="Arial" w:cs="Arial"/>
          <w:b/>
          <w:sz w:val="20"/>
          <w:szCs w:val="20"/>
        </w:rPr>
      </w:pPr>
      <w:r w:rsidRPr="002F4E3C">
        <w:rPr>
          <w:rFonts w:ascii="Arial" w:hAnsi="Arial" w:cs="Arial"/>
          <w:sz w:val="20"/>
          <w:szCs w:val="20"/>
        </w:rPr>
        <w:t xml:space="preserve">Failure to achieve desired therapeutic outcomes with trial on 2 or more preferred agents; </w:t>
      </w:r>
    </w:p>
    <w:p w14:paraId="380A4B85" w14:textId="77777777" w:rsidR="00B40F07" w:rsidRPr="002F4E3C" w:rsidRDefault="00B40F07" w:rsidP="00B40F07">
      <w:pPr>
        <w:pStyle w:val="ListBullet3"/>
        <w:numPr>
          <w:ilvl w:val="2"/>
          <w:numId w:val="18"/>
        </w:numPr>
        <w:rPr>
          <w:rFonts w:cs="Arial"/>
          <w:szCs w:val="20"/>
        </w:rPr>
      </w:pPr>
      <w:r w:rsidRPr="002F4E3C">
        <w:rPr>
          <w:rFonts w:cs="Arial"/>
          <w:szCs w:val="20"/>
        </w:rPr>
        <w:t xml:space="preserve">Documented trial period of preferred agents; </w:t>
      </w:r>
      <w:r w:rsidRPr="002F4E3C">
        <w:rPr>
          <w:rFonts w:cs="Arial"/>
          <w:b/>
          <w:bCs/>
          <w:szCs w:val="20"/>
        </w:rPr>
        <w:t>OR</w:t>
      </w:r>
    </w:p>
    <w:p w14:paraId="7E000D72" w14:textId="77777777" w:rsidR="00B40F07" w:rsidRPr="002F4E3C" w:rsidRDefault="00B40F07" w:rsidP="00B40F07">
      <w:pPr>
        <w:pStyle w:val="ListBullet3"/>
        <w:numPr>
          <w:ilvl w:val="2"/>
          <w:numId w:val="18"/>
        </w:numPr>
        <w:rPr>
          <w:rFonts w:cs="Arial"/>
          <w:szCs w:val="20"/>
        </w:rPr>
      </w:pPr>
      <w:r w:rsidRPr="002F4E3C">
        <w:rPr>
          <w:rFonts w:cs="Arial"/>
          <w:szCs w:val="20"/>
        </w:rPr>
        <w:t>Documented ADE/ADR to preferred agents</w:t>
      </w:r>
      <w:r>
        <w:rPr>
          <w:rFonts w:cs="Arial"/>
          <w:szCs w:val="20"/>
        </w:rPr>
        <w:t>.</w:t>
      </w:r>
      <w:r w:rsidRPr="002F4E3C">
        <w:rPr>
          <w:rFonts w:cs="Arial"/>
          <w:szCs w:val="20"/>
        </w:rPr>
        <w:t xml:space="preserve">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733B728D" w14:textId="77777777" w:rsidR="00B40F07" w:rsidRDefault="00904D7A" w:rsidP="00C722C9">
      <w:pPr>
        <w:pStyle w:val="ListParagraph"/>
        <w:numPr>
          <w:ilvl w:val="1"/>
          <w:numId w:val="6"/>
        </w:numPr>
      </w:pPr>
      <w:r w:rsidRPr="005328B2">
        <w:t>Any approval criteria are not met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12E9CCFC" w14:textId="77777777" w:rsidR="0010349A" w:rsidRPr="004C762E" w:rsidRDefault="0010349A" w:rsidP="0010349A">
      <w:pPr>
        <w:pStyle w:val="ListParagraph"/>
      </w:pPr>
      <w:r w:rsidRPr="004C762E">
        <w:t xml:space="preserve">Evidence-Based Medicine and Fiscal Analysis: “Therapeutic Class Review: OPHTHALMIC: Antihistamines”, Gainwell Technologies; Last updated </w:t>
      </w:r>
      <w:r>
        <w:t>January 24, 2025</w:t>
      </w:r>
      <w:r w:rsidRPr="004C762E">
        <w:t>.</w:t>
      </w:r>
    </w:p>
    <w:p w14:paraId="2E69981E" w14:textId="63A9110F" w:rsidR="0010349A" w:rsidRPr="004C762E" w:rsidRDefault="0010349A" w:rsidP="0010349A">
      <w:pPr>
        <w:pStyle w:val="ListParagraph"/>
      </w:pPr>
      <w:r w:rsidRPr="004C762E">
        <w:t xml:space="preserve">Evidence-Based Medicine Analysis: “Ophthalmic Antihistamines and Allergy Agents”, UMKC-DIC; Last updated </w:t>
      </w:r>
      <w:r w:rsidR="000B4E77">
        <w:t>February 2026</w:t>
      </w:r>
      <w:r w:rsidRPr="004C762E">
        <w:t>.</w:t>
      </w:r>
    </w:p>
    <w:p w14:paraId="23FD960F" w14:textId="3A3250E9" w:rsidR="0010349A" w:rsidRPr="00700A44" w:rsidRDefault="0010349A" w:rsidP="0010349A">
      <w:pPr>
        <w:pStyle w:val="ListParagraph"/>
        <w:rPr>
          <w:rStyle w:val="normaltextrun"/>
          <w:rFonts w:cs="Arial"/>
        </w:rPr>
      </w:pPr>
      <w:r w:rsidRPr="00BF4E23">
        <w:t>USPDI, Micromedex; 202</w:t>
      </w:r>
      <w:r>
        <w:t>6</w:t>
      </w:r>
      <w:r w:rsidRPr="00BF4E23">
        <w:t xml:space="preserve">. </w:t>
      </w:r>
    </w:p>
    <w:p w14:paraId="3FA1E7DB" w14:textId="187BB239" w:rsidR="00777CA4" w:rsidRDefault="0010349A" w:rsidP="0010349A">
      <w:pPr>
        <w:pStyle w:val="ListParagraph"/>
      </w:pPr>
      <w:r w:rsidRPr="00191765">
        <w:rPr>
          <w:rStyle w:val="normaltextrun"/>
          <w:rFonts w:cs="Arial"/>
          <w:szCs w:val="20"/>
        </w:rPr>
        <w:t>Facts and Comparisons </w:t>
      </w:r>
      <w:r w:rsidRPr="00191765">
        <w:rPr>
          <w:rStyle w:val="spellingerror"/>
          <w:rFonts w:cs="Arial"/>
          <w:szCs w:val="20"/>
        </w:rPr>
        <w:t>eAnswers</w:t>
      </w:r>
      <w:r w:rsidRPr="00191765">
        <w:rPr>
          <w:rStyle w:val="normaltextrun"/>
          <w:rFonts w:cs="Arial"/>
          <w:szCs w:val="20"/>
        </w:rPr>
        <w:t> (online); 202</w:t>
      </w:r>
      <w:r>
        <w:rPr>
          <w:rStyle w:val="normaltextrun"/>
          <w:rFonts w:cs="Arial"/>
          <w:szCs w:val="20"/>
        </w:rPr>
        <w:t>6</w:t>
      </w:r>
      <w:r w:rsidRPr="00191765">
        <w:rPr>
          <w:rStyle w:val="normaltextrun"/>
          <w:rFonts w:cs="Arial"/>
          <w:szCs w:val="20"/>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7ED3D" w14:textId="77777777" w:rsidR="00DB1CB9" w:rsidRPr="00C02553" w:rsidRDefault="00DB1CB9" w:rsidP="00AE77DB">
      <w:r w:rsidRPr="00C02553">
        <w:separator/>
      </w:r>
    </w:p>
  </w:endnote>
  <w:endnote w:type="continuationSeparator" w:id="0">
    <w:p w14:paraId="46A3EEAC" w14:textId="77777777" w:rsidR="00DB1CB9" w:rsidRPr="00C02553" w:rsidRDefault="00DB1CB9" w:rsidP="00AE77DB">
      <w:r w:rsidRPr="00C02553">
        <w:continuationSeparator/>
      </w:r>
    </w:p>
  </w:endnote>
  <w:endnote w:type="continuationNotice" w:id="1">
    <w:p w14:paraId="410B79D2" w14:textId="77777777" w:rsidR="00DB1CB9" w:rsidRPr="00C02553" w:rsidRDefault="00DB1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F026" w14:textId="77777777" w:rsidR="00DB1CB9" w:rsidRPr="00C02553" w:rsidRDefault="00DB1CB9" w:rsidP="00AE77DB">
      <w:r w:rsidRPr="00C02553">
        <w:separator/>
      </w:r>
    </w:p>
  </w:footnote>
  <w:footnote w:type="continuationSeparator" w:id="0">
    <w:p w14:paraId="001FB8B2" w14:textId="77777777" w:rsidR="00DB1CB9" w:rsidRPr="00C02553" w:rsidRDefault="00DB1CB9" w:rsidP="00AE77DB">
      <w:r w:rsidRPr="00C02553">
        <w:continuationSeparator/>
      </w:r>
    </w:p>
  </w:footnote>
  <w:footnote w:type="continuationNotice" w:id="1">
    <w:p w14:paraId="19D02C3E" w14:textId="77777777" w:rsidR="00DB1CB9" w:rsidRPr="00C02553" w:rsidRDefault="00DB1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77172B">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77172B">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77172B">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155C07"/>
    <w:multiLevelType w:val="hybridMultilevel"/>
    <w:tmpl w:val="8B3056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8D40C3"/>
    <w:multiLevelType w:val="multilevel"/>
    <w:tmpl w:val="E1A2A51C"/>
    <w:numStyleLink w:val="References"/>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64FA9"/>
    <w:multiLevelType w:val="hybridMultilevel"/>
    <w:tmpl w:val="9648D3D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643976"/>
    <w:multiLevelType w:val="hybridMultilevel"/>
    <w:tmpl w:val="B9DE1942"/>
    <w:lvl w:ilvl="0" w:tplc="51B4BA92">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322E5B70"/>
    <w:lvl w:ilvl="0">
      <w:start w:val="1"/>
      <w:numFmt w:val="bullet"/>
      <w:pStyle w:val="ListParagraph"/>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5"/>
  </w:num>
  <w:num w:numId="4" w16cid:durableId="320159068">
    <w:abstractNumId w:val="9"/>
  </w:num>
  <w:num w:numId="5" w16cid:durableId="1769498754">
    <w:abstractNumId w:val="3"/>
  </w:num>
  <w:num w:numId="6" w16cid:durableId="1094596320">
    <w:abstractNumId w:val="15"/>
  </w:num>
  <w:num w:numId="7" w16cid:durableId="2110008555">
    <w:abstractNumId w:val="2"/>
  </w:num>
  <w:num w:numId="8" w16cid:durableId="489712751">
    <w:abstractNumId w:val="8"/>
  </w:num>
  <w:num w:numId="9" w16cid:durableId="1085147965">
    <w:abstractNumId w:val="12"/>
  </w:num>
  <w:num w:numId="10" w16cid:durableId="917518096">
    <w:abstractNumId w:val="10"/>
  </w:num>
  <w:num w:numId="11" w16cid:durableId="1894998475">
    <w:abstractNumId w:val="1"/>
  </w:num>
  <w:num w:numId="12" w16cid:durableId="1418215296">
    <w:abstractNumId w:val="17"/>
  </w:num>
  <w:num w:numId="13" w16cid:durableId="604729665">
    <w:abstractNumId w:val="6"/>
  </w:num>
  <w:num w:numId="14" w16cid:durableId="1805081292">
    <w:abstractNumId w:val="14"/>
  </w:num>
  <w:num w:numId="15" w16cid:durableId="1812215363">
    <w:abstractNumId w:val="16"/>
  </w:num>
  <w:num w:numId="16" w16cid:durableId="1234393448">
    <w:abstractNumId w:val="11"/>
  </w:num>
  <w:num w:numId="17" w16cid:durableId="2087917191">
    <w:abstractNumId w:val="4"/>
  </w:num>
  <w:num w:numId="18" w16cid:durableId="1872835823">
    <w:abstractNumId w:val="13"/>
  </w:num>
  <w:num w:numId="19" w16cid:durableId="208155686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Qzc09Tiyzq/LHxhMm7bCvdR6SoHGCD+XaZg/2EBkF9NTTtcvySpWrufc+MmnsE4va1+Cc5uhcXrBkpZ8T41flA==" w:salt="i0SQ45n6oi5DC8ymIUTc+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44D99"/>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B4E77"/>
    <w:rsid w:val="000C3940"/>
    <w:rsid w:val="000C5992"/>
    <w:rsid w:val="000E1479"/>
    <w:rsid w:val="000E231E"/>
    <w:rsid w:val="000E247D"/>
    <w:rsid w:val="000E6B14"/>
    <w:rsid w:val="000E70D8"/>
    <w:rsid w:val="0010349A"/>
    <w:rsid w:val="001062F6"/>
    <w:rsid w:val="00112FC7"/>
    <w:rsid w:val="00125F5F"/>
    <w:rsid w:val="00126951"/>
    <w:rsid w:val="00126B60"/>
    <w:rsid w:val="00127EF6"/>
    <w:rsid w:val="001310AD"/>
    <w:rsid w:val="001314A5"/>
    <w:rsid w:val="00132C7F"/>
    <w:rsid w:val="00144DBE"/>
    <w:rsid w:val="00152C8B"/>
    <w:rsid w:val="0015636A"/>
    <w:rsid w:val="0016633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B5675"/>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878C1"/>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1D2D"/>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6E661D"/>
    <w:rsid w:val="007068A4"/>
    <w:rsid w:val="00706D67"/>
    <w:rsid w:val="00713052"/>
    <w:rsid w:val="00721367"/>
    <w:rsid w:val="007231FA"/>
    <w:rsid w:val="00732C67"/>
    <w:rsid w:val="00734418"/>
    <w:rsid w:val="00737E5B"/>
    <w:rsid w:val="00756117"/>
    <w:rsid w:val="00757826"/>
    <w:rsid w:val="007632B7"/>
    <w:rsid w:val="0076382F"/>
    <w:rsid w:val="00765768"/>
    <w:rsid w:val="00765D10"/>
    <w:rsid w:val="00766AC8"/>
    <w:rsid w:val="00767486"/>
    <w:rsid w:val="00767E5A"/>
    <w:rsid w:val="0077070E"/>
    <w:rsid w:val="0077172B"/>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1B9F"/>
    <w:rsid w:val="007F6915"/>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4FC8"/>
    <w:rsid w:val="00896264"/>
    <w:rsid w:val="008A37D1"/>
    <w:rsid w:val="008A5D88"/>
    <w:rsid w:val="008B2851"/>
    <w:rsid w:val="008C000E"/>
    <w:rsid w:val="008D0F2F"/>
    <w:rsid w:val="008D237F"/>
    <w:rsid w:val="008D6B05"/>
    <w:rsid w:val="008E7D2D"/>
    <w:rsid w:val="008F44C0"/>
    <w:rsid w:val="008F5999"/>
    <w:rsid w:val="00903AD6"/>
    <w:rsid w:val="00904D7A"/>
    <w:rsid w:val="00915332"/>
    <w:rsid w:val="00917647"/>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A504B"/>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0728"/>
    <w:rsid w:val="00AE1481"/>
    <w:rsid w:val="00AE27F9"/>
    <w:rsid w:val="00AE77DB"/>
    <w:rsid w:val="00AF7453"/>
    <w:rsid w:val="00B00FFF"/>
    <w:rsid w:val="00B06084"/>
    <w:rsid w:val="00B16735"/>
    <w:rsid w:val="00B17EDE"/>
    <w:rsid w:val="00B22585"/>
    <w:rsid w:val="00B33693"/>
    <w:rsid w:val="00B34C53"/>
    <w:rsid w:val="00B40F07"/>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1B2F"/>
    <w:rsid w:val="00BB3B4D"/>
    <w:rsid w:val="00BC351E"/>
    <w:rsid w:val="00BC3F77"/>
    <w:rsid w:val="00BC5635"/>
    <w:rsid w:val="00BC5675"/>
    <w:rsid w:val="00BD081C"/>
    <w:rsid w:val="00BD277B"/>
    <w:rsid w:val="00BD47CA"/>
    <w:rsid w:val="00BD4DC4"/>
    <w:rsid w:val="00BD62C7"/>
    <w:rsid w:val="00BE020D"/>
    <w:rsid w:val="00BE354A"/>
    <w:rsid w:val="00BE6574"/>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102"/>
    <w:rsid w:val="00CB2C5A"/>
    <w:rsid w:val="00CC0B11"/>
    <w:rsid w:val="00CD6B72"/>
    <w:rsid w:val="00CE0C1C"/>
    <w:rsid w:val="00CE34AF"/>
    <w:rsid w:val="00CF00A4"/>
    <w:rsid w:val="00CF25FB"/>
    <w:rsid w:val="00CF614C"/>
    <w:rsid w:val="00D02F34"/>
    <w:rsid w:val="00D13D87"/>
    <w:rsid w:val="00D16590"/>
    <w:rsid w:val="00D20720"/>
    <w:rsid w:val="00D250D9"/>
    <w:rsid w:val="00D27533"/>
    <w:rsid w:val="00D30BB2"/>
    <w:rsid w:val="00D30FAE"/>
    <w:rsid w:val="00D42DA3"/>
    <w:rsid w:val="00D4546D"/>
    <w:rsid w:val="00D47996"/>
    <w:rsid w:val="00D5253B"/>
    <w:rsid w:val="00D61118"/>
    <w:rsid w:val="00D614F1"/>
    <w:rsid w:val="00D70D50"/>
    <w:rsid w:val="00D71917"/>
    <w:rsid w:val="00D82647"/>
    <w:rsid w:val="00DA3A0F"/>
    <w:rsid w:val="00DA4E62"/>
    <w:rsid w:val="00DA6990"/>
    <w:rsid w:val="00DB1CB9"/>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25F88"/>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40A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017"/>
    <w:rsid w:val="00F553A2"/>
    <w:rsid w:val="00F6068C"/>
    <w:rsid w:val="00F62F33"/>
    <w:rsid w:val="00F63A52"/>
    <w:rsid w:val="00F719EE"/>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spellingerror">
    <w:name w:val="spellingerror"/>
    <w:basedOn w:val="DefaultParagraphFont"/>
    <w:rsid w:val="0010349A"/>
  </w:style>
  <w:style w:type="character" w:styleId="CommentReference">
    <w:name w:val="annotation reference"/>
    <w:basedOn w:val="DefaultParagraphFont"/>
    <w:uiPriority w:val="99"/>
    <w:semiHidden/>
    <w:unhideWhenUsed/>
    <w:rsid w:val="00ED40A8"/>
    <w:rPr>
      <w:sz w:val="16"/>
      <w:szCs w:val="16"/>
    </w:rPr>
  </w:style>
  <w:style w:type="paragraph" w:styleId="CommentSubject">
    <w:name w:val="annotation subject"/>
    <w:basedOn w:val="CommentText"/>
    <w:next w:val="CommentText"/>
    <w:link w:val="CommentSubjectChar"/>
    <w:uiPriority w:val="99"/>
    <w:semiHidden/>
    <w:unhideWhenUsed/>
    <w:rsid w:val="00ED40A8"/>
    <w:rPr>
      <w:b/>
      <w:bCs/>
    </w:rPr>
  </w:style>
  <w:style w:type="character" w:customStyle="1" w:styleId="CommentTextChar">
    <w:name w:val="Comment Text Char"/>
    <w:basedOn w:val="DefaultParagraphFont"/>
    <w:link w:val="CommentText"/>
    <w:semiHidden/>
    <w:rsid w:val="00ED40A8"/>
    <w:rPr>
      <w:rFonts w:ascii="Arial" w:hAnsi="Arial"/>
    </w:rPr>
  </w:style>
  <w:style w:type="character" w:customStyle="1" w:styleId="CommentSubjectChar">
    <w:name w:val="Comment Subject Char"/>
    <w:basedOn w:val="CommentTextChar"/>
    <w:link w:val="CommentSubject"/>
    <w:uiPriority w:val="99"/>
    <w:semiHidden/>
    <w:rsid w:val="00ED40A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E41FE8-654A-4B0F-AF14-1627F282C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microsoft.com/sharepoint/v3"/>
    <ds:schemaRef ds:uri="http://schemas.microsoft.com/office/infopath/2007/PartnerControls"/>
    <ds:schemaRef ds:uri="http://purl.org/dc/term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office/2006/documentManagement/types"/>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386</Words>
  <Characters>2404</Characters>
  <Application>Microsoft Office Word</Application>
  <DocSecurity>10</DocSecurity>
  <Lines>20</Lines>
  <Paragraphs>5</Paragraphs>
  <ScaleCrop>false</ScaleCrop>
  <HeadingPairs>
    <vt:vector size="2" baseType="variant">
      <vt:variant>
        <vt:lpstr>Title</vt:lpstr>
      </vt:variant>
      <vt:variant>
        <vt:i4>1</vt:i4>
      </vt:variant>
    </vt:vector>
  </HeadingPairs>
  <TitlesOfParts>
    <vt:vector size="1" baseType="lpstr">
      <vt:lpstr>Antihistamines, Ophthalmic PDL Edit</vt:lpstr>
    </vt:vector>
  </TitlesOfParts>
  <Company>DSS</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Antihistamines, Ophthalmic PDL Edit</dc:title>
  <dc:creator>DMS</dc:creator>
  <cp:lastModifiedBy>Heriford, Katherine</cp:lastModifiedBy>
  <cp:revision>19</cp:revision>
  <cp:lastPrinted>2018-10-31T20:17:00Z</cp:lastPrinted>
  <dcterms:created xsi:type="dcterms:W3CDTF">2026-02-26T01:29:00Z</dcterms:created>
  <dcterms:modified xsi:type="dcterms:W3CDTF">2026-04-06T16:00:00Z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