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7DD83787"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EB344F">
        <w:rPr>
          <w:rFonts w:ascii="Tahoma" w:hAnsi="Tahoma" w:cs="Tahoma"/>
          <w:b/>
          <w:bCs/>
          <w:sz w:val="23"/>
          <w:szCs w:val="23"/>
        </w:rPr>
        <w:t>48</w:t>
      </w:r>
      <w:r w:rsidRPr="00C15D2B">
        <w:rPr>
          <w:rFonts w:ascii="Tahoma" w:hAnsi="Tahoma" w:cs="Tahoma"/>
          <w:b/>
          <w:bCs/>
          <w:sz w:val="23"/>
          <w:szCs w:val="23"/>
        </w:rPr>
        <w:t xml:space="preserve"> Number </w:t>
      </w:r>
      <w:r w:rsidR="00EB344F">
        <w:rPr>
          <w:rFonts w:ascii="Tahoma" w:hAnsi="Tahoma" w:cs="Tahoma"/>
          <w:b/>
          <w:bCs/>
          <w:sz w:val="23"/>
          <w:szCs w:val="23"/>
        </w:rPr>
        <w:t>54</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0D04FD2D" w:rsidR="00C15D2B" w:rsidRDefault="007128C4" w:rsidP="00C15D2B">
      <w:pPr>
        <w:spacing w:before="0" w:line="240" w:lineRule="auto"/>
        <w:jc w:val="center"/>
        <w:rPr>
          <w:rFonts w:ascii="Tahoma" w:hAnsi="Tahoma" w:cs="Tahoma"/>
          <w:b/>
          <w:bCs/>
          <w:sz w:val="32"/>
          <w:szCs w:val="32"/>
        </w:rPr>
      </w:pPr>
      <w:r>
        <w:rPr>
          <w:rFonts w:ascii="Tahoma" w:hAnsi="Tahoma" w:cs="Tahoma"/>
          <w:b/>
          <w:bCs/>
          <w:sz w:val="32"/>
          <w:szCs w:val="32"/>
        </w:rPr>
        <w:t>Telemedicine not Allowed for Nursing Home Face-to-Face Physical Examination Requirements for Wheelchair Coverage in the Durable Medical Equipment (DME) Program</w:t>
      </w:r>
    </w:p>
    <w:p w14:paraId="245D3058" w14:textId="5DA4BA14"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7128C4">
        <w:rPr>
          <w:rFonts w:ascii="Tahoma" w:hAnsi="Tahoma" w:cs="Tahoma"/>
          <w:bCs/>
          <w:sz w:val="24"/>
          <w:szCs w:val="24"/>
        </w:rPr>
        <w:t xml:space="preserve"> MO HealthNet Fee-For-Service DME Providers</w:t>
      </w:r>
    </w:p>
    <w:p w14:paraId="5CBDDB91" w14:textId="0AFAFBA7"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7128C4">
        <w:rPr>
          <w:rFonts w:ascii="Tahoma" w:hAnsi="Tahoma" w:cs="Tahoma"/>
          <w:b/>
          <w:bCs/>
        </w:rPr>
        <w:t xml:space="preserve"> </w:t>
      </w:r>
      <w:r w:rsidR="00854CF9">
        <w:rPr>
          <w:rFonts w:ascii="Tahoma" w:hAnsi="Tahoma" w:cs="Tahoma"/>
          <w:b/>
          <w:bCs/>
        </w:rPr>
        <w:t>March 23, 2026</w:t>
      </w:r>
    </w:p>
    <w:p w14:paraId="36D30714" w14:textId="303CB025"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7128C4">
        <w:rPr>
          <w:rFonts w:ascii="Tahoma" w:hAnsi="Tahoma" w:cs="Tahoma"/>
          <w:bCs/>
          <w:sz w:val="24"/>
          <w:szCs w:val="24"/>
        </w:rPr>
        <w:t>Immediately</w:t>
      </w:r>
    </w:p>
    <w:p w14:paraId="7F26687A" w14:textId="76D653FC" w:rsidR="00C15D2B" w:rsidRPr="007128C4" w:rsidRDefault="007128C4" w:rsidP="007128C4">
      <w:pPr>
        <w:pStyle w:val="ListParagraph"/>
        <w:numPr>
          <w:ilvl w:val="0"/>
          <w:numId w:val="25"/>
        </w:numPr>
        <w:rPr>
          <w:rFonts w:ascii="Tahoma" w:hAnsi="Tahoma" w:cs="Tahoma"/>
          <w:sz w:val="23"/>
          <w:szCs w:val="23"/>
        </w:rPr>
      </w:pPr>
      <w:r>
        <w:rPr>
          <w:rFonts w:ascii="Tahoma" w:hAnsi="Tahoma" w:cs="Tahoma"/>
          <w:sz w:val="23"/>
          <w:szCs w:val="23"/>
        </w:rPr>
        <w:t>Telemedicine not Allowed for Nursing Home Face-to-Face Physical Examination Requirements for Wheelchair Coverage</w:t>
      </w:r>
    </w:p>
    <w:p w14:paraId="69E1A31C" w14:textId="2F00E2EE" w:rsidR="007128C4" w:rsidRPr="007128C4" w:rsidRDefault="007128C4" w:rsidP="007128C4">
      <w:pPr>
        <w:jc w:val="both"/>
        <w:rPr>
          <w:rFonts w:ascii="Tahoma" w:hAnsi="Tahoma" w:cs="Tahoma"/>
          <w:bCs/>
          <w:sz w:val="23"/>
          <w:szCs w:val="23"/>
          <w:u w:val="single"/>
        </w:rPr>
      </w:pPr>
      <w:r w:rsidRPr="007128C4">
        <w:rPr>
          <w:rFonts w:ascii="Tahoma" w:hAnsi="Tahoma" w:cs="Tahoma"/>
          <w:b/>
          <w:noProof/>
          <w:sz w:val="23"/>
          <w:szCs w:val="23"/>
          <w:u w:val="single"/>
        </w:rPr>
        <w:t>Telemedicine not Allowed for Nursing Home Face-to-Face Physical Examination Requirements for Wheelchair Coverage</w:t>
      </w:r>
    </w:p>
    <w:p w14:paraId="4F77B9E1" w14:textId="77777777" w:rsidR="007128C4" w:rsidRPr="007128C4" w:rsidRDefault="007128C4" w:rsidP="007128C4">
      <w:pPr>
        <w:spacing w:before="0" w:after="0" w:line="240" w:lineRule="auto"/>
        <w:jc w:val="both"/>
        <w:rPr>
          <w:rFonts w:ascii="Tahoma" w:hAnsi="Tahoma" w:cs="Tahoma"/>
          <w:sz w:val="23"/>
          <w:szCs w:val="23"/>
        </w:rPr>
      </w:pPr>
      <w:r w:rsidRPr="007128C4">
        <w:rPr>
          <w:rFonts w:ascii="Tahoma" w:hAnsi="Tahoma" w:cs="Tahoma"/>
          <w:bCs/>
          <w:sz w:val="23"/>
          <w:szCs w:val="23"/>
        </w:rPr>
        <w:t xml:space="preserve">Effective immediately, the MO HealthNet Division (MHD) will not allow face-to-face physical examinations for wheelchair coverage to be performed via telemedicine for participants residing in a Nursing Home (NH). </w:t>
      </w:r>
      <w:r w:rsidRPr="007128C4">
        <w:rPr>
          <w:rFonts w:ascii="Tahoma" w:hAnsi="Tahoma" w:cs="Tahoma"/>
          <w:sz w:val="23"/>
          <w:szCs w:val="23"/>
        </w:rPr>
        <w:t>The physical examination component of the required face-to-face assessment must be performed in person by the prescribing practitioner or by a licensed physical therapist or occupational therapist.</w:t>
      </w:r>
    </w:p>
    <w:p w14:paraId="3F22C095" w14:textId="77777777" w:rsidR="007128C4" w:rsidRPr="007128C4" w:rsidRDefault="007128C4" w:rsidP="007128C4">
      <w:pPr>
        <w:spacing w:before="100" w:beforeAutospacing="1" w:after="100" w:afterAutospacing="1" w:line="240" w:lineRule="auto"/>
        <w:jc w:val="both"/>
        <w:rPr>
          <w:rFonts w:ascii="Tahoma" w:eastAsiaTheme="minorHAnsi" w:hAnsi="Tahoma" w:cs="Tahoma"/>
          <w:color w:val="26282A"/>
          <w:sz w:val="23"/>
          <w:szCs w:val="23"/>
        </w:rPr>
      </w:pPr>
      <w:r w:rsidRPr="007128C4">
        <w:rPr>
          <w:rFonts w:ascii="Tahoma" w:eastAsiaTheme="minorHAnsi" w:hAnsi="Tahoma" w:cs="Tahoma"/>
          <w:sz w:val="23"/>
          <w:szCs w:val="23"/>
        </w:rPr>
        <w:t xml:space="preserve">Telemedicine evaluations </w:t>
      </w:r>
      <w:r w:rsidRPr="007128C4">
        <w:rPr>
          <w:rFonts w:ascii="Tahoma" w:eastAsiaTheme="minorHAnsi" w:hAnsi="Tahoma" w:cs="Tahoma"/>
          <w:color w:val="26282A"/>
          <w:sz w:val="23"/>
          <w:szCs w:val="23"/>
        </w:rPr>
        <w:t xml:space="preserve">do not meet the physical examination requirements for NH wheelchair requests because they cannot provide the objective physical measurements needed to determine medical necessity and coverage. </w:t>
      </w:r>
    </w:p>
    <w:p w14:paraId="3342F7C9" w14:textId="77777777" w:rsidR="007128C4" w:rsidRPr="007128C4" w:rsidRDefault="007128C4" w:rsidP="007128C4">
      <w:pPr>
        <w:spacing w:before="100" w:beforeAutospacing="1" w:after="100" w:afterAutospacing="1" w:line="240" w:lineRule="auto"/>
        <w:jc w:val="both"/>
        <w:rPr>
          <w:rFonts w:ascii="Tahoma" w:eastAsiaTheme="minorHAnsi" w:hAnsi="Tahoma" w:cs="Tahoma"/>
          <w:color w:val="26282A"/>
          <w:sz w:val="23"/>
          <w:szCs w:val="23"/>
        </w:rPr>
      </w:pPr>
      <w:r w:rsidRPr="007128C4">
        <w:rPr>
          <w:rFonts w:ascii="Tahoma" w:eastAsiaTheme="minorHAnsi" w:hAnsi="Tahoma" w:cs="Tahoma"/>
          <w:color w:val="26282A"/>
          <w:sz w:val="23"/>
          <w:szCs w:val="23"/>
        </w:rPr>
        <w:t>All NHs must ensure access to a prescribing practitioner and licensed physical or occupational therapists who are qualified and trained to perform required assessments, including, but not limited to:</w:t>
      </w:r>
    </w:p>
    <w:p w14:paraId="2B28A3D3" w14:textId="77777777" w:rsidR="007128C4" w:rsidRPr="007128C4" w:rsidRDefault="007128C4" w:rsidP="007128C4">
      <w:pPr>
        <w:numPr>
          <w:ilvl w:val="0"/>
          <w:numId w:val="26"/>
        </w:numPr>
        <w:spacing w:before="100" w:beforeAutospacing="1" w:after="100" w:afterAutospacing="1" w:line="240" w:lineRule="auto"/>
        <w:jc w:val="both"/>
        <w:rPr>
          <w:rFonts w:ascii="Tahoma" w:hAnsi="Tahoma" w:cs="Tahoma"/>
          <w:color w:val="26282A"/>
          <w:sz w:val="23"/>
          <w:szCs w:val="23"/>
        </w:rPr>
      </w:pPr>
      <w:r w:rsidRPr="007128C4">
        <w:rPr>
          <w:rFonts w:ascii="Tahoma" w:hAnsi="Tahoma" w:cs="Tahoma"/>
          <w:color w:val="26282A"/>
          <w:sz w:val="23"/>
          <w:szCs w:val="23"/>
        </w:rPr>
        <w:t>Muscle strength testing</w:t>
      </w:r>
    </w:p>
    <w:p w14:paraId="5121AC45" w14:textId="77777777" w:rsidR="007128C4" w:rsidRPr="007128C4" w:rsidRDefault="007128C4" w:rsidP="007128C4">
      <w:pPr>
        <w:numPr>
          <w:ilvl w:val="0"/>
          <w:numId w:val="26"/>
        </w:numPr>
        <w:spacing w:before="100" w:beforeAutospacing="1" w:after="100" w:afterAutospacing="1" w:line="240" w:lineRule="auto"/>
        <w:jc w:val="both"/>
        <w:rPr>
          <w:rFonts w:ascii="Tahoma" w:hAnsi="Tahoma" w:cs="Tahoma"/>
          <w:color w:val="26282A"/>
          <w:sz w:val="23"/>
          <w:szCs w:val="23"/>
        </w:rPr>
      </w:pPr>
      <w:r w:rsidRPr="007128C4">
        <w:rPr>
          <w:rFonts w:ascii="Tahoma" w:hAnsi="Tahoma" w:cs="Tahoma"/>
          <w:color w:val="26282A"/>
          <w:sz w:val="23"/>
          <w:szCs w:val="23"/>
        </w:rPr>
        <w:t>Range-of-motion measurements</w:t>
      </w:r>
    </w:p>
    <w:p w14:paraId="13DAAC02" w14:textId="77777777" w:rsidR="007128C4" w:rsidRPr="007128C4" w:rsidRDefault="007128C4" w:rsidP="007128C4">
      <w:pPr>
        <w:numPr>
          <w:ilvl w:val="0"/>
          <w:numId w:val="26"/>
        </w:numPr>
        <w:spacing w:before="100" w:beforeAutospacing="1" w:after="100" w:afterAutospacing="1" w:line="240" w:lineRule="auto"/>
        <w:jc w:val="both"/>
        <w:rPr>
          <w:rFonts w:ascii="Tahoma" w:hAnsi="Tahoma" w:cs="Tahoma"/>
          <w:color w:val="26282A"/>
          <w:sz w:val="23"/>
          <w:szCs w:val="23"/>
        </w:rPr>
      </w:pPr>
      <w:r w:rsidRPr="007128C4">
        <w:rPr>
          <w:rFonts w:ascii="Tahoma" w:hAnsi="Tahoma" w:cs="Tahoma"/>
          <w:color w:val="26282A"/>
          <w:sz w:val="23"/>
          <w:szCs w:val="23"/>
        </w:rPr>
        <w:t>Functional performance evaluations necessary to support wheelchair coverage and accessory requests</w:t>
      </w:r>
    </w:p>
    <w:p w14:paraId="47059381" w14:textId="77777777" w:rsidR="007128C4" w:rsidRPr="007128C4" w:rsidRDefault="007128C4" w:rsidP="007128C4">
      <w:pPr>
        <w:spacing w:before="100" w:beforeAutospacing="1" w:after="100" w:afterAutospacing="1" w:line="240" w:lineRule="auto"/>
        <w:jc w:val="both"/>
        <w:rPr>
          <w:rFonts w:ascii="Tahoma" w:hAnsi="Tahoma" w:cs="Tahoma"/>
          <w:color w:val="26282A"/>
          <w:sz w:val="23"/>
          <w:szCs w:val="23"/>
        </w:rPr>
      </w:pPr>
      <w:r w:rsidRPr="007128C4">
        <w:rPr>
          <w:rFonts w:ascii="Tahoma" w:eastAsiaTheme="minorHAnsi" w:hAnsi="Tahoma" w:cs="Tahoma"/>
          <w:color w:val="26282A"/>
          <w:sz w:val="23"/>
          <w:szCs w:val="23"/>
        </w:rPr>
        <w:t xml:space="preserve">Chart notes from a telemedicine visit alone are not sufficient to establish medical necessity and may only be used as supporting documentation in conjunction with in-person office visit notes. Failure to provide documentation of an in-person, hands-on physical examination may result in denial of coverage for wheelchair equipment and related accessories for participants residing in a NH. </w:t>
      </w:r>
    </w:p>
    <w:p w14:paraId="3BF8A058" w14:textId="77777777" w:rsidR="007128C4" w:rsidRPr="007128C4" w:rsidRDefault="007128C4" w:rsidP="007128C4">
      <w:pPr>
        <w:shd w:val="clear" w:color="auto" w:fill="FFFFFF"/>
        <w:spacing w:before="0" w:after="160" w:line="320" w:lineRule="atLeast"/>
        <w:jc w:val="both"/>
        <w:rPr>
          <w:rFonts w:ascii="Tahoma" w:hAnsi="Tahoma" w:cs="Tahoma"/>
          <w:color w:val="333333"/>
          <w:sz w:val="23"/>
          <w:szCs w:val="23"/>
        </w:rPr>
      </w:pPr>
      <w:r w:rsidRPr="007128C4">
        <w:rPr>
          <w:rFonts w:ascii="Tahoma" w:hAnsi="Tahoma" w:cs="Tahoma"/>
          <w:color w:val="333333"/>
          <w:sz w:val="23"/>
          <w:szCs w:val="23"/>
        </w:rPr>
        <w:lastRenderedPageBreak/>
        <w:t xml:space="preserve">Providers should ensure they are </w:t>
      </w:r>
      <w:hyperlink r:id="rId12" w:history="1">
        <w:r w:rsidRPr="007128C4">
          <w:rPr>
            <w:rFonts w:ascii="Tahoma" w:hAnsi="Tahoma" w:cs="Tahoma"/>
            <w:color w:val="0000FF"/>
            <w:sz w:val="23"/>
            <w:szCs w:val="23"/>
            <w:u w:val="single"/>
          </w:rPr>
          <w:t>subscribed</w:t>
        </w:r>
      </w:hyperlink>
      <w:r w:rsidRPr="007128C4">
        <w:rPr>
          <w:rFonts w:ascii="Tahoma" w:hAnsi="Tahoma" w:cs="Tahoma"/>
          <w:color w:val="333333"/>
          <w:sz w:val="23"/>
          <w:szCs w:val="23"/>
        </w:rPr>
        <w:t xml:space="preserve"> to </w:t>
      </w:r>
      <w:hyperlink r:id="rId13" w:history="1">
        <w:r w:rsidRPr="007128C4">
          <w:rPr>
            <w:rFonts w:ascii="Tahoma" w:hAnsi="Tahoma" w:cs="Tahoma"/>
            <w:color w:val="0000FF"/>
            <w:sz w:val="23"/>
            <w:szCs w:val="23"/>
            <w:u w:val="single"/>
          </w:rPr>
          <w:t>MO HealthNet News</w:t>
        </w:r>
      </w:hyperlink>
      <w:r w:rsidRPr="007128C4">
        <w:rPr>
          <w:rFonts w:ascii="Tahoma" w:hAnsi="Tahoma" w:cs="Tahoma"/>
          <w:color w:val="333333"/>
          <w:sz w:val="23"/>
          <w:szCs w:val="23"/>
        </w:rPr>
        <w:t xml:space="preserve"> so they are notified of updated information.</w:t>
      </w:r>
    </w:p>
    <w:p w14:paraId="4C2C19B3" w14:textId="77777777" w:rsidR="007128C4" w:rsidRPr="007128C4" w:rsidRDefault="007128C4" w:rsidP="007128C4">
      <w:pPr>
        <w:shd w:val="clear" w:color="auto" w:fill="FFFFFF"/>
        <w:spacing w:after="160" w:line="320" w:lineRule="atLeast"/>
        <w:jc w:val="both"/>
        <w:rPr>
          <w:rFonts w:ascii="Tahoma" w:hAnsi="Tahoma" w:cs="Tahoma"/>
          <w:color w:val="333333"/>
          <w:sz w:val="23"/>
          <w:szCs w:val="23"/>
        </w:rPr>
      </w:pPr>
      <w:r w:rsidRPr="007128C4">
        <w:rPr>
          <w:rFonts w:ascii="Tahoma" w:hAnsi="Tahoma" w:cs="Tahoma"/>
          <w:sz w:val="23"/>
          <w:szCs w:val="23"/>
        </w:rPr>
        <w:t xml:space="preserve">For additional information, refer to the </w:t>
      </w:r>
      <w:hyperlink r:id="rId14" w:history="1">
        <w:r w:rsidRPr="007128C4">
          <w:rPr>
            <w:rFonts w:ascii="Tahoma" w:hAnsi="Tahoma" w:cs="Tahoma"/>
            <w:color w:val="0000FF"/>
            <w:sz w:val="23"/>
            <w:szCs w:val="23"/>
            <w:u w:val="single"/>
          </w:rPr>
          <w:t>DME Provider Manual</w:t>
        </w:r>
      </w:hyperlink>
      <w:r w:rsidRPr="007128C4">
        <w:rPr>
          <w:rFonts w:ascii="Tahoma" w:hAnsi="Tahoma" w:cs="Tahoma"/>
          <w:sz w:val="23"/>
          <w:szCs w:val="23"/>
        </w:rPr>
        <w:t xml:space="preserve">. </w:t>
      </w:r>
    </w:p>
    <w:p w14:paraId="52E2B7AD" w14:textId="77777777" w:rsidR="007128C4" w:rsidRPr="007128C4" w:rsidRDefault="007128C4" w:rsidP="007128C4">
      <w:pPr>
        <w:spacing w:after="0" w:line="240" w:lineRule="auto"/>
        <w:jc w:val="both"/>
        <w:rPr>
          <w:rFonts w:ascii="Tahoma" w:hAnsi="Tahoma" w:cs="Tahoma"/>
          <w:sz w:val="23"/>
          <w:szCs w:val="23"/>
        </w:rPr>
      </w:pPr>
      <w:r w:rsidRPr="007128C4">
        <w:rPr>
          <w:rFonts w:ascii="Tahoma" w:hAnsi="Tahoma" w:cs="Tahoma"/>
          <w:sz w:val="23"/>
          <w:szCs w:val="23"/>
        </w:rPr>
        <w:t xml:space="preserve">For questions regarding claims, contact Provider Communications via </w:t>
      </w:r>
      <w:hyperlink r:id="rId15" w:history="1">
        <w:r w:rsidRPr="007128C4">
          <w:rPr>
            <w:rFonts w:ascii="Tahoma" w:hAnsi="Tahoma" w:cs="Tahoma"/>
            <w:color w:val="0000FF"/>
            <w:sz w:val="23"/>
            <w:szCs w:val="23"/>
            <w:u w:val="single"/>
          </w:rPr>
          <w:t>eMOMED</w:t>
        </w:r>
      </w:hyperlink>
      <w:r w:rsidRPr="007128C4">
        <w:rPr>
          <w:rFonts w:ascii="Tahoma" w:hAnsi="Tahoma" w:cs="Tahoma"/>
          <w:sz w:val="23"/>
          <w:szCs w:val="23"/>
        </w:rPr>
        <w:t xml:space="preserve"> or by calling (833) 222-7916.</w:t>
      </w:r>
    </w:p>
    <w:p w14:paraId="3D0F53CB" w14:textId="77777777" w:rsidR="00366D97" w:rsidRPr="00366D97" w:rsidRDefault="00366D97" w:rsidP="00366D97">
      <w:pPr>
        <w:spacing w:before="0" w:after="0" w:line="240" w:lineRule="auto"/>
        <w:rPr>
          <w:rFonts w:cs="Arial"/>
          <w:sz w:val="2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6"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7"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8"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9"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0"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1"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2"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3"/>
      <w:footerReference w:type="first" r:id="rId24"/>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1D8A" w14:textId="77777777" w:rsidR="008B5E88" w:rsidRDefault="008B5E88">
      <w:r>
        <w:separator/>
      </w:r>
    </w:p>
  </w:endnote>
  <w:endnote w:type="continuationSeparator" w:id="0">
    <w:p w14:paraId="6C76A268" w14:textId="77777777" w:rsidR="008B5E88" w:rsidRDefault="008B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3501" w14:textId="77777777" w:rsidR="008B5E88" w:rsidRDefault="008B5E88">
      <w:r>
        <w:separator/>
      </w:r>
    </w:p>
  </w:footnote>
  <w:footnote w:type="continuationSeparator" w:id="0">
    <w:p w14:paraId="65E5A65D" w14:textId="77777777" w:rsidR="008B5E88" w:rsidRDefault="008B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15FA9FED" w:rsidR="00930D08" w:rsidRDefault="00930D08" w:rsidP="00EB344F">
    <w:pPr>
      <w:tabs>
        <w:tab w:val="center" w:pos="5040"/>
        <w:tab w:val="right" w:pos="9840"/>
      </w:tabs>
      <w:spacing w:before="0" w:after="0" w:line="240" w:lineRule="auto"/>
      <w:rPr>
        <w:sz w:val="20"/>
      </w:rPr>
    </w:pPr>
    <w:r>
      <w:rPr>
        <w:sz w:val="20"/>
      </w:rPr>
      <w:t xml:space="preserve">Volume </w:t>
    </w:r>
    <w:r w:rsidR="00EB344F">
      <w:rPr>
        <w:sz w:val="20"/>
      </w:rPr>
      <w:t>48</w:t>
    </w:r>
    <w:r>
      <w:rPr>
        <w:sz w:val="20"/>
      </w:rPr>
      <w:t xml:space="preserve"> Number </w:t>
    </w:r>
    <w:r w:rsidR="00EB344F">
      <w:rPr>
        <w:sz w:val="20"/>
      </w:rPr>
      <w:t>54</w:t>
    </w:r>
    <w:r w:rsidR="00F0134D">
      <w:rPr>
        <w:sz w:val="20"/>
      </w:rPr>
      <w:tab/>
    </w:r>
    <w:r w:rsidR="00F0134D">
      <w:rPr>
        <w:sz w:val="20"/>
      </w:rPr>
      <w:tab/>
    </w:r>
    <w:r w:rsidR="00EB344F">
      <w:rPr>
        <w:sz w:val="20"/>
      </w:rPr>
      <w:t>March 23, 2026</w:t>
    </w:r>
  </w:p>
  <w:p w14:paraId="0E006AD2" w14:textId="410EA513" w:rsidR="00EB344F" w:rsidRDefault="00EB344F" w:rsidP="00EB344F">
    <w:pPr>
      <w:tabs>
        <w:tab w:val="center" w:pos="5040"/>
        <w:tab w:val="right" w:pos="9840"/>
      </w:tabs>
      <w:spacing w:before="0" w:after="0" w:line="240" w:lineRule="auto"/>
      <w:jc w:val="center"/>
      <w:rPr>
        <w:sz w:val="20"/>
      </w:rPr>
    </w:pPr>
    <w:r w:rsidRPr="00EB344F">
      <w:rPr>
        <w:sz w:val="20"/>
      </w:rPr>
      <w:t>Telemedicine not Allowed for Nursing Home Face-to-Face Physical Examination Requirements for Wheelchair Coverage in the Durable Medical Equipment (DME)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85F7E"/>
    <w:multiLevelType w:val="multilevel"/>
    <w:tmpl w:val="3C060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0"/>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4"/>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2"/>
  </w:num>
  <w:num w:numId="18" w16cid:durableId="1655916653">
    <w:abstractNumId w:val="0"/>
  </w:num>
  <w:num w:numId="19" w16cid:durableId="1478645377">
    <w:abstractNumId w:val="8"/>
  </w:num>
  <w:num w:numId="20" w16cid:durableId="545529438">
    <w:abstractNumId w:val="15"/>
  </w:num>
  <w:num w:numId="21" w16cid:durableId="583346626">
    <w:abstractNumId w:val="21"/>
  </w:num>
  <w:num w:numId="22" w16cid:durableId="898832747">
    <w:abstractNumId w:val="10"/>
  </w:num>
  <w:num w:numId="23" w16cid:durableId="1607080103">
    <w:abstractNumId w:val="25"/>
  </w:num>
  <w:num w:numId="24" w16cid:durableId="1958608955">
    <w:abstractNumId w:val="23"/>
  </w:num>
  <w:num w:numId="25" w16cid:durableId="2084716771">
    <w:abstractNumId w:val="1"/>
  </w:num>
  <w:num w:numId="26" w16cid:durableId="914627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cwVAnKSQDc0sOYuL0ymG7Ulh9Daf/MuORK6sniO+0LXqqRn0ewGw2Wy05F8BYogqBeifprAfFrHG/Tfx9i8Xw==" w:salt="Iy09hVE6XDoxMvk3Soibq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70842"/>
    <w:rsid w:val="0007375E"/>
    <w:rsid w:val="00077FC5"/>
    <w:rsid w:val="00087573"/>
    <w:rsid w:val="00091F6B"/>
    <w:rsid w:val="000B1F02"/>
    <w:rsid w:val="000B7ADF"/>
    <w:rsid w:val="000E0FA0"/>
    <w:rsid w:val="000E4F22"/>
    <w:rsid w:val="000F5A8E"/>
    <w:rsid w:val="00107D6F"/>
    <w:rsid w:val="00115CDF"/>
    <w:rsid w:val="00116E05"/>
    <w:rsid w:val="00124D7D"/>
    <w:rsid w:val="00133BBE"/>
    <w:rsid w:val="0013417B"/>
    <w:rsid w:val="00137A70"/>
    <w:rsid w:val="00140189"/>
    <w:rsid w:val="00144640"/>
    <w:rsid w:val="00160F2B"/>
    <w:rsid w:val="001615A3"/>
    <w:rsid w:val="00163F7C"/>
    <w:rsid w:val="00164F26"/>
    <w:rsid w:val="00190124"/>
    <w:rsid w:val="001A37AD"/>
    <w:rsid w:val="001A38D1"/>
    <w:rsid w:val="001C0128"/>
    <w:rsid w:val="001C0EE3"/>
    <w:rsid w:val="001C70DE"/>
    <w:rsid w:val="001E4707"/>
    <w:rsid w:val="001F011F"/>
    <w:rsid w:val="002626B2"/>
    <w:rsid w:val="00291B5E"/>
    <w:rsid w:val="002A141F"/>
    <w:rsid w:val="002A3117"/>
    <w:rsid w:val="002B2570"/>
    <w:rsid w:val="002C4EEE"/>
    <w:rsid w:val="002D14F3"/>
    <w:rsid w:val="002D7348"/>
    <w:rsid w:val="002F68DA"/>
    <w:rsid w:val="003112B4"/>
    <w:rsid w:val="0031353F"/>
    <w:rsid w:val="00315485"/>
    <w:rsid w:val="00322ABF"/>
    <w:rsid w:val="003234C4"/>
    <w:rsid w:val="003235A9"/>
    <w:rsid w:val="003253E3"/>
    <w:rsid w:val="003274A6"/>
    <w:rsid w:val="003420CC"/>
    <w:rsid w:val="0034770B"/>
    <w:rsid w:val="00347D8C"/>
    <w:rsid w:val="00363142"/>
    <w:rsid w:val="00366D97"/>
    <w:rsid w:val="00385719"/>
    <w:rsid w:val="003872EE"/>
    <w:rsid w:val="003B0122"/>
    <w:rsid w:val="003B6F79"/>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96C51"/>
    <w:rsid w:val="004A62A9"/>
    <w:rsid w:val="004C5B1B"/>
    <w:rsid w:val="004C7CC4"/>
    <w:rsid w:val="004C7DCA"/>
    <w:rsid w:val="004D7229"/>
    <w:rsid w:val="004E3E8C"/>
    <w:rsid w:val="004E574A"/>
    <w:rsid w:val="004E760F"/>
    <w:rsid w:val="004F06CD"/>
    <w:rsid w:val="004F5DA6"/>
    <w:rsid w:val="004F7CE4"/>
    <w:rsid w:val="00500A60"/>
    <w:rsid w:val="00512590"/>
    <w:rsid w:val="005153B2"/>
    <w:rsid w:val="0054426D"/>
    <w:rsid w:val="00551C3F"/>
    <w:rsid w:val="00560B2E"/>
    <w:rsid w:val="005644C7"/>
    <w:rsid w:val="00565825"/>
    <w:rsid w:val="00575F9B"/>
    <w:rsid w:val="00586954"/>
    <w:rsid w:val="005B2AC2"/>
    <w:rsid w:val="005B55AB"/>
    <w:rsid w:val="005E259F"/>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128C4"/>
    <w:rsid w:val="00731481"/>
    <w:rsid w:val="00773F2E"/>
    <w:rsid w:val="007936A1"/>
    <w:rsid w:val="007955B6"/>
    <w:rsid w:val="00796B1D"/>
    <w:rsid w:val="007C3B11"/>
    <w:rsid w:val="007C531C"/>
    <w:rsid w:val="007D02A2"/>
    <w:rsid w:val="007E14E0"/>
    <w:rsid w:val="007E1A3C"/>
    <w:rsid w:val="007F5CF3"/>
    <w:rsid w:val="008049BF"/>
    <w:rsid w:val="008138BF"/>
    <w:rsid w:val="00826E06"/>
    <w:rsid w:val="00831081"/>
    <w:rsid w:val="008321FA"/>
    <w:rsid w:val="008322FB"/>
    <w:rsid w:val="00835A93"/>
    <w:rsid w:val="00836BF5"/>
    <w:rsid w:val="00854CF9"/>
    <w:rsid w:val="0086017D"/>
    <w:rsid w:val="00897BA0"/>
    <w:rsid w:val="008A329F"/>
    <w:rsid w:val="008A385A"/>
    <w:rsid w:val="008A6AC8"/>
    <w:rsid w:val="008B5E88"/>
    <w:rsid w:val="008D0780"/>
    <w:rsid w:val="008D2FF9"/>
    <w:rsid w:val="008D4932"/>
    <w:rsid w:val="008D5277"/>
    <w:rsid w:val="008D548F"/>
    <w:rsid w:val="008F71A3"/>
    <w:rsid w:val="00912A49"/>
    <w:rsid w:val="0092123E"/>
    <w:rsid w:val="00930D08"/>
    <w:rsid w:val="00935B33"/>
    <w:rsid w:val="00937462"/>
    <w:rsid w:val="00941B58"/>
    <w:rsid w:val="00947218"/>
    <w:rsid w:val="00947B74"/>
    <w:rsid w:val="00954E82"/>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125F4"/>
    <w:rsid w:val="00A5520E"/>
    <w:rsid w:val="00A710B7"/>
    <w:rsid w:val="00A77162"/>
    <w:rsid w:val="00A7734C"/>
    <w:rsid w:val="00A95170"/>
    <w:rsid w:val="00AA1C36"/>
    <w:rsid w:val="00AB125D"/>
    <w:rsid w:val="00AB42FA"/>
    <w:rsid w:val="00AF1EA0"/>
    <w:rsid w:val="00B1210E"/>
    <w:rsid w:val="00B4768B"/>
    <w:rsid w:val="00B522C4"/>
    <w:rsid w:val="00B54FF2"/>
    <w:rsid w:val="00B621A6"/>
    <w:rsid w:val="00B83AF3"/>
    <w:rsid w:val="00B97322"/>
    <w:rsid w:val="00BA1F90"/>
    <w:rsid w:val="00BA3E4E"/>
    <w:rsid w:val="00BB0029"/>
    <w:rsid w:val="00BB2404"/>
    <w:rsid w:val="00BC42AC"/>
    <w:rsid w:val="00BD6221"/>
    <w:rsid w:val="00BF1F89"/>
    <w:rsid w:val="00C06C7C"/>
    <w:rsid w:val="00C07277"/>
    <w:rsid w:val="00C15D2B"/>
    <w:rsid w:val="00C20E2F"/>
    <w:rsid w:val="00C2583F"/>
    <w:rsid w:val="00C25B23"/>
    <w:rsid w:val="00C3526D"/>
    <w:rsid w:val="00C41FBB"/>
    <w:rsid w:val="00C437ED"/>
    <w:rsid w:val="00C51A38"/>
    <w:rsid w:val="00C62831"/>
    <w:rsid w:val="00C84852"/>
    <w:rsid w:val="00C92891"/>
    <w:rsid w:val="00CB7E3E"/>
    <w:rsid w:val="00CC7311"/>
    <w:rsid w:val="00CC7DDF"/>
    <w:rsid w:val="00CD4C25"/>
    <w:rsid w:val="00CE0F9E"/>
    <w:rsid w:val="00CE4464"/>
    <w:rsid w:val="00D03B60"/>
    <w:rsid w:val="00D1293E"/>
    <w:rsid w:val="00D2118B"/>
    <w:rsid w:val="00D53DCE"/>
    <w:rsid w:val="00D67E71"/>
    <w:rsid w:val="00D70B6D"/>
    <w:rsid w:val="00D77A01"/>
    <w:rsid w:val="00D83E47"/>
    <w:rsid w:val="00D87896"/>
    <w:rsid w:val="00DA4CA4"/>
    <w:rsid w:val="00DB00F5"/>
    <w:rsid w:val="00DC7B8F"/>
    <w:rsid w:val="00DF675D"/>
    <w:rsid w:val="00E23CA3"/>
    <w:rsid w:val="00E40FE6"/>
    <w:rsid w:val="00E529DD"/>
    <w:rsid w:val="00E67688"/>
    <w:rsid w:val="00E67D51"/>
    <w:rsid w:val="00E73773"/>
    <w:rsid w:val="00EA6323"/>
    <w:rsid w:val="00EB344F"/>
    <w:rsid w:val="00EC2499"/>
    <w:rsid w:val="00EC4BD1"/>
    <w:rsid w:val="00ED0B9A"/>
    <w:rsid w:val="00ED165D"/>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97FEF"/>
    <w:rsid w:val="00FC6AD7"/>
    <w:rsid w:val="00FD2020"/>
    <w:rsid w:val="00FE15F6"/>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news" TargetMode="External"/><Relationship Id="rId18" Type="http://schemas.openxmlformats.org/officeDocument/2006/relationships/hyperlink" Target="https://www.emome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dss.mo.gov/mhd/education-and-training" TargetMode="External"/><Relationship Id="rId7" Type="http://schemas.openxmlformats.org/officeDocument/2006/relationships/settings" Target="settings.xml"/><Relationship Id="rId12" Type="http://schemas.openxmlformats.org/officeDocument/2006/relationships/hyperlink" Target="https://public.govdelivery.com/accounts/MODSS/subscriber/new?topic_id=MODSS_1&amp;pop=t" TargetMode="External"/><Relationship Id="rId17" Type="http://schemas.openxmlformats.org/officeDocument/2006/relationships/hyperlink" Target="https://mydss.mo.gov/media/pdf/managed-care-provider-information-requ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dss.mo.gov/mhd/providers" TargetMode="External"/><Relationship Id="rId20" Type="http://schemas.openxmlformats.org/officeDocument/2006/relationships/hyperlink" Target="https://public.govdelivery.com/accounts/MODSS/subscriber/new?preferences=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dss.mo.gov/mhd/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edia/pdf/durable-medical-equipment-manual" TargetMode="External"/><Relationship Id="rId22" Type="http://schemas.openxmlformats.org/officeDocument/2006/relationships/hyperlink" Target="https://moexperience.qualtrics.com/jfe/form/SV_8v5YgbpJmYXu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3.xml><?xml version="1.0" encoding="utf-8"?>
<ds:datastoreItem xmlns:ds="http://schemas.openxmlformats.org/officeDocument/2006/customXml" ds:itemID="{F6376A26-ABCF-4F33-9418-C2B4CFA3D9BE}">
  <ds:schemaRefs>
    <ds:schemaRef ds:uri="http://schemas.microsoft.com/office/infopath/2007/PartnerControls"/>
    <ds:schemaRef ds:uri="http://purl.org/dc/elements/1.1/"/>
    <ds:schemaRef ds:uri="http://schemas.microsoft.com/office/2006/metadata/properties"/>
    <ds:schemaRef ds:uri="de4ce362-36a0-45ca-b15f-c64cd8e27601"/>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3614</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Telemedicine not Allowed for Nursing Home Face-to-Face Physical Examination Requirements for Wheelchair Coverage in the Durable Medical Equipment (DME) Program Bulletin</vt:lpstr>
    </vt:vector>
  </TitlesOfParts>
  <Manager>Missouri Department of Social Services</Manager>
  <Company>State of Missouri</Company>
  <LinksUpToDate>false</LinksUpToDate>
  <CharactersWithSpaces>4038</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Telemedicine not Allowed for Nursing Home Face-to-Face Physical Examination Requirements for Wheelchair Coverage in the Durable Medical Equipment (DME) Program Bulletin</dc:title>
  <dc:creator>MO HealthNet</dc:creator>
  <cp:keywords>Telemedicine not Allowed for Nursing Home Face-to-Face Physical Examination Requirements for Wheelchair Coverage in the Durable Medical Equipment (DME) Program</cp:keywords>
  <cp:lastModifiedBy>Craig, Madelyn</cp:lastModifiedBy>
  <cp:revision>6</cp:revision>
  <cp:lastPrinted>2018-12-28T19:46:00Z</cp:lastPrinted>
  <dcterms:created xsi:type="dcterms:W3CDTF">2026-03-23T12:36:00Z</dcterms:created>
  <dcterms:modified xsi:type="dcterms:W3CDTF">2026-03-31T18:38:00Z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