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EE2D" w14:textId="53308BB2" w:rsidR="00587170" w:rsidRPr="00EF7497" w:rsidRDefault="00AC701E" w:rsidP="00F80990">
      <w:pPr>
        <w:pStyle w:val="Heading1"/>
      </w:pPr>
      <w:r>
        <w:rPr>
          <w:noProof/>
          <w14:ligatures w14:val="none"/>
        </w:rPr>
        <w:drawing>
          <wp:anchor distT="0" distB="0" distL="114300" distR="114300" simplePos="0" relativeHeight="251658240" behindDoc="1" locked="0" layoutInCell="1" allowOverlap="1" wp14:anchorId="086C0F3F" wp14:editId="70B0E801">
            <wp:simplePos x="0" y="0"/>
            <wp:positionH relativeFrom="column">
              <wp:posOffset>-695325</wp:posOffset>
            </wp:positionH>
            <wp:positionV relativeFrom="page">
              <wp:posOffset>-28575</wp:posOffset>
            </wp:positionV>
            <wp:extent cx="7806690" cy="10106025"/>
            <wp:effectExtent l="0" t="0" r="3810" b="9525"/>
            <wp:wrapNone/>
            <wp:docPr id="1531355635"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55635" name="Picture 1" descr="A picture containing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806690" cy="10106025"/>
                    </a:xfrm>
                    <a:prstGeom prst="rect">
                      <a:avLst/>
                    </a:prstGeom>
                  </pic:spPr>
                </pic:pic>
              </a:graphicData>
            </a:graphic>
            <wp14:sizeRelH relativeFrom="margin">
              <wp14:pctWidth>0</wp14:pctWidth>
            </wp14:sizeRelH>
            <wp14:sizeRelV relativeFrom="margin">
              <wp14:pctHeight>0</wp14:pctHeight>
            </wp14:sizeRelV>
          </wp:anchor>
        </w:drawing>
      </w:r>
      <w:r>
        <w:t>Medicare/Medicaid Claims Processing Manual</w:t>
      </w:r>
    </w:p>
    <w:p w14:paraId="2E03001D" w14:textId="6F1E6AA5" w:rsidR="00587170" w:rsidRDefault="00587170" w:rsidP="00587170">
      <w:pPr>
        <w:tabs>
          <w:tab w:val="left" w:pos="703"/>
        </w:tabs>
        <w:rPr>
          <w:rFonts w:eastAsiaTheme="minorHAnsi"/>
          <w:b/>
          <w:color w:val="215868" w:themeColor="accent5" w:themeShade="80"/>
          <w:sz w:val="40"/>
          <w:szCs w:val="40"/>
        </w:rPr>
      </w:pPr>
      <w:bookmarkStart w:id="0" w:name="_SECTION_12—REIMBURSEMENT_METHODOLOG"/>
      <w:bookmarkEnd w:id="0"/>
    </w:p>
    <w:p w14:paraId="7B30F5F2" w14:textId="252E7D07" w:rsidR="00587170" w:rsidRPr="00E50F92" w:rsidRDefault="00646FA9" w:rsidP="00646FA9">
      <w:pPr>
        <w:tabs>
          <w:tab w:val="left" w:pos="8295"/>
        </w:tabs>
        <w:rPr>
          <w:color w:val="E36C0A" w:themeColor="accent6" w:themeShade="BF"/>
          <w:sz w:val="32"/>
          <w:szCs w:val="32"/>
        </w:rPr>
      </w:pPr>
      <w:r>
        <w:rPr>
          <w:color w:val="E36C0A" w:themeColor="accent6" w:themeShade="BF"/>
          <w:sz w:val="32"/>
          <w:szCs w:val="32"/>
        </w:rPr>
        <w:tab/>
      </w:r>
    </w:p>
    <w:p w14:paraId="44F77BF5" w14:textId="2A64C23F" w:rsidR="00E93195" w:rsidRDefault="00E93195" w:rsidP="00587170"/>
    <w:p w14:paraId="15A1E39C" w14:textId="7B0D3B48" w:rsidR="00E93195" w:rsidRDefault="00E93195" w:rsidP="00587170"/>
    <w:p w14:paraId="45A83277" w14:textId="6F26489F" w:rsidR="00E93195" w:rsidRDefault="00E93195" w:rsidP="00587170"/>
    <w:p w14:paraId="2ABCDCAE" w14:textId="17670F84" w:rsidR="00E93195" w:rsidRDefault="00E93195" w:rsidP="00587170"/>
    <w:p w14:paraId="429109F8" w14:textId="77777777" w:rsidR="00B13BAE" w:rsidRDefault="00B13BAE" w:rsidP="00587170">
      <w:pPr>
        <w:sectPr w:rsidR="00B13BAE" w:rsidSect="00A9536E">
          <w:headerReference w:type="default" r:id="rId9"/>
          <w:footerReference w:type="even" r:id="rId10"/>
          <w:footerReference w:type="default" r:id="rId11"/>
          <w:pgSz w:w="12240" w:h="15840"/>
          <w:pgMar w:top="1080" w:right="1080" w:bottom="1080" w:left="1080" w:header="216" w:footer="720" w:gutter="0"/>
          <w:cols w:space="720"/>
          <w:noEndnote/>
          <w:titlePg/>
          <w:docGrid w:linePitch="326"/>
        </w:sectPr>
      </w:pPr>
    </w:p>
    <w:sdt>
      <w:sdtPr>
        <w:rPr>
          <w:rFonts w:eastAsiaTheme="minorEastAsia"/>
          <w:color w:val="000000" w:themeColor="text1"/>
          <w:kern w:val="2"/>
          <w:sz w:val="23"/>
          <w:szCs w:val="23"/>
          <w:lang w:eastAsia="zh-CN"/>
          <w14:ligatures w14:val="standardContextual"/>
        </w:rPr>
        <w:id w:val="-22863642"/>
        <w:docPartObj>
          <w:docPartGallery w:val="Table of Contents"/>
          <w:docPartUnique/>
        </w:docPartObj>
      </w:sdtPr>
      <w:sdtEndPr>
        <w:rPr>
          <w:b w:val="0"/>
          <w:bCs w:val="0"/>
          <w:noProof/>
        </w:rPr>
      </w:sdtEndPr>
      <w:sdtContent>
        <w:p w14:paraId="6F16D65A" w14:textId="088F5F93" w:rsidR="00BC24BB" w:rsidRDefault="00BC24BB">
          <w:pPr>
            <w:pStyle w:val="TOCHeading"/>
          </w:pPr>
          <w:r>
            <w:t>Table of Contents</w:t>
          </w:r>
        </w:p>
        <w:p w14:paraId="192B4574" w14:textId="4707EF14" w:rsidR="00BC24BB" w:rsidRDefault="00BC24BB">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5163665" w:history="1">
            <w:r w:rsidRPr="00144D20">
              <w:rPr>
                <w:rStyle w:val="Hyperlink"/>
                <w:noProof/>
              </w:rPr>
              <w:t>Section 1: General Information</w:t>
            </w:r>
            <w:r>
              <w:rPr>
                <w:noProof/>
                <w:webHidden/>
              </w:rPr>
              <w:tab/>
            </w:r>
            <w:r>
              <w:rPr>
                <w:noProof/>
                <w:webHidden/>
              </w:rPr>
              <w:fldChar w:fldCharType="begin"/>
            </w:r>
            <w:r>
              <w:rPr>
                <w:noProof/>
                <w:webHidden/>
              </w:rPr>
              <w:instrText xml:space="preserve"> PAGEREF _Toc225163665 \h </w:instrText>
            </w:r>
            <w:r>
              <w:rPr>
                <w:noProof/>
                <w:webHidden/>
              </w:rPr>
            </w:r>
            <w:r>
              <w:rPr>
                <w:noProof/>
                <w:webHidden/>
              </w:rPr>
              <w:fldChar w:fldCharType="separate"/>
            </w:r>
            <w:r>
              <w:rPr>
                <w:noProof/>
                <w:webHidden/>
              </w:rPr>
              <w:t>1</w:t>
            </w:r>
            <w:r>
              <w:rPr>
                <w:noProof/>
                <w:webHidden/>
              </w:rPr>
              <w:fldChar w:fldCharType="end"/>
            </w:r>
          </w:hyperlink>
        </w:p>
        <w:p w14:paraId="2C143B39" w14:textId="131DB6BA" w:rsidR="00BC24BB" w:rsidRDefault="00BC24BB">
          <w:pPr>
            <w:pStyle w:val="TOC2"/>
            <w:rPr>
              <w:rFonts w:asciiTheme="minorHAnsi" w:hAnsiTheme="minorHAnsi" w:cstheme="minorBidi"/>
              <w:b w:val="0"/>
              <w:bCs w:val="0"/>
              <w:noProof/>
              <w:color w:val="auto"/>
              <w:sz w:val="24"/>
              <w:szCs w:val="24"/>
              <w:lang w:eastAsia="en-US"/>
            </w:rPr>
          </w:pPr>
          <w:hyperlink w:anchor="_Toc225163666" w:history="1">
            <w:r w:rsidRPr="00144D20">
              <w:rPr>
                <w:rStyle w:val="Hyperlink"/>
                <w:noProof/>
              </w:rPr>
              <w:t>1.1</w:t>
            </w:r>
            <w:r>
              <w:rPr>
                <w:rFonts w:asciiTheme="minorHAnsi" w:hAnsiTheme="minorHAnsi" w:cstheme="minorBidi"/>
                <w:b w:val="0"/>
                <w:bCs w:val="0"/>
                <w:noProof/>
                <w:color w:val="auto"/>
                <w:sz w:val="24"/>
                <w:szCs w:val="24"/>
                <w:lang w:eastAsia="en-US"/>
              </w:rPr>
              <w:tab/>
            </w:r>
            <w:r w:rsidRPr="00144D20">
              <w:rPr>
                <w:rStyle w:val="Hyperlink"/>
                <w:noProof/>
              </w:rPr>
              <w:t>Billing Procedures for Medicare/MO HealthNet Claims (Crossovers)</w:t>
            </w:r>
            <w:r>
              <w:rPr>
                <w:noProof/>
                <w:webHidden/>
              </w:rPr>
              <w:tab/>
            </w:r>
            <w:r>
              <w:rPr>
                <w:noProof/>
                <w:webHidden/>
              </w:rPr>
              <w:fldChar w:fldCharType="begin"/>
            </w:r>
            <w:r>
              <w:rPr>
                <w:noProof/>
                <w:webHidden/>
              </w:rPr>
              <w:instrText xml:space="preserve"> PAGEREF _Toc225163666 \h </w:instrText>
            </w:r>
            <w:r>
              <w:rPr>
                <w:noProof/>
                <w:webHidden/>
              </w:rPr>
            </w:r>
            <w:r>
              <w:rPr>
                <w:noProof/>
                <w:webHidden/>
              </w:rPr>
              <w:fldChar w:fldCharType="separate"/>
            </w:r>
            <w:r>
              <w:rPr>
                <w:noProof/>
                <w:webHidden/>
              </w:rPr>
              <w:t>2</w:t>
            </w:r>
            <w:r>
              <w:rPr>
                <w:noProof/>
                <w:webHidden/>
              </w:rPr>
              <w:fldChar w:fldCharType="end"/>
            </w:r>
          </w:hyperlink>
        </w:p>
        <w:p w14:paraId="1F30C982" w14:textId="07B05E9B" w:rsidR="00BC24BB" w:rsidRDefault="00BC24BB">
          <w:pPr>
            <w:pStyle w:val="TOC3"/>
            <w:rPr>
              <w:rFonts w:asciiTheme="minorHAnsi" w:hAnsiTheme="minorHAnsi" w:cstheme="minorBidi"/>
              <w:noProof/>
              <w:color w:val="auto"/>
              <w:sz w:val="24"/>
              <w:szCs w:val="24"/>
              <w:lang w:eastAsia="en-US"/>
            </w:rPr>
          </w:pPr>
          <w:hyperlink w:anchor="_Toc225163667" w:history="1">
            <w:r w:rsidRPr="00144D20">
              <w:rPr>
                <w:rStyle w:val="Hyperlink"/>
                <w:noProof/>
              </w:rPr>
              <w:t>Medicare Part A, Part B, and Part C</w:t>
            </w:r>
            <w:r>
              <w:rPr>
                <w:noProof/>
                <w:webHidden/>
              </w:rPr>
              <w:tab/>
            </w:r>
            <w:r>
              <w:rPr>
                <w:noProof/>
                <w:webHidden/>
              </w:rPr>
              <w:fldChar w:fldCharType="begin"/>
            </w:r>
            <w:r>
              <w:rPr>
                <w:noProof/>
                <w:webHidden/>
              </w:rPr>
              <w:instrText xml:space="preserve"> PAGEREF _Toc225163667 \h </w:instrText>
            </w:r>
            <w:r>
              <w:rPr>
                <w:noProof/>
                <w:webHidden/>
              </w:rPr>
            </w:r>
            <w:r>
              <w:rPr>
                <w:noProof/>
                <w:webHidden/>
              </w:rPr>
              <w:fldChar w:fldCharType="separate"/>
            </w:r>
            <w:r>
              <w:rPr>
                <w:noProof/>
                <w:webHidden/>
              </w:rPr>
              <w:t>2</w:t>
            </w:r>
            <w:r>
              <w:rPr>
                <w:noProof/>
                <w:webHidden/>
              </w:rPr>
              <w:fldChar w:fldCharType="end"/>
            </w:r>
          </w:hyperlink>
        </w:p>
        <w:p w14:paraId="2DAF44DD" w14:textId="26CE5DA4" w:rsidR="00BC24BB" w:rsidRDefault="00BC24BB">
          <w:pPr>
            <w:pStyle w:val="TOC3"/>
            <w:rPr>
              <w:rFonts w:asciiTheme="minorHAnsi" w:hAnsiTheme="minorHAnsi" w:cstheme="minorBidi"/>
              <w:noProof/>
              <w:color w:val="auto"/>
              <w:sz w:val="24"/>
              <w:szCs w:val="24"/>
              <w:lang w:eastAsia="en-US"/>
            </w:rPr>
          </w:pPr>
          <w:hyperlink w:anchor="_Toc225163668" w:history="1">
            <w:r w:rsidRPr="00144D20">
              <w:rPr>
                <w:rStyle w:val="Hyperlink"/>
                <w:noProof/>
              </w:rPr>
              <w:t>Billing for Vaccines for Dual Eligible Participants</w:t>
            </w:r>
            <w:r>
              <w:rPr>
                <w:noProof/>
                <w:webHidden/>
              </w:rPr>
              <w:tab/>
            </w:r>
            <w:r>
              <w:rPr>
                <w:noProof/>
                <w:webHidden/>
              </w:rPr>
              <w:fldChar w:fldCharType="begin"/>
            </w:r>
            <w:r>
              <w:rPr>
                <w:noProof/>
                <w:webHidden/>
              </w:rPr>
              <w:instrText xml:space="preserve"> PAGEREF _Toc225163668 \h </w:instrText>
            </w:r>
            <w:r>
              <w:rPr>
                <w:noProof/>
                <w:webHidden/>
              </w:rPr>
            </w:r>
            <w:r>
              <w:rPr>
                <w:noProof/>
                <w:webHidden/>
              </w:rPr>
              <w:fldChar w:fldCharType="separate"/>
            </w:r>
            <w:r>
              <w:rPr>
                <w:noProof/>
                <w:webHidden/>
              </w:rPr>
              <w:t>5</w:t>
            </w:r>
            <w:r>
              <w:rPr>
                <w:noProof/>
                <w:webHidden/>
              </w:rPr>
              <w:fldChar w:fldCharType="end"/>
            </w:r>
          </w:hyperlink>
        </w:p>
        <w:p w14:paraId="37F19473" w14:textId="148B5F97" w:rsidR="00BC24BB" w:rsidRDefault="00BC24BB">
          <w:pPr>
            <w:pStyle w:val="TOC2"/>
            <w:rPr>
              <w:rFonts w:asciiTheme="minorHAnsi" w:hAnsiTheme="minorHAnsi" w:cstheme="minorBidi"/>
              <w:b w:val="0"/>
              <w:bCs w:val="0"/>
              <w:noProof/>
              <w:color w:val="auto"/>
              <w:sz w:val="24"/>
              <w:szCs w:val="24"/>
              <w:lang w:eastAsia="en-US"/>
            </w:rPr>
          </w:pPr>
          <w:hyperlink w:anchor="_Toc225163669" w:history="1">
            <w:r w:rsidRPr="00144D20">
              <w:rPr>
                <w:rStyle w:val="Hyperlink"/>
                <w:noProof/>
              </w:rPr>
              <w:t>1.2</w:t>
            </w:r>
            <w:r>
              <w:rPr>
                <w:rFonts w:asciiTheme="minorHAnsi" w:hAnsiTheme="minorHAnsi" w:cstheme="minorBidi"/>
                <w:b w:val="0"/>
                <w:bCs w:val="0"/>
                <w:noProof/>
                <w:color w:val="auto"/>
                <w:sz w:val="24"/>
                <w:szCs w:val="24"/>
                <w:lang w:eastAsia="en-US"/>
              </w:rPr>
              <w:tab/>
            </w:r>
            <w:r w:rsidRPr="00144D20">
              <w:rPr>
                <w:rStyle w:val="Hyperlink"/>
                <w:noProof/>
              </w:rPr>
              <w:t>Billing of Services Not Covered by Medicare</w:t>
            </w:r>
            <w:r>
              <w:rPr>
                <w:noProof/>
                <w:webHidden/>
              </w:rPr>
              <w:tab/>
            </w:r>
            <w:r>
              <w:rPr>
                <w:noProof/>
                <w:webHidden/>
              </w:rPr>
              <w:fldChar w:fldCharType="begin"/>
            </w:r>
            <w:r>
              <w:rPr>
                <w:noProof/>
                <w:webHidden/>
              </w:rPr>
              <w:instrText xml:space="preserve"> PAGEREF _Toc225163669 \h </w:instrText>
            </w:r>
            <w:r>
              <w:rPr>
                <w:noProof/>
                <w:webHidden/>
              </w:rPr>
            </w:r>
            <w:r>
              <w:rPr>
                <w:noProof/>
                <w:webHidden/>
              </w:rPr>
              <w:fldChar w:fldCharType="separate"/>
            </w:r>
            <w:r>
              <w:rPr>
                <w:noProof/>
                <w:webHidden/>
              </w:rPr>
              <w:t>5</w:t>
            </w:r>
            <w:r>
              <w:rPr>
                <w:noProof/>
                <w:webHidden/>
              </w:rPr>
              <w:fldChar w:fldCharType="end"/>
            </w:r>
          </w:hyperlink>
        </w:p>
        <w:p w14:paraId="49D8C22A" w14:textId="14D4AB2D" w:rsidR="00BC24BB" w:rsidRDefault="00BC24BB">
          <w:pPr>
            <w:pStyle w:val="TOC2"/>
            <w:rPr>
              <w:rFonts w:asciiTheme="minorHAnsi" w:hAnsiTheme="minorHAnsi" w:cstheme="minorBidi"/>
              <w:b w:val="0"/>
              <w:bCs w:val="0"/>
              <w:noProof/>
              <w:color w:val="auto"/>
              <w:sz w:val="24"/>
              <w:szCs w:val="24"/>
              <w:lang w:eastAsia="en-US"/>
            </w:rPr>
          </w:pPr>
          <w:hyperlink w:anchor="_Toc225163670" w:history="1">
            <w:r w:rsidRPr="00144D20">
              <w:rPr>
                <w:rStyle w:val="Hyperlink"/>
                <w:noProof/>
              </w:rPr>
              <w:t>1.3</w:t>
            </w:r>
            <w:r>
              <w:rPr>
                <w:rFonts w:asciiTheme="minorHAnsi" w:hAnsiTheme="minorHAnsi" w:cstheme="minorBidi"/>
                <w:b w:val="0"/>
                <w:bCs w:val="0"/>
                <w:noProof/>
                <w:color w:val="auto"/>
                <w:sz w:val="24"/>
                <w:szCs w:val="24"/>
                <w:lang w:eastAsia="en-US"/>
              </w:rPr>
              <w:tab/>
            </w:r>
            <w:r w:rsidRPr="00144D20">
              <w:rPr>
                <w:rStyle w:val="Hyperlink"/>
                <w:noProof/>
              </w:rPr>
              <w:t>Medicare Part C Crossover Claims for Qualified Medicare Beneficiary Participants</w:t>
            </w:r>
            <w:r>
              <w:rPr>
                <w:noProof/>
                <w:webHidden/>
              </w:rPr>
              <w:tab/>
            </w:r>
            <w:r>
              <w:rPr>
                <w:noProof/>
                <w:webHidden/>
              </w:rPr>
              <w:fldChar w:fldCharType="begin"/>
            </w:r>
            <w:r>
              <w:rPr>
                <w:noProof/>
                <w:webHidden/>
              </w:rPr>
              <w:instrText xml:space="preserve"> PAGEREF _Toc225163670 \h </w:instrText>
            </w:r>
            <w:r>
              <w:rPr>
                <w:noProof/>
                <w:webHidden/>
              </w:rPr>
            </w:r>
            <w:r>
              <w:rPr>
                <w:noProof/>
                <w:webHidden/>
              </w:rPr>
              <w:fldChar w:fldCharType="separate"/>
            </w:r>
            <w:r>
              <w:rPr>
                <w:noProof/>
                <w:webHidden/>
              </w:rPr>
              <w:t>5</w:t>
            </w:r>
            <w:r>
              <w:rPr>
                <w:noProof/>
                <w:webHidden/>
              </w:rPr>
              <w:fldChar w:fldCharType="end"/>
            </w:r>
          </w:hyperlink>
        </w:p>
        <w:p w14:paraId="1B9D9C8D" w14:textId="05660E3B" w:rsidR="00BC24BB" w:rsidRDefault="00BC24BB">
          <w:pPr>
            <w:pStyle w:val="TOC3"/>
            <w:rPr>
              <w:rFonts w:asciiTheme="minorHAnsi" w:hAnsiTheme="minorHAnsi" w:cstheme="minorBidi"/>
              <w:noProof/>
              <w:color w:val="auto"/>
              <w:sz w:val="24"/>
              <w:szCs w:val="24"/>
              <w:lang w:eastAsia="en-US"/>
            </w:rPr>
          </w:pPr>
          <w:hyperlink w:anchor="_Toc225163671" w:history="1">
            <w:r w:rsidRPr="00144D20">
              <w:rPr>
                <w:rStyle w:val="Hyperlink"/>
                <w:noProof/>
              </w:rPr>
              <w:t>Medicare Part C Coordination of Benefits for Non-Qualified Medicare Beneficiary Participants</w:t>
            </w:r>
            <w:r>
              <w:rPr>
                <w:noProof/>
                <w:webHidden/>
              </w:rPr>
              <w:tab/>
            </w:r>
            <w:r>
              <w:rPr>
                <w:noProof/>
                <w:webHidden/>
              </w:rPr>
              <w:fldChar w:fldCharType="begin"/>
            </w:r>
            <w:r>
              <w:rPr>
                <w:noProof/>
                <w:webHidden/>
              </w:rPr>
              <w:instrText xml:space="preserve"> PAGEREF _Toc225163671 \h </w:instrText>
            </w:r>
            <w:r>
              <w:rPr>
                <w:noProof/>
                <w:webHidden/>
              </w:rPr>
            </w:r>
            <w:r>
              <w:rPr>
                <w:noProof/>
                <w:webHidden/>
              </w:rPr>
              <w:fldChar w:fldCharType="separate"/>
            </w:r>
            <w:r>
              <w:rPr>
                <w:noProof/>
                <w:webHidden/>
              </w:rPr>
              <w:t>6</w:t>
            </w:r>
            <w:r>
              <w:rPr>
                <w:noProof/>
                <w:webHidden/>
              </w:rPr>
              <w:fldChar w:fldCharType="end"/>
            </w:r>
          </w:hyperlink>
        </w:p>
        <w:p w14:paraId="088B9828" w14:textId="02BBAB34" w:rsidR="00BC24BB" w:rsidRDefault="00BC24BB">
          <w:pPr>
            <w:pStyle w:val="TOC2"/>
            <w:rPr>
              <w:rFonts w:asciiTheme="minorHAnsi" w:hAnsiTheme="minorHAnsi" w:cstheme="minorBidi"/>
              <w:b w:val="0"/>
              <w:bCs w:val="0"/>
              <w:noProof/>
              <w:color w:val="auto"/>
              <w:sz w:val="24"/>
              <w:szCs w:val="24"/>
              <w:lang w:eastAsia="en-US"/>
            </w:rPr>
          </w:pPr>
          <w:hyperlink w:anchor="_Toc225163672" w:history="1">
            <w:r w:rsidRPr="00144D20">
              <w:rPr>
                <w:rStyle w:val="Hyperlink"/>
                <w:noProof/>
              </w:rPr>
              <w:t>1.4</w:t>
            </w:r>
            <w:r>
              <w:rPr>
                <w:rFonts w:asciiTheme="minorHAnsi" w:hAnsiTheme="minorHAnsi" w:cstheme="minorBidi"/>
                <w:b w:val="0"/>
                <w:bCs w:val="0"/>
                <w:noProof/>
                <w:color w:val="auto"/>
                <w:sz w:val="24"/>
                <w:szCs w:val="24"/>
                <w:lang w:eastAsia="en-US"/>
              </w:rPr>
              <w:tab/>
            </w:r>
            <w:r w:rsidRPr="00144D20">
              <w:rPr>
                <w:rStyle w:val="Hyperlink"/>
                <w:noProof/>
              </w:rPr>
              <w:t>Timely Filing</w:t>
            </w:r>
            <w:r>
              <w:rPr>
                <w:noProof/>
                <w:webHidden/>
              </w:rPr>
              <w:tab/>
            </w:r>
            <w:r>
              <w:rPr>
                <w:noProof/>
                <w:webHidden/>
              </w:rPr>
              <w:fldChar w:fldCharType="begin"/>
            </w:r>
            <w:r>
              <w:rPr>
                <w:noProof/>
                <w:webHidden/>
              </w:rPr>
              <w:instrText xml:space="preserve"> PAGEREF _Toc225163672 \h </w:instrText>
            </w:r>
            <w:r>
              <w:rPr>
                <w:noProof/>
                <w:webHidden/>
              </w:rPr>
            </w:r>
            <w:r>
              <w:rPr>
                <w:noProof/>
                <w:webHidden/>
              </w:rPr>
              <w:fldChar w:fldCharType="separate"/>
            </w:r>
            <w:r>
              <w:rPr>
                <w:noProof/>
                <w:webHidden/>
              </w:rPr>
              <w:t>7</w:t>
            </w:r>
            <w:r>
              <w:rPr>
                <w:noProof/>
                <w:webHidden/>
              </w:rPr>
              <w:fldChar w:fldCharType="end"/>
            </w:r>
          </w:hyperlink>
        </w:p>
        <w:p w14:paraId="6E58DC38" w14:textId="7CF1D7A6" w:rsidR="00BC24BB" w:rsidRDefault="00BC24BB">
          <w:pPr>
            <w:pStyle w:val="TOC3"/>
            <w:rPr>
              <w:rFonts w:asciiTheme="minorHAnsi" w:hAnsiTheme="minorHAnsi" w:cstheme="minorBidi"/>
              <w:noProof/>
              <w:color w:val="auto"/>
              <w:sz w:val="24"/>
              <w:szCs w:val="24"/>
              <w:lang w:eastAsia="en-US"/>
            </w:rPr>
          </w:pPr>
          <w:hyperlink w:anchor="_Toc225163673" w:history="1">
            <w:r w:rsidRPr="00144D20">
              <w:rPr>
                <w:rStyle w:val="Hyperlink"/>
                <w:noProof/>
              </w:rPr>
              <w:t>MO HealthNet Claims</w:t>
            </w:r>
            <w:r>
              <w:rPr>
                <w:noProof/>
                <w:webHidden/>
              </w:rPr>
              <w:tab/>
            </w:r>
            <w:r>
              <w:rPr>
                <w:noProof/>
                <w:webHidden/>
              </w:rPr>
              <w:fldChar w:fldCharType="begin"/>
            </w:r>
            <w:r>
              <w:rPr>
                <w:noProof/>
                <w:webHidden/>
              </w:rPr>
              <w:instrText xml:space="preserve"> PAGEREF _Toc225163673 \h </w:instrText>
            </w:r>
            <w:r>
              <w:rPr>
                <w:noProof/>
                <w:webHidden/>
              </w:rPr>
            </w:r>
            <w:r>
              <w:rPr>
                <w:noProof/>
                <w:webHidden/>
              </w:rPr>
              <w:fldChar w:fldCharType="separate"/>
            </w:r>
            <w:r>
              <w:rPr>
                <w:noProof/>
                <w:webHidden/>
              </w:rPr>
              <w:t>7</w:t>
            </w:r>
            <w:r>
              <w:rPr>
                <w:noProof/>
                <w:webHidden/>
              </w:rPr>
              <w:fldChar w:fldCharType="end"/>
            </w:r>
          </w:hyperlink>
        </w:p>
        <w:p w14:paraId="62053831" w14:textId="39DBA03D" w:rsidR="00BC24BB" w:rsidRDefault="00BC24BB">
          <w:pPr>
            <w:pStyle w:val="TOC3"/>
            <w:rPr>
              <w:rFonts w:asciiTheme="minorHAnsi" w:hAnsiTheme="minorHAnsi" w:cstheme="minorBidi"/>
              <w:noProof/>
              <w:color w:val="auto"/>
              <w:sz w:val="24"/>
              <w:szCs w:val="24"/>
              <w:lang w:eastAsia="en-US"/>
            </w:rPr>
          </w:pPr>
          <w:hyperlink w:anchor="_Toc225163674" w:history="1">
            <w:r w:rsidRPr="00144D20">
              <w:rPr>
                <w:rStyle w:val="Hyperlink"/>
                <w:noProof/>
              </w:rPr>
              <w:t>Medicare/MO HealthNet Claims</w:t>
            </w:r>
            <w:r>
              <w:rPr>
                <w:noProof/>
                <w:webHidden/>
              </w:rPr>
              <w:tab/>
            </w:r>
            <w:r>
              <w:rPr>
                <w:noProof/>
                <w:webHidden/>
              </w:rPr>
              <w:fldChar w:fldCharType="begin"/>
            </w:r>
            <w:r>
              <w:rPr>
                <w:noProof/>
                <w:webHidden/>
              </w:rPr>
              <w:instrText xml:space="preserve"> PAGEREF _Toc225163674 \h </w:instrText>
            </w:r>
            <w:r>
              <w:rPr>
                <w:noProof/>
                <w:webHidden/>
              </w:rPr>
            </w:r>
            <w:r>
              <w:rPr>
                <w:noProof/>
                <w:webHidden/>
              </w:rPr>
              <w:fldChar w:fldCharType="separate"/>
            </w:r>
            <w:r>
              <w:rPr>
                <w:noProof/>
                <w:webHidden/>
              </w:rPr>
              <w:t>8</w:t>
            </w:r>
            <w:r>
              <w:rPr>
                <w:noProof/>
                <w:webHidden/>
              </w:rPr>
              <w:fldChar w:fldCharType="end"/>
            </w:r>
          </w:hyperlink>
        </w:p>
        <w:p w14:paraId="7D49A6B5" w14:textId="265A1897" w:rsidR="00BC24BB" w:rsidRDefault="00BC24BB">
          <w:pPr>
            <w:pStyle w:val="TOC3"/>
            <w:rPr>
              <w:rFonts w:asciiTheme="minorHAnsi" w:hAnsiTheme="minorHAnsi" w:cstheme="minorBidi"/>
              <w:noProof/>
              <w:color w:val="auto"/>
              <w:sz w:val="24"/>
              <w:szCs w:val="24"/>
              <w:lang w:eastAsia="en-US"/>
            </w:rPr>
          </w:pPr>
          <w:hyperlink w:anchor="_Toc225163675" w:history="1">
            <w:r w:rsidRPr="00144D20">
              <w:rPr>
                <w:rStyle w:val="Hyperlink"/>
                <w:noProof/>
              </w:rPr>
              <w:t>MO HealthNet Claims with Third-Party Liability</w:t>
            </w:r>
            <w:r>
              <w:rPr>
                <w:noProof/>
                <w:webHidden/>
              </w:rPr>
              <w:tab/>
            </w:r>
            <w:r>
              <w:rPr>
                <w:noProof/>
                <w:webHidden/>
              </w:rPr>
              <w:fldChar w:fldCharType="begin"/>
            </w:r>
            <w:r>
              <w:rPr>
                <w:noProof/>
                <w:webHidden/>
              </w:rPr>
              <w:instrText xml:space="preserve"> PAGEREF _Toc225163675 \h </w:instrText>
            </w:r>
            <w:r>
              <w:rPr>
                <w:noProof/>
                <w:webHidden/>
              </w:rPr>
            </w:r>
            <w:r>
              <w:rPr>
                <w:noProof/>
                <w:webHidden/>
              </w:rPr>
              <w:fldChar w:fldCharType="separate"/>
            </w:r>
            <w:r>
              <w:rPr>
                <w:noProof/>
                <w:webHidden/>
              </w:rPr>
              <w:t>8</w:t>
            </w:r>
            <w:r>
              <w:rPr>
                <w:noProof/>
                <w:webHidden/>
              </w:rPr>
              <w:fldChar w:fldCharType="end"/>
            </w:r>
          </w:hyperlink>
        </w:p>
        <w:p w14:paraId="0D8D7813" w14:textId="22FC642A" w:rsidR="00BC24BB" w:rsidRDefault="00BC24BB">
          <w:pPr>
            <w:pStyle w:val="TOC3"/>
            <w:rPr>
              <w:rFonts w:asciiTheme="minorHAnsi" w:hAnsiTheme="minorHAnsi" w:cstheme="minorBidi"/>
              <w:noProof/>
              <w:color w:val="auto"/>
              <w:sz w:val="24"/>
              <w:szCs w:val="24"/>
              <w:lang w:eastAsia="en-US"/>
            </w:rPr>
          </w:pPr>
          <w:hyperlink w:anchor="_Toc225163676" w:history="1">
            <w:r w:rsidRPr="00144D20">
              <w:rPr>
                <w:rStyle w:val="Hyperlink"/>
                <w:noProof/>
              </w:rPr>
              <w:t>Time Limit for Resubmission of a Claim</w:t>
            </w:r>
            <w:r>
              <w:rPr>
                <w:noProof/>
                <w:webHidden/>
              </w:rPr>
              <w:tab/>
            </w:r>
            <w:r>
              <w:rPr>
                <w:noProof/>
                <w:webHidden/>
              </w:rPr>
              <w:fldChar w:fldCharType="begin"/>
            </w:r>
            <w:r>
              <w:rPr>
                <w:noProof/>
                <w:webHidden/>
              </w:rPr>
              <w:instrText xml:space="preserve"> PAGEREF _Toc225163676 \h </w:instrText>
            </w:r>
            <w:r>
              <w:rPr>
                <w:noProof/>
                <w:webHidden/>
              </w:rPr>
            </w:r>
            <w:r>
              <w:rPr>
                <w:noProof/>
                <w:webHidden/>
              </w:rPr>
              <w:fldChar w:fldCharType="separate"/>
            </w:r>
            <w:r>
              <w:rPr>
                <w:noProof/>
                <w:webHidden/>
              </w:rPr>
              <w:t>8</w:t>
            </w:r>
            <w:r>
              <w:rPr>
                <w:noProof/>
                <w:webHidden/>
              </w:rPr>
              <w:fldChar w:fldCharType="end"/>
            </w:r>
          </w:hyperlink>
        </w:p>
        <w:p w14:paraId="0744305F" w14:textId="6FA3372C" w:rsidR="00BC24BB" w:rsidRDefault="00BC24BB">
          <w:pPr>
            <w:pStyle w:val="TOC3"/>
            <w:rPr>
              <w:rFonts w:asciiTheme="minorHAnsi" w:hAnsiTheme="minorHAnsi" w:cstheme="minorBidi"/>
              <w:noProof/>
              <w:color w:val="auto"/>
              <w:sz w:val="24"/>
              <w:szCs w:val="24"/>
              <w:lang w:eastAsia="en-US"/>
            </w:rPr>
          </w:pPr>
          <w:hyperlink w:anchor="_Toc225163677" w:history="1">
            <w:r w:rsidRPr="00144D20">
              <w:rPr>
                <w:rStyle w:val="Hyperlink"/>
                <w:noProof/>
              </w:rPr>
              <w:t>Claims Filed and Denied</w:t>
            </w:r>
            <w:r>
              <w:rPr>
                <w:noProof/>
                <w:webHidden/>
              </w:rPr>
              <w:tab/>
            </w:r>
            <w:r>
              <w:rPr>
                <w:noProof/>
                <w:webHidden/>
              </w:rPr>
              <w:fldChar w:fldCharType="begin"/>
            </w:r>
            <w:r>
              <w:rPr>
                <w:noProof/>
                <w:webHidden/>
              </w:rPr>
              <w:instrText xml:space="preserve"> PAGEREF _Toc225163677 \h </w:instrText>
            </w:r>
            <w:r>
              <w:rPr>
                <w:noProof/>
                <w:webHidden/>
              </w:rPr>
            </w:r>
            <w:r>
              <w:rPr>
                <w:noProof/>
                <w:webHidden/>
              </w:rPr>
              <w:fldChar w:fldCharType="separate"/>
            </w:r>
            <w:r>
              <w:rPr>
                <w:noProof/>
                <w:webHidden/>
              </w:rPr>
              <w:t>9</w:t>
            </w:r>
            <w:r>
              <w:rPr>
                <w:noProof/>
                <w:webHidden/>
              </w:rPr>
              <w:fldChar w:fldCharType="end"/>
            </w:r>
          </w:hyperlink>
        </w:p>
        <w:p w14:paraId="5E005A37" w14:textId="489E33F4" w:rsidR="00BC24BB" w:rsidRDefault="00BC24BB">
          <w:pPr>
            <w:pStyle w:val="TOC3"/>
            <w:rPr>
              <w:rFonts w:asciiTheme="minorHAnsi" w:hAnsiTheme="minorHAnsi" w:cstheme="minorBidi"/>
              <w:noProof/>
              <w:color w:val="auto"/>
              <w:sz w:val="24"/>
              <w:szCs w:val="24"/>
              <w:lang w:eastAsia="en-US"/>
            </w:rPr>
          </w:pPr>
          <w:hyperlink w:anchor="_Toc225163678" w:history="1">
            <w:r w:rsidRPr="00144D20">
              <w:rPr>
                <w:rStyle w:val="Hyperlink"/>
                <w:noProof/>
              </w:rPr>
              <w:t>Claims Filed and Returned to Provider</w:t>
            </w:r>
            <w:r>
              <w:rPr>
                <w:noProof/>
                <w:webHidden/>
              </w:rPr>
              <w:tab/>
            </w:r>
            <w:r>
              <w:rPr>
                <w:noProof/>
                <w:webHidden/>
              </w:rPr>
              <w:fldChar w:fldCharType="begin"/>
            </w:r>
            <w:r>
              <w:rPr>
                <w:noProof/>
                <w:webHidden/>
              </w:rPr>
              <w:instrText xml:space="preserve"> PAGEREF _Toc225163678 \h </w:instrText>
            </w:r>
            <w:r>
              <w:rPr>
                <w:noProof/>
                <w:webHidden/>
              </w:rPr>
            </w:r>
            <w:r>
              <w:rPr>
                <w:noProof/>
                <w:webHidden/>
              </w:rPr>
              <w:fldChar w:fldCharType="separate"/>
            </w:r>
            <w:r>
              <w:rPr>
                <w:noProof/>
                <w:webHidden/>
              </w:rPr>
              <w:t>9</w:t>
            </w:r>
            <w:r>
              <w:rPr>
                <w:noProof/>
                <w:webHidden/>
              </w:rPr>
              <w:fldChar w:fldCharType="end"/>
            </w:r>
          </w:hyperlink>
        </w:p>
        <w:p w14:paraId="4E91E88A" w14:textId="5EB2185A" w:rsidR="00BC24BB" w:rsidRDefault="00BC24BB">
          <w:pPr>
            <w:pStyle w:val="TOC3"/>
            <w:rPr>
              <w:rFonts w:asciiTheme="minorHAnsi" w:hAnsiTheme="minorHAnsi" w:cstheme="minorBidi"/>
              <w:noProof/>
              <w:color w:val="auto"/>
              <w:sz w:val="24"/>
              <w:szCs w:val="24"/>
              <w:lang w:eastAsia="en-US"/>
            </w:rPr>
          </w:pPr>
          <w:hyperlink w:anchor="_Toc225163679" w:history="1">
            <w:r w:rsidRPr="00144D20">
              <w:rPr>
                <w:rStyle w:val="Hyperlink"/>
                <w:noProof/>
              </w:rPr>
              <w:t>Claims Not Filed Within the Time Limit</w:t>
            </w:r>
            <w:r>
              <w:rPr>
                <w:noProof/>
                <w:webHidden/>
              </w:rPr>
              <w:tab/>
            </w:r>
            <w:r>
              <w:rPr>
                <w:noProof/>
                <w:webHidden/>
              </w:rPr>
              <w:fldChar w:fldCharType="begin"/>
            </w:r>
            <w:r>
              <w:rPr>
                <w:noProof/>
                <w:webHidden/>
              </w:rPr>
              <w:instrText xml:space="preserve"> PAGEREF _Toc225163679 \h </w:instrText>
            </w:r>
            <w:r>
              <w:rPr>
                <w:noProof/>
                <w:webHidden/>
              </w:rPr>
            </w:r>
            <w:r>
              <w:rPr>
                <w:noProof/>
                <w:webHidden/>
              </w:rPr>
              <w:fldChar w:fldCharType="separate"/>
            </w:r>
            <w:r>
              <w:rPr>
                <w:noProof/>
                <w:webHidden/>
              </w:rPr>
              <w:t>9</w:t>
            </w:r>
            <w:r>
              <w:rPr>
                <w:noProof/>
                <w:webHidden/>
              </w:rPr>
              <w:fldChar w:fldCharType="end"/>
            </w:r>
          </w:hyperlink>
        </w:p>
        <w:p w14:paraId="4E92D9F0" w14:textId="62C97503" w:rsidR="00BC24BB" w:rsidRDefault="00BC24BB">
          <w:pPr>
            <w:pStyle w:val="TOC3"/>
            <w:rPr>
              <w:rFonts w:asciiTheme="minorHAnsi" w:hAnsiTheme="minorHAnsi" w:cstheme="minorBidi"/>
              <w:noProof/>
              <w:color w:val="auto"/>
              <w:sz w:val="24"/>
              <w:szCs w:val="24"/>
              <w:lang w:eastAsia="en-US"/>
            </w:rPr>
          </w:pPr>
          <w:hyperlink w:anchor="_Toc225163680" w:history="1">
            <w:r w:rsidRPr="00144D20">
              <w:rPr>
                <w:rStyle w:val="Hyperlink"/>
                <w:noProof/>
              </w:rPr>
              <w:t>Time Limit for Filing an Individual Adjustment</w:t>
            </w:r>
            <w:r>
              <w:rPr>
                <w:noProof/>
                <w:webHidden/>
              </w:rPr>
              <w:tab/>
            </w:r>
            <w:r>
              <w:rPr>
                <w:noProof/>
                <w:webHidden/>
              </w:rPr>
              <w:fldChar w:fldCharType="begin"/>
            </w:r>
            <w:r>
              <w:rPr>
                <w:noProof/>
                <w:webHidden/>
              </w:rPr>
              <w:instrText xml:space="preserve"> PAGEREF _Toc225163680 \h </w:instrText>
            </w:r>
            <w:r>
              <w:rPr>
                <w:noProof/>
                <w:webHidden/>
              </w:rPr>
            </w:r>
            <w:r>
              <w:rPr>
                <w:noProof/>
                <w:webHidden/>
              </w:rPr>
              <w:fldChar w:fldCharType="separate"/>
            </w:r>
            <w:r>
              <w:rPr>
                <w:noProof/>
                <w:webHidden/>
              </w:rPr>
              <w:t>9</w:t>
            </w:r>
            <w:r>
              <w:rPr>
                <w:noProof/>
                <w:webHidden/>
              </w:rPr>
              <w:fldChar w:fldCharType="end"/>
            </w:r>
          </w:hyperlink>
        </w:p>
        <w:p w14:paraId="72BFA3ED" w14:textId="6F2DB4F5" w:rsidR="00BC24BB" w:rsidRDefault="00BC24BB">
          <w:pPr>
            <w:pStyle w:val="TOC2"/>
            <w:rPr>
              <w:rFonts w:asciiTheme="minorHAnsi" w:hAnsiTheme="minorHAnsi" w:cstheme="minorBidi"/>
              <w:b w:val="0"/>
              <w:bCs w:val="0"/>
              <w:noProof/>
              <w:color w:val="auto"/>
              <w:sz w:val="24"/>
              <w:szCs w:val="24"/>
              <w:lang w:eastAsia="en-US"/>
            </w:rPr>
          </w:pPr>
          <w:hyperlink w:anchor="_Toc225163681" w:history="1">
            <w:r w:rsidRPr="00144D20">
              <w:rPr>
                <w:rStyle w:val="Hyperlink"/>
                <w:noProof/>
              </w:rPr>
              <w:t>1.5</w:t>
            </w:r>
            <w:r>
              <w:rPr>
                <w:rFonts w:asciiTheme="minorHAnsi" w:hAnsiTheme="minorHAnsi" w:cstheme="minorBidi"/>
                <w:b w:val="0"/>
                <w:bCs w:val="0"/>
                <w:noProof/>
                <w:color w:val="auto"/>
                <w:sz w:val="24"/>
                <w:szCs w:val="24"/>
                <w:lang w:eastAsia="en-US"/>
              </w:rPr>
              <w:tab/>
            </w:r>
            <w:r w:rsidRPr="00144D20">
              <w:rPr>
                <w:rStyle w:val="Hyperlink"/>
                <w:noProof/>
              </w:rPr>
              <w:t>Reimbursement</w:t>
            </w:r>
            <w:r>
              <w:rPr>
                <w:noProof/>
                <w:webHidden/>
              </w:rPr>
              <w:tab/>
            </w:r>
            <w:r>
              <w:rPr>
                <w:noProof/>
                <w:webHidden/>
              </w:rPr>
              <w:fldChar w:fldCharType="begin"/>
            </w:r>
            <w:r>
              <w:rPr>
                <w:noProof/>
                <w:webHidden/>
              </w:rPr>
              <w:instrText xml:space="preserve"> PAGEREF _Toc225163681 \h </w:instrText>
            </w:r>
            <w:r>
              <w:rPr>
                <w:noProof/>
                <w:webHidden/>
              </w:rPr>
            </w:r>
            <w:r>
              <w:rPr>
                <w:noProof/>
                <w:webHidden/>
              </w:rPr>
              <w:fldChar w:fldCharType="separate"/>
            </w:r>
            <w:r>
              <w:rPr>
                <w:noProof/>
                <w:webHidden/>
              </w:rPr>
              <w:t>10</w:t>
            </w:r>
            <w:r>
              <w:rPr>
                <w:noProof/>
                <w:webHidden/>
              </w:rPr>
              <w:fldChar w:fldCharType="end"/>
            </w:r>
          </w:hyperlink>
        </w:p>
        <w:p w14:paraId="5A2A332E" w14:textId="3D00AFD6" w:rsidR="00BC24BB" w:rsidRDefault="00BC24BB" w:rsidP="00BC24BB">
          <w:pPr>
            <w:pStyle w:val="TOC2"/>
          </w:pPr>
          <w:r>
            <w:rPr>
              <w:b w:val="0"/>
              <w:bCs w:val="0"/>
            </w:rPr>
            <w:fldChar w:fldCharType="end"/>
          </w:r>
        </w:p>
      </w:sdtContent>
    </w:sdt>
    <w:p w14:paraId="14C24749" w14:textId="77777777" w:rsidR="00BC24BB" w:rsidRDefault="00BC24BB">
      <w:pPr>
        <w:spacing w:before="0" w:after="200" w:line="276" w:lineRule="auto"/>
        <w:jc w:val="left"/>
        <w:rPr>
          <w:color w:val="F79646" w:themeColor="accent6"/>
          <w:sz w:val="32"/>
          <w:szCs w:val="32"/>
        </w:rPr>
        <w:sectPr w:rsidR="00BC24BB" w:rsidSect="00B13BAE">
          <w:pgSz w:w="12240" w:h="15840"/>
          <w:pgMar w:top="1080" w:right="1080" w:bottom="1080" w:left="1080" w:header="216" w:footer="720" w:gutter="0"/>
          <w:pgNumType w:fmt="lowerRoman" w:start="1"/>
          <w:cols w:space="720"/>
          <w:noEndnote/>
          <w:docGrid w:linePitch="326"/>
        </w:sectPr>
      </w:pPr>
    </w:p>
    <w:p w14:paraId="6CADF35F" w14:textId="68EB014A" w:rsidR="002F6ED2" w:rsidRPr="00EC6C97" w:rsidRDefault="002F6ED2" w:rsidP="00AC701E">
      <w:pPr>
        <w:pStyle w:val="Introduction"/>
      </w:pPr>
      <w:r w:rsidRPr="00EC6C97">
        <w:t>Introduction</w:t>
      </w:r>
    </w:p>
    <w:p w14:paraId="458F8300" w14:textId="6451269F" w:rsidR="00527FD9" w:rsidRPr="008C43E4" w:rsidRDefault="00E93195" w:rsidP="00BE5E58">
      <w:pPr>
        <w:rPr>
          <w:color w:val="000000"/>
        </w:rPr>
      </w:pPr>
      <w:r w:rsidRPr="008C43E4">
        <w:rPr>
          <w:color w:val="000000"/>
        </w:rPr>
        <w:t>Th</w:t>
      </w:r>
      <w:r w:rsidR="0067275B" w:rsidRPr="008C43E4">
        <w:rPr>
          <w:color w:val="000000"/>
        </w:rPr>
        <w:t xml:space="preserve">is </w:t>
      </w:r>
      <w:r w:rsidRPr="008C43E4">
        <w:rPr>
          <w:color w:val="000000"/>
        </w:rPr>
        <w:t>manual</w:t>
      </w:r>
      <w:r w:rsidR="00A33C37" w:rsidRPr="008C43E4">
        <w:rPr>
          <w:color w:val="000000"/>
        </w:rPr>
        <w:t xml:space="preserve"> contains </w:t>
      </w:r>
      <w:r w:rsidR="004B7F61" w:rsidRPr="008C43E4">
        <w:rPr>
          <w:color w:val="000000"/>
        </w:rPr>
        <w:t>MO HealthNet Medicare and Medicaid claims processing information</w:t>
      </w:r>
      <w:r w:rsidR="00A33C37" w:rsidRPr="008C43E4">
        <w:rPr>
          <w:color w:val="000000"/>
        </w:rPr>
        <w:t xml:space="preserve">. </w:t>
      </w:r>
      <w:r w:rsidR="00527FD9" w:rsidRPr="008C43E4">
        <w:rPr>
          <w:color w:val="000000"/>
        </w:rPr>
        <w:t xml:space="preserve">Medicare is a federal health insurance for qualifying participants who are age 65 and </w:t>
      </w:r>
      <w:r w:rsidR="00710086" w:rsidRPr="008C43E4">
        <w:rPr>
          <w:color w:val="000000"/>
        </w:rPr>
        <w:t>over</w:t>
      </w:r>
      <w:r w:rsidR="00F2096D">
        <w:rPr>
          <w:color w:val="000000"/>
        </w:rPr>
        <w:t>,</w:t>
      </w:r>
      <w:r w:rsidR="00B95333">
        <w:rPr>
          <w:color w:val="000000"/>
        </w:rPr>
        <w:t xml:space="preserve"> or 6</w:t>
      </w:r>
      <w:r w:rsidR="00921736">
        <w:rPr>
          <w:color w:val="000000"/>
        </w:rPr>
        <w:t>4</w:t>
      </w:r>
      <w:r w:rsidR="00B95333">
        <w:rPr>
          <w:color w:val="000000"/>
        </w:rPr>
        <w:t xml:space="preserve"> </w:t>
      </w:r>
      <w:r w:rsidR="0067275B" w:rsidRPr="008C43E4">
        <w:rPr>
          <w:color w:val="000000"/>
        </w:rPr>
        <w:t xml:space="preserve">and under </w:t>
      </w:r>
      <w:r w:rsidR="00527FD9" w:rsidRPr="008C43E4">
        <w:rPr>
          <w:color w:val="000000"/>
        </w:rPr>
        <w:t>with certain disabilities and/or conditions. MO HealthNet</w:t>
      </w:r>
      <w:r w:rsidR="00476515">
        <w:rPr>
          <w:color w:val="000000"/>
        </w:rPr>
        <w:t xml:space="preserve"> (</w:t>
      </w:r>
      <w:r w:rsidR="000F78AA">
        <w:rPr>
          <w:color w:val="000000"/>
        </w:rPr>
        <w:t>Medicaid in Missouri</w:t>
      </w:r>
      <w:r w:rsidR="00476515">
        <w:rPr>
          <w:color w:val="000000"/>
        </w:rPr>
        <w:t>)</w:t>
      </w:r>
      <w:r w:rsidR="00564A84">
        <w:rPr>
          <w:color w:val="000000"/>
        </w:rPr>
        <w:t xml:space="preserve"> </w:t>
      </w:r>
      <w:r w:rsidR="00527FD9" w:rsidRPr="008C43E4">
        <w:rPr>
          <w:color w:val="000000"/>
        </w:rPr>
        <w:t xml:space="preserve">is a joint federal and state program that provides health coverage for participants with limited income and resources.  Some participants qualify for both Medicare and MO HealthNet.  For these participants, Medicare claims will crossover to </w:t>
      </w:r>
      <w:r w:rsidR="0067275B" w:rsidRPr="008C43E4">
        <w:rPr>
          <w:color w:val="000000"/>
        </w:rPr>
        <w:t xml:space="preserve">the </w:t>
      </w:r>
      <w:r w:rsidR="00527FD9" w:rsidRPr="008C43E4">
        <w:rPr>
          <w:color w:val="000000"/>
        </w:rPr>
        <w:t>MO HealthNet</w:t>
      </w:r>
      <w:r w:rsidR="0067275B" w:rsidRPr="008C43E4">
        <w:rPr>
          <w:color w:val="000000"/>
        </w:rPr>
        <w:t xml:space="preserve"> Division (MHD)</w:t>
      </w:r>
      <w:r w:rsidR="00527FD9" w:rsidRPr="008C43E4">
        <w:rPr>
          <w:color w:val="000000"/>
        </w:rPr>
        <w:t>.  When MO HealthNet providers submit claims to Medicare for payment, Medicare will pay the claim, apply a deductible/coinsurance or co</w:t>
      </w:r>
      <w:r w:rsidR="009127A8" w:rsidRPr="008C43E4">
        <w:rPr>
          <w:color w:val="000000"/>
        </w:rPr>
        <w:t>-</w:t>
      </w:r>
      <w:r w:rsidR="00527FD9" w:rsidRPr="008C43E4">
        <w:rPr>
          <w:color w:val="000000"/>
        </w:rPr>
        <w:t>pay amount</w:t>
      </w:r>
      <w:r w:rsidR="004B7F61" w:rsidRPr="008C43E4">
        <w:rPr>
          <w:color w:val="000000"/>
        </w:rPr>
        <w:t>,</w:t>
      </w:r>
      <w:r w:rsidR="00527FD9" w:rsidRPr="008C43E4">
        <w:rPr>
          <w:color w:val="000000"/>
        </w:rPr>
        <w:t xml:space="preserve"> and then automatically forward the claim to M</w:t>
      </w:r>
      <w:r w:rsidR="0067275B" w:rsidRPr="008C43E4">
        <w:rPr>
          <w:color w:val="000000"/>
        </w:rPr>
        <w:t>HD</w:t>
      </w:r>
      <w:r w:rsidR="00527FD9" w:rsidRPr="008C43E4">
        <w:rPr>
          <w:color w:val="000000"/>
        </w:rPr>
        <w:t xml:space="preserve"> for </w:t>
      </w:r>
      <w:r w:rsidR="004B7F61" w:rsidRPr="008C43E4">
        <w:rPr>
          <w:color w:val="000000"/>
        </w:rPr>
        <w:t>payment review</w:t>
      </w:r>
      <w:r w:rsidR="00527FD9" w:rsidRPr="008C43E4">
        <w:rPr>
          <w:color w:val="000000"/>
        </w:rPr>
        <w:t xml:space="preserve">. </w:t>
      </w:r>
      <w:r w:rsidR="009513FD" w:rsidRPr="008C43E4">
        <w:rPr>
          <w:color w:val="000000"/>
        </w:rPr>
        <w:t>This is referred to as a crossover claim.</w:t>
      </w:r>
    </w:p>
    <w:p w14:paraId="16805311" w14:textId="7B47C8A7" w:rsidR="007A6195" w:rsidRPr="00EC6C97" w:rsidRDefault="007A6195" w:rsidP="00275867">
      <w:pPr>
        <w:pStyle w:val="Heading2"/>
      </w:pPr>
      <w:bookmarkStart w:id="1" w:name="_Toc210124677"/>
      <w:bookmarkStart w:id="2" w:name="_Toc225163665"/>
      <w:r w:rsidRPr="00EC6C97">
        <w:t>S</w:t>
      </w:r>
      <w:r w:rsidR="0066679D" w:rsidRPr="00EC6C97">
        <w:t>ection</w:t>
      </w:r>
      <w:r w:rsidR="003718BC" w:rsidRPr="00EC6C97">
        <w:t xml:space="preserve"> 1: </w:t>
      </w:r>
      <w:r w:rsidR="002F6ED2" w:rsidRPr="00EC6C97">
        <w:t>General Information</w:t>
      </w:r>
      <w:bookmarkEnd w:id="1"/>
      <w:bookmarkEnd w:id="2"/>
    </w:p>
    <w:p w14:paraId="53FF7017" w14:textId="184383B2" w:rsidR="007A6195" w:rsidRPr="000870A9" w:rsidRDefault="007A6195">
      <w:pPr>
        <w:rPr>
          <w:color w:val="000000"/>
        </w:rPr>
      </w:pPr>
      <w:r w:rsidRPr="000870A9">
        <w:rPr>
          <w:color w:val="000000"/>
        </w:rPr>
        <w:t xml:space="preserve">This section includes general information about the Medicare and MO HealthNet Programs, comparisons between them, and how they relate to one another in cases </w:t>
      </w:r>
      <w:r w:rsidR="004B7F61">
        <w:rPr>
          <w:color w:val="000000"/>
        </w:rPr>
        <w:t>where</w:t>
      </w:r>
      <w:r w:rsidRPr="000870A9">
        <w:rPr>
          <w:color w:val="000000"/>
        </w:rPr>
        <w:t xml:space="preserve"> an individual has </w:t>
      </w:r>
      <w:r w:rsidR="000E4C12" w:rsidRPr="000870A9">
        <w:rPr>
          <w:color w:val="000000"/>
        </w:rPr>
        <w:t xml:space="preserve">a </w:t>
      </w:r>
      <w:r w:rsidRPr="000870A9">
        <w:rPr>
          <w:color w:val="000000"/>
        </w:rPr>
        <w:t>concurrent entitlement to medical care benefits under both programs.</w:t>
      </w:r>
    </w:p>
    <w:p w14:paraId="097C160C" w14:textId="08E8F3A3" w:rsidR="007A6195" w:rsidRPr="003069E4" w:rsidRDefault="007A6195" w:rsidP="00BC24BB">
      <w:pPr>
        <w:pStyle w:val="BulletList1"/>
      </w:pPr>
      <w:r w:rsidRPr="003069E4">
        <w:t>Both Medicare and MO HealthNet are part of the Social Security Act.</w:t>
      </w:r>
    </w:p>
    <w:p w14:paraId="78668F37" w14:textId="5627F261" w:rsidR="007A6195" w:rsidRPr="003069E4" w:rsidRDefault="007A6195" w:rsidP="00BC24BB">
      <w:pPr>
        <w:pStyle w:val="BulletList1"/>
      </w:pPr>
      <w:r w:rsidRPr="003069E4">
        <w:t>Medicare is an insurance program designed and administered by the feder</w:t>
      </w:r>
      <w:r w:rsidR="0005310C">
        <w:t xml:space="preserve">al government. Medicare is </w:t>
      </w:r>
      <w:r w:rsidRPr="003069E4">
        <w:t>called Title XVIII (18) of the Social Security Act. Medicare services and rules for payment are the same for all states. Applications for this program can be made at local Social Security Offices</w:t>
      </w:r>
      <w:r w:rsidR="00DA449B">
        <w:t xml:space="preserve">, or by </w:t>
      </w:r>
      <w:r w:rsidR="000F78AA">
        <w:t xml:space="preserve">going </w:t>
      </w:r>
      <w:r w:rsidR="00DA449B">
        <w:t xml:space="preserve">online </w:t>
      </w:r>
      <w:r w:rsidR="000F78AA">
        <w:t>to  the</w:t>
      </w:r>
      <w:r w:rsidRPr="00DF2EB5">
        <w:rPr>
          <w:b/>
          <w:bCs/>
          <w:color w:val="163E64"/>
        </w:rPr>
        <w:t xml:space="preserve"> </w:t>
      </w:r>
      <w:hyperlink r:id="rId12" w:history="1">
        <w:r w:rsidR="000F78AA" w:rsidRPr="00275867">
          <w:rPr>
            <w:rStyle w:val="Hyperlink"/>
          </w:rPr>
          <w:t>Social Security</w:t>
        </w:r>
      </w:hyperlink>
      <w:r w:rsidR="00850F4B">
        <w:t xml:space="preserve"> </w:t>
      </w:r>
      <w:r w:rsidR="000F78AA">
        <w:t xml:space="preserve">website </w:t>
      </w:r>
      <w:r w:rsidRPr="003069E4">
        <w:t xml:space="preserve">which can provide  </w:t>
      </w:r>
      <w:r w:rsidR="000F78AA">
        <w:t xml:space="preserve">more </w:t>
      </w:r>
      <w:r w:rsidRPr="003069E4">
        <w:t>details regarding services.</w:t>
      </w:r>
    </w:p>
    <w:p w14:paraId="11912E6A" w14:textId="3A7174CE" w:rsidR="007A6195" w:rsidRPr="00C72DA1" w:rsidRDefault="007A6195" w:rsidP="00BC24BB">
      <w:pPr>
        <w:pStyle w:val="BulletList1"/>
      </w:pPr>
      <w:r w:rsidRPr="00C72DA1">
        <w:t xml:space="preserve">Medicare claims are processed by federally contracted private insurance organizations called carriers and intermediaries throughout the </w:t>
      </w:r>
      <w:r w:rsidR="0067275B" w:rsidRPr="00C72DA1">
        <w:t>United States (</w:t>
      </w:r>
      <w:r w:rsidRPr="00C72DA1">
        <w:t>U.S.</w:t>
      </w:r>
      <w:r w:rsidR="0067275B" w:rsidRPr="00C72DA1">
        <w:t>).</w:t>
      </w:r>
    </w:p>
    <w:p w14:paraId="7F0D4F8F" w14:textId="304936F7" w:rsidR="007A6195" w:rsidRPr="008C43E4" w:rsidRDefault="007A6195" w:rsidP="00BC24BB">
      <w:pPr>
        <w:pStyle w:val="BulletList1"/>
      </w:pPr>
      <w:r w:rsidRPr="008C43E4">
        <w:t>MO HealthNet</w:t>
      </w:r>
      <w:r w:rsidR="00047185">
        <w:t xml:space="preserve"> </w:t>
      </w:r>
      <w:r w:rsidR="00DA449B">
        <w:t>is the name for Medicaid in Missouri, it is</w:t>
      </w:r>
      <w:r w:rsidRPr="008C43E4">
        <w:t xml:space="preserve"> an assistance program that is a federal-state partnership. Some services, as established by the federal government, </w:t>
      </w:r>
      <w:r w:rsidR="004B7F61" w:rsidRPr="008C43E4">
        <w:t>must</w:t>
      </w:r>
      <w:r w:rsidRPr="008C43E4">
        <w:t xml:space="preserve"> be provided. Additional services may be provided at the </w:t>
      </w:r>
      <w:r w:rsidR="004B7F61" w:rsidRPr="008C43E4">
        <w:t>individual states' option</w:t>
      </w:r>
      <w:r w:rsidRPr="008C43E4">
        <w:t>. MO HealthNet</w:t>
      </w:r>
      <w:r w:rsidR="009513FD" w:rsidRPr="008C43E4">
        <w:t xml:space="preserve"> </w:t>
      </w:r>
      <w:r w:rsidRPr="008C43E4">
        <w:t>is also called Title XIX (19) of the Social Security Act. Each state designs and operates its own program within federal guidelines; therefore, programs vary among states. In Missouri, an individual may apply for M</w:t>
      </w:r>
      <w:r w:rsidR="001659B8" w:rsidRPr="008C43E4">
        <w:t>O</w:t>
      </w:r>
      <w:r w:rsidRPr="008C43E4">
        <w:t xml:space="preserve"> HealthNet benefits </w:t>
      </w:r>
      <w:r w:rsidR="000766BF" w:rsidRPr="008C43E4">
        <w:t>through the</w:t>
      </w:r>
      <w:r w:rsidRPr="008C43E4">
        <w:t xml:space="preserve"> Family Support Division (FSD).</w:t>
      </w:r>
      <w:r w:rsidR="000766BF" w:rsidRPr="008C43E4">
        <w:t xml:space="preserve"> Additional information can be found on</w:t>
      </w:r>
      <w:r w:rsidR="009513FD" w:rsidRPr="008C43E4">
        <w:t xml:space="preserve"> the </w:t>
      </w:r>
      <w:hyperlink r:id="rId13" w:history="1">
        <w:r w:rsidR="009513FD" w:rsidRPr="00EC6C97">
          <w:rPr>
            <w:rStyle w:val="Hyperlink"/>
            <w:color w:val="163E64"/>
          </w:rPr>
          <w:t>FSD website</w:t>
        </w:r>
      </w:hyperlink>
      <w:r w:rsidR="009513FD" w:rsidRPr="008C43E4">
        <w:t xml:space="preserve">. </w:t>
      </w:r>
      <w:r w:rsidRPr="008C43E4">
        <w:t xml:space="preserve">In Missouri, </w:t>
      </w:r>
      <w:r w:rsidR="0067275B" w:rsidRPr="008C43E4">
        <w:t>the MO HealthNet Division (</w:t>
      </w:r>
      <w:r w:rsidR="00F94323" w:rsidRPr="008C43E4">
        <w:t>MHD</w:t>
      </w:r>
      <w:r w:rsidR="0067275B" w:rsidRPr="008C43E4">
        <w:t>)</w:t>
      </w:r>
      <w:r w:rsidR="00576C1E" w:rsidRPr="008C43E4">
        <w:t>, within the Department of Social Services</w:t>
      </w:r>
      <w:r w:rsidR="00D36B5B" w:rsidRPr="008C43E4">
        <w:t xml:space="preserve"> (DSS)</w:t>
      </w:r>
      <w:r w:rsidR="009D221D" w:rsidRPr="008C43E4">
        <w:t>,</w:t>
      </w:r>
      <w:r w:rsidR="00576C1E" w:rsidRPr="008C43E4">
        <w:t xml:space="preserve"> is the single state agency for the administration of the MO HealthNet Program. </w:t>
      </w:r>
      <w:r w:rsidRPr="008C43E4">
        <w:t xml:space="preserve">MO HealthNet claims are processed by a state-contracted fiscal agent that operates according to </w:t>
      </w:r>
      <w:r w:rsidR="004B7F61" w:rsidRPr="008C43E4">
        <w:t>MHD's policies and guidelines</w:t>
      </w:r>
      <w:r w:rsidR="00576C1E" w:rsidRPr="008C43E4">
        <w:t>.</w:t>
      </w:r>
      <w:r w:rsidRPr="008C43E4">
        <w:t xml:space="preserve"> </w:t>
      </w:r>
    </w:p>
    <w:p w14:paraId="3CB225CC" w14:textId="21481A28" w:rsidR="00493CD6" w:rsidRPr="008C43E4" w:rsidRDefault="00977E1D" w:rsidP="00BC24BB">
      <w:pPr>
        <w:pStyle w:val="BulletList1"/>
      </w:pPr>
      <w:r w:rsidRPr="008C43E4">
        <w:t xml:space="preserve">A </w:t>
      </w:r>
      <w:r w:rsidR="004B7F61" w:rsidRPr="008C43E4">
        <w:t>dual-</w:t>
      </w:r>
      <w:r w:rsidRPr="008C43E4">
        <w:t xml:space="preserve">eligible participant is a participant </w:t>
      </w:r>
      <w:r w:rsidR="004B7F61" w:rsidRPr="008C43E4">
        <w:t xml:space="preserve">who </w:t>
      </w:r>
      <w:r w:rsidRPr="008C43E4">
        <w:t>is eligible for both MO HealthNet and Medicare services.</w:t>
      </w:r>
      <w:r w:rsidR="004B7F61" w:rsidRPr="008C43E4">
        <w:t xml:space="preserve"> </w:t>
      </w:r>
      <w:r w:rsidRPr="008C43E4">
        <w:t xml:space="preserve">For </w:t>
      </w:r>
      <w:r w:rsidR="004B7F61" w:rsidRPr="008C43E4">
        <w:t>dual-</w:t>
      </w:r>
      <w:r w:rsidRPr="008C43E4">
        <w:t>eligible participants, Medicare or the Medicare Advantage</w:t>
      </w:r>
      <w:r w:rsidR="00A33CD1" w:rsidRPr="008C43E4">
        <w:t>/Part C</w:t>
      </w:r>
      <w:r w:rsidRPr="008C43E4">
        <w:t xml:space="preserve"> Plan</w:t>
      </w:r>
      <w:r w:rsidR="00105BD9" w:rsidRPr="008C43E4">
        <w:t xml:space="preserve"> </w:t>
      </w:r>
      <w:r w:rsidRPr="008C43E4">
        <w:t xml:space="preserve">is the primary payer prior to </w:t>
      </w:r>
      <w:r w:rsidR="0067275B" w:rsidRPr="008C43E4">
        <w:t>MHD</w:t>
      </w:r>
      <w:r w:rsidRPr="008C43E4">
        <w:t xml:space="preserve">. </w:t>
      </w:r>
      <w:r w:rsidR="00F73B01" w:rsidRPr="008C43E4">
        <w:t xml:space="preserve">For </w:t>
      </w:r>
      <w:r w:rsidR="004B7F61" w:rsidRPr="008C43E4">
        <w:t>dual-</w:t>
      </w:r>
      <w:r w:rsidR="00F73B01" w:rsidRPr="008C43E4">
        <w:t xml:space="preserve">eligible participants who qualify for both Medicare and Medicaid, MHD will be the payer of last resort and cover Medicare cost sharing amounts. </w:t>
      </w:r>
      <w:r w:rsidR="001325F7" w:rsidRPr="008C43E4">
        <w:t xml:space="preserve">Refer to </w:t>
      </w:r>
      <w:hyperlink w:anchor="_1.3_Medicare_Part" w:history="1">
        <w:r w:rsidR="001325F7" w:rsidRPr="00275867">
          <w:rPr>
            <w:rStyle w:val="Hyperlink"/>
          </w:rPr>
          <w:t>Section 1.3</w:t>
        </w:r>
      </w:hyperlink>
      <w:r w:rsidR="001325F7" w:rsidRPr="008C43E4">
        <w:t xml:space="preserve"> in this manual for more information regarding Medicare Part C. </w:t>
      </w:r>
      <w:r w:rsidR="00F73B01" w:rsidRPr="008C43E4">
        <w:t xml:space="preserve">Any exceptions to this rule can be found in each </w:t>
      </w:r>
      <w:hyperlink r:id="rId14" w:history="1">
        <w:r w:rsidR="004A106E" w:rsidRPr="00275867">
          <w:rPr>
            <w:rStyle w:val="Hyperlink"/>
          </w:rPr>
          <w:t>P</w:t>
        </w:r>
        <w:r w:rsidR="00F73B01" w:rsidRPr="00275867">
          <w:rPr>
            <w:rStyle w:val="Hyperlink"/>
          </w:rPr>
          <w:t xml:space="preserve">rogram </w:t>
        </w:r>
        <w:r w:rsidR="004A106E" w:rsidRPr="00275867">
          <w:rPr>
            <w:rStyle w:val="Hyperlink"/>
          </w:rPr>
          <w:t>S</w:t>
        </w:r>
        <w:r w:rsidR="00F73B01" w:rsidRPr="00275867">
          <w:rPr>
            <w:rStyle w:val="Hyperlink"/>
          </w:rPr>
          <w:t xml:space="preserve">pecific </w:t>
        </w:r>
        <w:r w:rsidR="004A106E" w:rsidRPr="00275867">
          <w:rPr>
            <w:rStyle w:val="Hyperlink"/>
          </w:rPr>
          <w:t>M</w:t>
        </w:r>
        <w:r w:rsidR="00F73B01" w:rsidRPr="00275867">
          <w:rPr>
            <w:rStyle w:val="Hyperlink"/>
          </w:rPr>
          <w:t>anual</w:t>
        </w:r>
      </w:hyperlink>
      <w:r w:rsidR="00CC1919" w:rsidRPr="008C43E4">
        <w:t>.</w:t>
      </w:r>
      <w:r w:rsidR="00684C55" w:rsidRPr="008C43E4">
        <w:t xml:space="preserve"> MO HealthNet enrolled providers must be enrolled with and bill Medicare for services covered by both MHD and Medicare</w:t>
      </w:r>
      <w:r w:rsidR="004B7F61" w:rsidRPr="008C43E4">
        <w:t xml:space="preserve"> to receive payment for dual-eligible participants</w:t>
      </w:r>
      <w:r w:rsidR="00684C55" w:rsidRPr="008C43E4">
        <w:t>. For services covered through a Medicare Advantage</w:t>
      </w:r>
      <w:r w:rsidR="00A33CD1" w:rsidRPr="008C43E4">
        <w:t>/Part C</w:t>
      </w:r>
      <w:r w:rsidR="00684C55" w:rsidRPr="008C43E4">
        <w:t xml:space="preserve"> Plan, MO HealthNet enrolled providers must be enrolled with and bill the Medicare Advantage</w:t>
      </w:r>
      <w:r w:rsidR="00A33CD1" w:rsidRPr="008C43E4">
        <w:t>/Part C</w:t>
      </w:r>
      <w:r w:rsidR="00684C55" w:rsidRPr="008C43E4">
        <w:t xml:space="preserve"> Plan for services covered by both MHD and the Medicare Advantage</w:t>
      </w:r>
      <w:r w:rsidR="00A33CD1" w:rsidRPr="008C43E4">
        <w:t>/Part C</w:t>
      </w:r>
      <w:r w:rsidR="00684C55" w:rsidRPr="008C43E4">
        <w:t xml:space="preserve"> Plan</w:t>
      </w:r>
      <w:r w:rsidR="0004655C" w:rsidRPr="008C43E4">
        <w:t xml:space="preserve"> to receive payment</w:t>
      </w:r>
      <w:r w:rsidR="00684C55" w:rsidRPr="008C43E4">
        <w:t xml:space="preserve">.  </w:t>
      </w:r>
    </w:p>
    <w:p w14:paraId="314F330F" w14:textId="6A6E9EB3" w:rsidR="00675180" w:rsidRPr="00675180" w:rsidRDefault="004B7F61" w:rsidP="00BC24BB">
      <w:pPr>
        <w:pStyle w:val="BulletList1"/>
      </w:pPr>
      <w:r>
        <w:t>"</w:t>
      </w:r>
      <w:r w:rsidR="007A6195" w:rsidRPr="003069E4">
        <w:t>Cost-sharing</w:t>
      </w:r>
      <w:r>
        <w:t>"</w:t>
      </w:r>
      <w:r w:rsidRPr="003069E4">
        <w:t xml:space="preserve"> </w:t>
      </w:r>
      <w:r w:rsidR="007A6195" w:rsidRPr="003069E4">
        <w:t>amounts</w:t>
      </w:r>
      <w:r w:rsidR="00F66F89" w:rsidRPr="003069E4">
        <w:t xml:space="preserve"> may</w:t>
      </w:r>
      <w:r w:rsidR="007A6195" w:rsidRPr="003069E4">
        <w:t xml:space="preserve"> include the </w:t>
      </w:r>
      <w:r w:rsidRPr="003069E4">
        <w:t>participant</w:t>
      </w:r>
      <w:r>
        <w:t>'</w:t>
      </w:r>
      <w:r w:rsidRPr="003069E4">
        <w:t xml:space="preserve">s </w:t>
      </w:r>
      <w:r w:rsidR="007A6195" w:rsidRPr="003069E4">
        <w:t>co-insurance, deductible</w:t>
      </w:r>
      <w:r>
        <w:t>, and any co</w:t>
      </w:r>
      <w:r w:rsidR="009127A8">
        <w:t>-</w:t>
      </w:r>
      <w:r>
        <w:t>pays</w:t>
      </w:r>
      <w:r w:rsidR="007A6195" w:rsidRPr="003069E4">
        <w:t xml:space="preserve"> due for any Medicare-covered service</w:t>
      </w:r>
      <w:r w:rsidR="00F66F89" w:rsidRPr="003069E4">
        <w:t>, depending on</w:t>
      </w:r>
      <w:r w:rsidR="009D221D" w:rsidRPr="003069E4">
        <w:t xml:space="preserve"> the</w:t>
      </w:r>
      <w:r w:rsidR="00F66F89" w:rsidRPr="003069E4">
        <w:t xml:space="preserve"> </w:t>
      </w:r>
      <w:r w:rsidRPr="003069E4">
        <w:t>participant</w:t>
      </w:r>
      <w:r>
        <w:t>'</w:t>
      </w:r>
      <w:r w:rsidRPr="003069E4">
        <w:t xml:space="preserve">s </w:t>
      </w:r>
      <w:r w:rsidR="00F66F89" w:rsidRPr="003069E4">
        <w:t>eligibility</w:t>
      </w:r>
      <w:r w:rsidR="007A6195" w:rsidRPr="003069E4">
        <w:t>.</w:t>
      </w:r>
    </w:p>
    <w:p w14:paraId="11752FD4" w14:textId="38FD23F8" w:rsidR="007A6195" w:rsidRPr="00EC6C97" w:rsidRDefault="00F914ED" w:rsidP="00275867">
      <w:pPr>
        <w:pStyle w:val="Heading3"/>
      </w:pPr>
      <w:bookmarkStart w:id="3" w:name="_Toc322590263"/>
      <w:bookmarkStart w:id="4" w:name="_Toc210124678"/>
      <w:bookmarkStart w:id="5" w:name="_Toc225163666"/>
      <w:r w:rsidRPr="00EC6C97">
        <w:t>1.1</w:t>
      </w:r>
      <w:r w:rsidR="009F27BA" w:rsidRPr="00EC6C97">
        <w:tab/>
      </w:r>
      <w:r w:rsidR="007A6195" w:rsidRPr="00EC6C97">
        <w:t>B</w:t>
      </w:r>
      <w:r w:rsidR="0066679D" w:rsidRPr="00EC6C97">
        <w:t>illing</w:t>
      </w:r>
      <w:r w:rsidR="007A6195" w:rsidRPr="00EC6C97">
        <w:t xml:space="preserve"> P</w:t>
      </w:r>
      <w:r w:rsidR="0066679D" w:rsidRPr="00EC6C97">
        <w:t>rocedures</w:t>
      </w:r>
      <w:r w:rsidR="007A6195" w:rsidRPr="00EC6C97">
        <w:t xml:space="preserve"> </w:t>
      </w:r>
      <w:r w:rsidR="0066679D" w:rsidRPr="00EC6C97">
        <w:t>for</w:t>
      </w:r>
      <w:r w:rsidR="007A6195" w:rsidRPr="00EC6C97">
        <w:t xml:space="preserve"> M</w:t>
      </w:r>
      <w:r w:rsidR="0066679D" w:rsidRPr="00EC6C97">
        <w:t>edicare</w:t>
      </w:r>
      <w:r w:rsidR="007A6195" w:rsidRPr="00EC6C97">
        <w:t>/MO H</w:t>
      </w:r>
      <w:r w:rsidR="0066679D" w:rsidRPr="00EC6C97">
        <w:t>ealthNet</w:t>
      </w:r>
      <w:r w:rsidR="007A6195" w:rsidRPr="00EC6C97">
        <w:t xml:space="preserve"> C</w:t>
      </w:r>
      <w:r w:rsidR="0066679D" w:rsidRPr="00EC6C97">
        <w:t>laims</w:t>
      </w:r>
      <w:r w:rsidR="007A6195" w:rsidRPr="00EC6C97">
        <w:t xml:space="preserve"> (C</w:t>
      </w:r>
      <w:r w:rsidR="0066679D" w:rsidRPr="00EC6C97">
        <w:t>rossovers</w:t>
      </w:r>
      <w:r w:rsidR="007A6195" w:rsidRPr="00EC6C97">
        <w:t>)</w:t>
      </w:r>
      <w:bookmarkEnd w:id="3"/>
      <w:bookmarkEnd w:id="4"/>
      <w:bookmarkEnd w:id="5"/>
    </w:p>
    <w:p w14:paraId="5D8455AD" w14:textId="473BE215" w:rsidR="007A6195" w:rsidRPr="000870A9" w:rsidRDefault="00FF1211">
      <w:r w:rsidRPr="000870A9">
        <w:t>Providers must file claims with Medicare first when a participant has both Medicare and MO HealthNet coverage.</w:t>
      </w:r>
      <w:r w:rsidR="007A6195" w:rsidRPr="000870A9">
        <w:t xml:space="preserve"> After making payment, the Medicare contractor forwards the claim information to </w:t>
      </w:r>
      <w:r w:rsidR="0067275B">
        <w:t>MHD</w:t>
      </w:r>
      <w:r w:rsidR="007A6195" w:rsidRPr="000870A9">
        <w:t xml:space="preserve"> for payment of cost-sharing amounts. The M</w:t>
      </w:r>
      <w:r w:rsidR="0067275B">
        <w:t>HD</w:t>
      </w:r>
      <w:r w:rsidR="007A6195" w:rsidRPr="000870A9">
        <w:t xml:space="preserve"> payment of the cost-sharing appears on the </w:t>
      </w:r>
      <w:r w:rsidR="004B7F61" w:rsidRPr="000870A9">
        <w:t>provider</w:t>
      </w:r>
      <w:r w:rsidR="004B7F61">
        <w:t>'</w:t>
      </w:r>
      <w:r w:rsidR="004B7F61" w:rsidRPr="000870A9">
        <w:t>s</w:t>
      </w:r>
      <w:r w:rsidR="007A6195" w:rsidRPr="000870A9">
        <w:t xml:space="preserve"> Remittance Advice (RA). </w:t>
      </w:r>
    </w:p>
    <w:p w14:paraId="38D7C18A" w14:textId="4BBE72DB" w:rsidR="007A6195" w:rsidRPr="000870A9" w:rsidRDefault="004A1C05">
      <w:r>
        <w:t>MHD</w:t>
      </w:r>
      <w:r w:rsidR="00F2096D">
        <w:t xml:space="preserve"> </w:t>
      </w:r>
      <w:r w:rsidR="00B95F0B" w:rsidRPr="000870A9">
        <w:t xml:space="preserve">cannot process </w:t>
      </w:r>
      <w:r w:rsidR="00CC57D6" w:rsidRPr="000870A9">
        <w:t>some</w:t>
      </w:r>
      <w:r w:rsidR="00DC5876" w:rsidRPr="000870A9">
        <w:t xml:space="preserve"> </w:t>
      </w:r>
      <w:r w:rsidR="00B95F0B" w:rsidRPr="000870A9">
        <w:t xml:space="preserve">crossover claims </w:t>
      </w:r>
      <w:r w:rsidR="007A6195" w:rsidRPr="000870A9">
        <w:t xml:space="preserve">in the usual manner for </w:t>
      </w:r>
      <w:r w:rsidR="0078107D">
        <w:t>any</w:t>
      </w:r>
      <w:r w:rsidR="007A6195" w:rsidRPr="000870A9">
        <w:t xml:space="preserve"> of the following reasons:</w:t>
      </w:r>
    </w:p>
    <w:p w14:paraId="1534D730" w14:textId="38EEA3F0" w:rsidR="002A4F6A" w:rsidRPr="002A4F6A" w:rsidRDefault="007A6195" w:rsidP="00BC24BB">
      <w:pPr>
        <w:pStyle w:val="BulletList1"/>
      </w:pPr>
      <w:r w:rsidRPr="003069E4">
        <w:t xml:space="preserve">The Medicare contractor does </w:t>
      </w:r>
      <w:r w:rsidRPr="003069E4">
        <w:rPr>
          <w:rStyle w:val="Itlc"/>
          <w:i w:val="0"/>
          <w:iCs/>
          <w:color w:val="auto"/>
        </w:rPr>
        <w:t>not</w:t>
      </w:r>
      <w:r w:rsidRPr="003069E4">
        <w:t xml:space="preserve"> send crossover</w:t>
      </w:r>
      <w:r w:rsidR="00DC5876">
        <w:t xml:space="preserve"> </w:t>
      </w:r>
      <w:r w:rsidR="00C5043C" w:rsidRPr="003069E4">
        <w:t xml:space="preserve">claims </w:t>
      </w:r>
      <w:r w:rsidRPr="003069E4">
        <w:t xml:space="preserve">to </w:t>
      </w:r>
      <w:r w:rsidR="0067275B">
        <w:t>MHD</w:t>
      </w:r>
    </w:p>
    <w:p w14:paraId="5728DA57" w14:textId="7FE5F9E1" w:rsidR="007A6195" w:rsidRPr="003069E4" w:rsidRDefault="007A6195" w:rsidP="00BC24BB">
      <w:pPr>
        <w:pStyle w:val="BulletList1"/>
      </w:pPr>
      <w:r w:rsidRPr="003069E4">
        <w:t xml:space="preserve">The provider did </w:t>
      </w:r>
      <w:r w:rsidRPr="003069E4">
        <w:rPr>
          <w:rStyle w:val="Itlc"/>
          <w:i w:val="0"/>
          <w:iCs/>
          <w:color w:val="auto"/>
        </w:rPr>
        <w:t>not</w:t>
      </w:r>
      <w:r w:rsidRPr="003069E4">
        <w:t xml:space="preserve"> indicate on </w:t>
      </w:r>
      <w:r w:rsidR="00464C6C" w:rsidRPr="003069E4">
        <w:t xml:space="preserve">the </w:t>
      </w:r>
      <w:r w:rsidRPr="003069E4">
        <w:t>claim to Medicare that the beneficiary was eligible for MO HealthNet</w:t>
      </w:r>
    </w:p>
    <w:p w14:paraId="554D17FE" w14:textId="3613F3CC" w:rsidR="007A6195" w:rsidRPr="003069E4" w:rsidRDefault="007A6195" w:rsidP="00BC24BB">
      <w:pPr>
        <w:pStyle w:val="BulletList1"/>
      </w:pPr>
      <w:r w:rsidRPr="003069E4">
        <w:t xml:space="preserve">The MO HealthNet participant information on the crossover claim does </w:t>
      </w:r>
      <w:r w:rsidRPr="003069E4">
        <w:rPr>
          <w:rStyle w:val="Itlc"/>
          <w:i w:val="0"/>
          <w:iCs/>
          <w:color w:val="auto"/>
        </w:rPr>
        <w:t>not</w:t>
      </w:r>
      <w:r w:rsidRPr="003069E4">
        <w:t xml:space="preserve"> match the </w:t>
      </w:r>
      <w:r w:rsidR="00464C6C" w:rsidRPr="003069E4">
        <w:t xml:space="preserve">MO HealthNet </w:t>
      </w:r>
      <w:r w:rsidRPr="003069E4">
        <w:t>participant file</w:t>
      </w:r>
    </w:p>
    <w:p w14:paraId="099E43B1" w14:textId="367CA922" w:rsidR="007A6195" w:rsidRPr="003069E4" w:rsidRDefault="007A6195" w:rsidP="00BC24BB">
      <w:pPr>
        <w:pStyle w:val="BulletList1"/>
      </w:pPr>
      <w:r w:rsidRPr="003069E4">
        <w:t xml:space="preserve">The </w:t>
      </w:r>
      <w:r w:rsidR="004B7F61" w:rsidRPr="003069E4">
        <w:t>provider</w:t>
      </w:r>
      <w:r w:rsidR="004B7F61">
        <w:t>'</w:t>
      </w:r>
      <w:r w:rsidR="004B7F61" w:rsidRPr="003069E4">
        <w:t xml:space="preserve">s </w:t>
      </w:r>
      <w:r w:rsidRPr="003069E4">
        <w:t xml:space="preserve">National Provider Identifier (NPI) number is </w:t>
      </w:r>
      <w:r w:rsidRPr="003069E4">
        <w:rPr>
          <w:rStyle w:val="Itlc"/>
          <w:i w:val="0"/>
          <w:iCs/>
          <w:color w:val="auto"/>
        </w:rPr>
        <w:t>not</w:t>
      </w:r>
      <w:r w:rsidRPr="003069E4">
        <w:t xml:space="preserve"> on file in the</w:t>
      </w:r>
      <w:r w:rsidR="00512752">
        <w:t xml:space="preserve"> </w:t>
      </w:r>
      <w:r w:rsidR="00F94323" w:rsidRPr="003069E4">
        <w:t>MHD</w:t>
      </w:r>
      <w:r w:rsidRPr="003069E4">
        <w:t xml:space="preserve"> provider files</w:t>
      </w:r>
    </w:p>
    <w:p w14:paraId="6EF5B31C" w14:textId="04A687CA" w:rsidR="007C30DD" w:rsidRPr="005B1FFF" w:rsidRDefault="0067275B" w:rsidP="000870A9">
      <w:r w:rsidRPr="005B1FFF">
        <w:t>MHD</w:t>
      </w:r>
      <w:r w:rsidR="007A6195" w:rsidRPr="005B1FFF">
        <w:t xml:space="preserve"> </w:t>
      </w:r>
      <w:r w:rsidRPr="005B1FFF">
        <w:t>does not</w:t>
      </w:r>
      <w:r w:rsidR="007A6195" w:rsidRPr="005B1FFF">
        <w:t xml:space="preserve"> accept paper crossover claims. </w:t>
      </w:r>
      <w:r w:rsidR="00481AB0" w:rsidRPr="005B1FFF">
        <w:t>Providers must bill c</w:t>
      </w:r>
      <w:r w:rsidR="00700AF8" w:rsidRPr="005B1FFF">
        <w:t xml:space="preserve">rossover </w:t>
      </w:r>
      <w:r w:rsidR="007A6195" w:rsidRPr="005B1FFF">
        <w:t xml:space="preserve">claims that do not cross automatically from Medicare to </w:t>
      </w:r>
      <w:r w:rsidRPr="005B1FFF">
        <w:t>MHD</w:t>
      </w:r>
      <w:r w:rsidR="007A6195" w:rsidRPr="005B1FFF">
        <w:t xml:space="preserve"> </w:t>
      </w:r>
      <w:r w:rsidR="00473A95" w:rsidRPr="005B1FFF">
        <w:t xml:space="preserve">through </w:t>
      </w:r>
      <w:hyperlink r:id="rId15" w:history="1">
        <w:r w:rsidR="00473A95" w:rsidRPr="00275867">
          <w:rPr>
            <w:rStyle w:val="Hyperlink"/>
          </w:rPr>
          <w:t>eMOMED</w:t>
        </w:r>
      </w:hyperlink>
      <w:r w:rsidR="007A6195" w:rsidRPr="005B1FFF">
        <w:t xml:space="preserve"> or the 837 electronic claims transaction. </w:t>
      </w:r>
      <w:r w:rsidR="00464C6C" w:rsidRPr="005B1FFF">
        <w:t xml:space="preserve">Providers </w:t>
      </w:r>
      <w:r w:rsidR="007A6195" w:rsidRPr="005B1FFF">
        <w:t>should wait 30 days from the date of</w:t>
      </w:r>
      <w:r w:rsidR="00CC57D6" w:rsidRPr="005B1FFF">
        <w:t xml:space="preserve"> </w:t>
      </w:r>
      <w:r w:rsidR="007A6195" w:rsidRPr="005B1FFF">
        <w:t>Medicare payment</w:t>
      </w:r>
      <w:r w:rsidR="00464C6C" w:rsidRPr="005B1FFF">
        <w:t xml:space="preserve"> to file an electronic crossover claim</w:t>
      </w:r>
      <w:r w:rsidR="007A6195" w:rsidRPr="005B1FFF">
        <w:t>.</w:t>
      </w:r>
    </w:p>
    <w:p w14:paraId="295D0D22" w14:textId="2951E706" w:rsidR="007C30DD" w:rsidRPr="00EC6C97" w:rsidRDefault="007C30DD" w:rsidP="00275867">
      <w:pPr>
        <w:pStyle w:val="Heading4"/>
      </w:pPr>
      <w:bookmarkStart w:id="6" w:name="_Toc210124679"/>
      <w:bookmarkStart w:id="7" w:name="_Toc225163667"/>
      <w:r w:rsidRPr="00EC6C97">
        <w:t>Medicare Part A, Part B</w:t>
      </w:r>
      <w:r w:rsidR="004B7F61" w:rsidRPr="00EC6C97">
        <w:t>,</w:t>
      </w:r>
      <w:r w:rsidRPr="00EC6C97">
        <w:t xml:space="preserve"> and Part C</w:t>
      </w:r>
      <w:bookmarkEnd w:id="6"/>
      <w:bookmarkEnd w:id="7"/>
    </w:p>
    <w:p w14:paraId="71CDA711" w14:textId="3980C004" w:rsidR="007C30DD" w:rsidRPr="000737AD" w:rsidRDefault="0067275B" w:rsidP="000870A9">
      <w:r w:rsidRPr="000737AD">
        <w:t>I</w:t>
      </w:r>
      <w:r w:rsidR="007C30DD" w:rsidRPr="000737AD">
        <w:t>f</w:t>
      </w:r>
      <w:r w:rsidR="007C30DD" w:rsidRPr="000737AD">
        <w:rPr>
          <w:spacing w:val="-11"/>
        </w:rPr>
        <w:t xml:space="preserve"> </w:t>
      </w:r>
      <w:r w:rsidR="007C30DD" w:rsidRPr="000737AD">
        <w:t>MHD has information that the participant is eligible for Medicare Part A, Part B</w:t>
      </w:r>
      <w:r w:rsidR="004B7F61" w:rsidRPr="000737AD">
        <w:t>,</w:t>
      </w:r>
      <w:r w:rsidR="007C30DD" w:rsidRPr="000737AD">
        <w:t xml:space="preserve"> and/or Medicare Part C</w:t>
      </w:r>
      <w:r w:rsidRPr="000737AD">
        <w:t xml:space="preserve">, this should be indicated on the participant file in </w:t>
      </w:r>
      <w:hyperlink r:id="rId16" w:history="1">
        <w:r w:rsidRPr="00275867">
          <w:rPr>
            <w:rStyle w:val="Hyperlink"/>
          </w:rPr>
          <w:t>eMOMED</w:t>
        </w:r>
      </w:hyperlink>
      <w:r w:rsidR="007C30DD" w:rsidRPr="000737AD">
        <w:t>.</w:t>
      </w:r>
    </w:p>
    <w:p w14:paraId="798F2F95" w14:textId="128FC287" w:rsidR="007C30DD" w:rsidRPr="000870A9" w:rsidRDefault="007C30DD" w:rsidP="000870A9">
      <w:pPr>
        <w:rPr>
          <w:spacing w:val="-13"/>
        </w:rPr>
      </w:pPr>
      <w:r w:rsidRPr="000870A9">
        <w:t>The</w:t>
      </w:r>
      <w:r w:rsidRPr="000870A9">
        <w:rPr>
          <w:spacing w:val="-18"/>
        </w:rPr>
        <w:t xml:space="preserve"> </w:t>
      </w:r>
      <w:r w:rsidRPr="000870A9">
        <w:t>provider</w:t>
      </w:r>
      <w:r w:rsidRPr="000870A9">
        <w:rPr>
          <w:spacing w:val="-18"/>
        </w:rPr>
        <w:t xml:space="preserve"> </w:t>
      </w:r>
      <w:r w:rsidRPr="000870A9">
        <w:t>must</w:t>
      </w:r>
      <w:r w:rsidRPr="000870A9">
        <w:rPr>
          <w:spacing w:val="-18"/>
        </w:rPr>
        <w:t xml:space="preserve"> </w:t>
      </w:r>
      <w:r w:rsidRPr="000870A9">
        <w:t>always</w:t>
      </w:r>
      <w:r w:rsidRPr="000870A9">
        <w:rPr>
          <w:spacing w:val="-18"/>
        </w:rPr>
        <w:t xml:space="preserve"> </w:t>
      </w:r>
      <w:r w:rsidRPr="000870A9">
        <w:t>ask</w:t>
      </w:r>
      <w:r w:rsidRPr="000870A9">
        <w:rPr>
          <w:spacing w:val="-18"/>
        </w:rPr>
        <w:t xml:space="preserve"> </w:t>
      </w:r>
      <w:r w:rsidRPr="000870A9">
        <w:t>the</w:t>
      </w:r>
      <w:r w:rsidRPr="000870A9">
        <w:rPr>
          <w:spacing w:val="-18"/>
        </w:rPr>
        <w:t xml:space="preserve"> </w:t>
      </w:r>
      <w:r w:rsidRPr="000870A9">
        <w:t>participant</w:t>
      </w:r>
      <w:r w:rsidRPr="000870A9">
        <w:rPr>
          <w:spacing w:val="-18"/>
        </w:rPr>
        <w:t xml:space="preserve"> </w:t>
      </w:r>
      <w:r w:rsidRPr="000870A9">
        <w:t>if</w:t>
      </w:r>
      <w:r w:rsidRPr="000870A9">
        <w:rPr>
          <w:spacing w:val="-18"/>
        </w:rPr>
        <w:t xml:space="preserve"> </w:t>
      </w:r>
      <w:r w:rsidRPr="000870A9">
        <w:t>they</w:t>
      </w:r>
      <w:r w:rsidRPr="000870A9">
        <w:rPr>
          <w:spacing w:val="-18"/>
        </w:rPr>
        <w:t xml:space="preserve"> </w:t>
      </w:r>
      <w:r w:rsidRPr="000870A9">
        <w:t>have</w:t>
      </w:r>
      <w:r w:rsidRPr="000870A9">
        <w:rPr>
          <w:spacing w:val="-18"/>
        </w:rPr>
        <w:t xml:space="preserve"> </w:t>
      </w:r>
      <w:r w:rsidRPr="000870A9">
        <w:t>Medicare</w:t>
      </w:r>
      <w:r w:rsidRPr="000870A9">
        <w:rPr>
          <w:spacing w:val="-18"/>
        </w:rPr>
        <w:t xml:space="preserve"> </w:t>
      </w:r>
      <w:r w:rsidRPr="000870A9">
        <w:t xml:space="preserve">coverage, regardless of </w:t>
      </w:r>
      <w:r w:rsidR="004B7F61">
        <w:t xml:space="preserve">the </w:t>
      </w:r>
      <w:r w:rsidRPr="000870A9">
        <w:t xml:space="preserve">information on the participant file. It is also important to identify the </w:t>
      </w:r>
      <w:r w:rsidR="004B7F61" w:rsidRPr="000870A9">
        <w:t>participant</w:t>
      </w:r>
      <w:r w:rsidR="004B7F61">
        <w:t>'</w:t>
      </w:r>
      <w:r w:rsidR="004B7F61" w:rsidRPr="000870A9">
        <w:t>s</w:t>
      </w:r>
      <w:r w:rsidR="004B7F61" w:rsidRPr="000870A9">
        <w:rPr>
          <w:spacing w:val="-13"/>
        </w:rPr>
        <w:t xml:space="preserve"> </w:t>
      </w:r>
      <w:r w:rsidRPr="000870A9">
        <w:t>type</w:t>
      </w:r>
      <w:r w:rsidRPr="000870A9">
        <w:rPr>
          <w:spacing w:val="-12"/>
        </w:rPr>
        <w:t xml:space="preserve"> </w:t>
      </w:r>
      <w:r w:rsidRPr="000870A9">
        <w:t>of</w:t>
      </w:r>
      <w:r w:rsidRPr="000870A9">
        <w:rPr>
          <w:spacing w:val="-12"/>
        </w:rPr>
        <w:t xml:space="preserve"> </w:t>
      </w:r>
      <w:r w:rsidRPr="000870A9">
        <w:t>Medicare</w:t>
      </w:r>
      <w:r w:rsidRPr="000870A9">
        <w:rPr>
          <w:spacing w:val="-12"/>
        </w:rPr>
        <w:t xml:space="preserve"> </w:t>
      </w:r>
      <w:r w:rsidRPr="000870A9">
        <w:t>coverage.</w:t>
      </w:r>
      <w:r w:rsidRPr="000870A9">
        <w:rPr>
          <w:spacing w:val="-13"/>
        </w:rPr>
        <w:t xml:space="preserve"> </w:t>
      </w:r>
    </w:p>
    <w:p w14:paraId="05216370" w14:textId="1B533398" w:rsidR="007C30DD" w:rsidRPr="007C30DD" w:rsidRDefault="007C30DD" w:rsidP="00BC24BB">
      <w:pPr>
        <w:pStyle w:val="BulletList1"/>
      </w:pPr>
      <w:r w:rsidRPr="007C30DD">
        <w:t xml:space="preserve">Part A provides for nursing </w:t>
      </w:r>
      <w:r w:rsidR="009127A8">
        <w:t>facility</w:t>
      </w:r>
      <w:r w:rsidRPr="007C30DD">
        <w:t>, inpatient hospital</w:t>
      </w:r>
      <w:r w:rsidR="004B7F61">
        <w:t>,</w:t>
      </w:r>
      <w:r w:rsidRPr="007C30DD">
        <w:t xml:space="preserve"> and certain home health benefits</w:t>
      </w:r>
    </w:p>
    <w:p w14:paraId="6CF08059" w14:textId="61EF1566" w:rsidR="007C30DD" w:rsidRPr="007C30DD" w:rsidRDefault="007C30DD" w:rsidP="00BC24BB">
      <w:pPr>
        <w:pStyle w:val="BulletList1"/>
      </w:pPr>
      <w:r w:rsidRPr="007C30DD">
        <w:t>Part B provides for medical insurance benefits</w:t>
      </w:r>
    </w:p>
    <w:p w14:paraId="7263C7C1" w14:textId="64F73134" w:rsidR="007C30DD" w:rsidRPr="00E4396B" w:rsidRDefault="007C30DD" w:rsidP="00BC24BB">
      <w:pPr>
        <w:pStyle w:val="BulletList1"/>
      </w:pPr>
      <w:r w:rsidRPr="007C30DD">
        <w:t>Part C provides the services covered under Part A and Part B through a Medicare Advantage</w:t>
      </w:r>
      <w:r w:rsidR="00A33CD1">
        <w:t>/Part C</w:t>
      </w:r>
      <w:r w:rsidRPr="007C30DD">
        <w:t xml:space="preserve"> Plan (private companies approved by Medicare) </w:t>
      </w:r>
    </w:p>
    <w:p w14:paraId="78F32ED8" w14:textId="2C14D953" w:rsidR="007C30DD" w:rsidRPr="00782717" w:rsidRDefault="007C30DD" w:rsidP="000870A9">
      <w:r w:rsidRPr="00782717">
        <w:t>When M</w:t>
      </w:r>
      <w:r w:rsidR="0067275B" w:rsidRPr="00782717">
        <w:t>HD</w:t>
      </w:r>
      <w:r w:rsidRPr="00782717">
        <w:t xml:space="preserve"> is secondary to Medicare Part C, a crossover claim for coinsurance, deductible</w:t>
      </w:r>
      <w:r w:rsidR="004B7F61" w:rsidRPr="00782717">
        <w:t>,</w:t>
      </w:r>
      <w:r w:rsidRPr="00782717">
        <w:t xml:space="preserve"> and co</w:t>
      </w:r>
      <w:r w:rsidR="009127A8" w:rsidRPr="00782717">
        <w:t>-</w:t>
      </w:r>
      <w:r w:rsidRPr="00782717">
        <w:t xml:space="preserve">pay may be reimbursed for participants who have MO HealthNet </w:t>
      </w:r>
      <w:r w:rsidR="004F038D" w:rsidRPr="00782717">
        <w:t xml:space="preserve">and are eligible for the </w:t>
      </w:r>
      <w:r w:rsidRPr="00782717">
        <w:t>Qualified Medicare Beneficiary (QMB)</w:t>
      </w:r>
      <w:r w:rsidR="004F038D" w:rsidRPr="00782717">
        <w:t xml:space="preserve"> coverage</w:t>
      </w:r>
      <w:r w:rsidRPr="00782717">
        <w:t>. For non-QMB participants enrolled in a Medicare Advantage/Part</w:t>
      </w:r>
      <w:r w:rsidRPr="00782717">
        <w:rPr>
          <w:spacing w:val="-1"/>
        </w:rPr>
        <w:t xml:space="preserve"> </w:t>
      </w:r>
      <w:r w:rsidRPr="00782717">
        <w:t xml:space="preserve">C Plan, MO HealthNet secondary claims will </w:t>
      </w:r>
      <w:r w:rsidR="004B7F61" w:rsidRPr="00782717">
        <w:t xml:space="preserve">be processed </w:t>
      </w:r>
      <w:r w:rsidRPr="00782717">
        <w:t>in accordance with the established MHD coordination of benefits policy</w:t>
      </w:r>
      <w:r w:rsidR="0067275B" w:rsidRPr="00782717">
        <w:t xml:space="preserve"> </w:t>
      </w:r>
      <w:r w:rsidR="0067275B" w:rsidRPr="00C91885">
        <w:t>in</w:t>
      </w:r>
      <w:r w:rsidR="00415478">
        <w:t xml:space="preserve"> </w:t>
      </w:r>
      <w:hyperlink w:anchor="_1.3_Medicare_Part" w:history="1">
        <w:r w:rsidR="00415478" w:rsidRPr="00415478">
          <w:rPr>
            <w:rStyle w:val="Hyperlink"/>
            <w:color w:val="163E64"/>
          </w:rPr>
          <w:t>Section 1.3</w:t>
        </w:r>
      </w:hyperlink>
      <w:r w:rsidR="0067275B" w:rsidRPr="00C91885">
        <w:t xml:space="preserve"> of this manual</w:t>
      </w:r>
      <w:r w:rsidRPr="00782717">
        <w:t>.</w:t>
      </w:r>
      <w:r w:rsidR="004F038D" w:rsidRPr="00782717">
        <w:t xml:space="preserve"> </w:t>
      </w:r>
      <w:r w:rsidR="00974AB7" w:rsidRPr="00782717">
        <w:t xml:space="preserve">Claims for </w:t>
      </w:r>
      <w:r w:rsidR="004B7F61" w:rsidRPr="00782717">
        <w:t>Medicaid and Medicare Part C participants</w:t>
      </w:r>
      <w:r w:rsidR="00974AB7" w:rsidRPr="00782717">
        <w:t xml:space="preserve"> without QMB coverage are not filed on a </w:t>
      </w:r>
      <w:r w:rsidR="00BD3E7B" w:rsidRPr="00782717">
        <w:t>c</w:t>
      </w:r>
      <w:r w:rsidR="00974AB7" w:rsidRPr="00782717">
        <w:t xml:space="preserve">rossover </w:t>
      </w:r>
      <w:r w:rsidR="00BD3E7B" w:rsidRPr="00782717">
        <w:t>c</w:t>
      </w:r>
      <w:r w:rsidR="00974AB7" w:rsidRPr="00782717">
        <w:t xml:space="preserve">laim. MHD will consider paying up to the allowable on any MHD codes. </w:t>
      </w:r>
    </w:p>
    <w:p w14:paraId="17979DAB" w14:textId="64491FBC" w:rsidR="007A6195" w:rsidRPr="00782717" w:rsidRDefault="007A6195" w:rsidP="00E717B7">
      <w:r w:rsidRPr="00782717">
        <w:t xml:space="preserve">The following </w:t>
      </w:r>
      <w:r w:rsidR="0067275B" w:rsidRPr="00782717">
        <w:t xml:space="preserve">are </w:t>
      </w:r>
      <w:r w:rsidR="00974AB7" w:rsidRPr="00782717">
        <w:t xml:space="preserve">helpful </w:t>
      </w:r>
      <w:r w:rsidR="00795A1B">
        <w:t>steps</w:t>
      </w:r>
      <w:r w:rsidR="00974AB7" w:rsidRPr="00782717">
        <w:t xml:space="preserve"> for completing a Medicare </w:t>
      </w:r>
      <w:r w:rsidR="0067275B" w:rsidRPr="00782717">
        <w:t>c</w:t>
      </w:r>
      <w:r w:rsidR="00974AB7" w:rsidRPr="00782717">
        <w:t xml:space="preserve">rossover </w:t>
      </w:r>
      <w:r w:rsidR="0067275B" w:rsidRPr="00782717">
        <w:t>c</w:t>
      </w:r>
      <w:r w:rsidR="00974AB7" w:rsidRPr="00782717">
        <w:t xml:space="preserve">laim </w:t>
      </w:r>
      <w:r w:rsidR="0067275B" w:rsidRPr="00782717">
        <w:t>i</w:t>
      </w:r>
      <w:r w:rsidR="00974AB7" w:rsidRPr="00782717">
        <w:t xml:space="preserve">n </w:t>
      </w:r>
      <w:hyperlink r:id="rId17" w:history="1">
        <w:r w:rsidR="00814E40" w:rsidRPr="00782717">
          <w:rPr>
            <w:rStyle w:val="Hyperlink"/>
            <w:color w:val="163E64"/>
          </w:rPr>
          <w:t>eMOMED</w:t>
        </w:r>
      </w:hyperlink>
      <w:r w:rsidRPr="00782717">
        <w:t>:</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
        <w:gridCol w:w="9090"/>
      </w:tblGrid>
      <w:tr w:rsidR="0067275B" w:rsidRPr="0067275B" w14:paraId="00185586" w14:textId="77777777" w:rsidTr="00BC24BB">
        <w:trPr>
          <w:cantSplit/>
          <w:trHeight w:val="576"/>
          <w:tblHeader/>
        </w:trPr>
        <w:tc>
          <w:tcPr>
            <w:tcW w:w="990" w:type="dxa"/>
            <w:shd w:val="clear" w:color="auto" w:fill="04427D"/>
          </w:tcPr>
          <w:p w14:paraId="62F812E2" w14:textId="3C346584" w:rsidR="0067275B" w:rsidRPr="00275867" w:rsidRDefault="0067275B" w:rsidP="0067275B">
            <w:pPr>
              <w:jc w:val="center"/>
              <w:rPr>
                <w:b/>
                <w:bCs/>
                <w:color w:val="FFFFFF"/>
                <w:sz w:val="26"/>
                <w:szCs w:val="26"/>
              </w:rPr>
            </w:pPr>
            <w:r w:rsidRPr="00275867">
              <w:rPr>
                <w:b/>
                <w:bCs/>
                <w:color w:val="FFFFFF"/>
                <w:sz w:val="26"/>
                <w:szCs w:val="26"/>
              </w:rPr>
              <w:t>Step</w:t>
            </w:r>
          </w:p>
        </w:tc>
        <w:tc>
          <w:tcPr>
            <w:tcW w:w="9090" w:type="dxa"/>
            <w:shd w:val="clear" w:color="auto" w:fill="04427D"/>
            <w:noWrap/>
          </w:tcPr>
          <w:p w14:paraId="61F9587E" w14:textId="02D85705" w:rsidR="0067275B" w:rsidRPr="00275867" w:rsidRDefault="0067275B" w:rsidP="0067275B">
            <w:pPr>
              <w:jc w:val="center"/>
              <w:rPr>
                <w:b/>
                <w:bCs/>
                <w:color w:val="FFFFFF"/>
                <w:sz w:val="26"/>
                <w:szCs w:val="26"/>
              </w:rPr>
            </w:pPr>
            <w:r w:rsidRPr="00275867">
              <w:rPr>
                <w:b/>
                <w:bCs/>
                <w:color w:val="FFFFFF"/>
                <w:sz w:val="26"/>
                <w:szCs w:val="26"/>
              </w:rPr>
              <w:t>Helpful Tip</w:t>
            </w:r>
          </w:p>
        </w:tc>
      </w:tr>
      <w:tr w:rsidR="0067275B" w:rsidRPr="0067275B" w14:paraId="1BD1D12D" w14:textId="77777777" w:rsidTr="00BC24BB">
        <w:trPr>
          <w:cantSplit/>
          <w:trHeight w:val="576"/>
        </w:trPr>
        <w:tc>
          <w:tcPr>
            <w:tcW w:w="990" w:type="dxa"/>
            <w:shd w:val="clear" w:color="F8CBAD" w:fill="F8CBAD"/>
            <w:vAlign w:val="center"/>
          </w:tcPr>
          <w:p w14:paraId="4095A7F6" w14:textId="66E10AD3" w:rsidR="0067275B" w:rsidRPr="0067275B" w:rsidRDefault="0067275B" w:rsidP="0067275B">
            <w:pPr>
              <w:jc w:val="center"/>
              <w:rPr>
                <w:color w:val="000000"/>
              </w:rPr>
            </w:pPr>
            <w:r>
              <w:rPr>
                <w:color w:val="000000"/>
              </w:rPr>
              <w:t>1</w:t>
            </w:r>
          </w:p>
        </w:tc>
        <w:tc>
          <w:tcPr>
            <w:tcW w:w="9090" w:type="dxa"/>
            <w:shd w:val="clear" w:color="F8CBAD" w:fill="F8CBAD"/>
            <w:noWrap/>
          </w:tcPr>
          <w:p w14:paraId="48594E45" w14:textId="39C8E9A0" w:rsidR="0067275B" w:rsidRPr="00E717B7" w:rsidRDefault="0067275B" w:rsidP="0067275B">
            <w:pPr>
              <w:pStyle w:val="NoSpacing"/>
              <w:spacing w:before="160" w:line="320" w:lineRule="atLeast"/>
              <w:ind w:right="979"/>
            </w:pPr>
            <w:r w:rsidRPr="00E717B7">
              <w:t xml:space="preserve">Choose the claim form that corresponds with the claim form used to bill Medicare. </w:t>
            </w:r>
          </w:p>
        </w:tc>
      </w:tr>
      <w:tr w:rsidR="0067275B" w:rsidRPr="0067275B" w14:paraId="78FEEF16" w14:textId="77777777" w:rsidTr="00BC24BB">
        <w:trPr>
          <w:cantSplit/>
          <w:trHeight w:val="576"/>
        </w:trPr>
        <w:tc>
          <w:tcPr>
            <w:tcW w:w="990" w:type="dxa"/>
            <w:shd w:val="clear" w:color="FCE4D6" w:fill="FCE4D6"/>
            <w:vAlign w:val="center"/>
          </w:tcPr>
          <w:p w14:paraId="5B5268A3" w14:textId="4DA148BB" w:rsidR="0067275B" w:rsidRPr="0067275B" w:rsidRDefault="0067275B" w:rsidP="0067275B">
            <w:pPr>
              <w:jc w:val="center"/>
              <w:rPr>
                <w:color w:val="000000"/>
              </w:rPr>
            </w:pPr>
            <w:r>
              <w:rPr>
                <w:color w:val="000000"/>
              </w:rPr>
              <w:t>2</w:t>
            </w:r>
          </w:p>
        </w:tc>
        <w:tc>
          <w:tcPr>
            <w:tcW w:w="9090" w:type="dxa"/>
            <w:shd w:val="clear" w:color="FCE4D6" w:fill="FCE4D6"/>
          </w:tcPr>
          <w:p w14:paraId="03852563" w14:textId="7413684D" w:rsidR="0067275B" w:rsidRPr="0067275B" w:rsidRDefault="0067275B" w:rsidP="0067275B">
            <w:pPr>
              <w:pStyle w:val="NoSpacing"/>
              <w:spacing w:before="160" w:line="320" w:lineRule="atLeast"/>
              <w:ind w:right="979"/>
            </w:pPr>
            <w:r>
              <w:t xml:space="preserve">The </w:t>
            </w:r>
            <w:r w:rsidRPr="003069E4">
              <w:t xml:space="preserve">HELP screens provide instructions on completing the crossover claim forms, the </w:t>
            </w:r>
            <w:r w:rsidR="004A1C05">
              <w:t>‘</w:t>
            </w:r>
            <w:r w:rsidRPr="003069E4">
              <w:t>Other Payer</w:t>
            </w:r>
            <w:r w:rsidR="004A1C05">
              <w:t>’</w:t>
            </w:r>
            <w:r w:rsidRPr="003069E4">
              <w:t xml:space="preserve"> header</w:t>
            </w:r>
            <w:r>
              <w:t>,</w:t>
            </w:r>
            <w:r w:rsidRPr="003069E4">
              <w:t xml:space="preserve"> and the </w:t>
            </w:r>
            <w:r w:rsidR="004A1C05">
              <w:t>‘</w:t>
            </w:r>
            <w:r w:rsidRPr="003069E4">
              <w:t>Other Payer</w:t>
            </w:r>
            <w:r w:rsidR="004A1C05">
              <w:t>’</w:t>
            </w:r>
            <w:r w:rsidRPr="003069E4">
              <w:t xml:space="preserve"> detail screens. The HELP screens are identified by a </w:t>
            </w:r>
            <w:r w:rsidR="004A1C05">
              <w:t>‘</w:t>
            </w:r>
            <w:r w:rsidRPr="003069E4">
              <w:t>?</w:t>
            </w:r>
            <w:r w:rsidR="004A1C05">
              <w:t>’</w:t>
            </w:r>
            <w:r w:rsidRPr="003069E4">
              <w:t xml:space="preserve"> in the upper right-hand corner.</w:t>
            </w:r>
          </w:p>
        </w:tc>
      </w:tr>
      <w:tr w:rsidR="0067275B" w:rsidRPr="0067275B" w14:paraId="2F965D69" w14:textId="77777777" w:rsidTr="00BC24BB">
        <w:trPr>
          <w:cantSplit/>
          <w:trHeight w:val="576"/>
        </w:trPr>
        <w:tc>
          <w:tcPr>
            <w:tcW w:w="990" w:type="dxa"/>
            <w:shd w:val="clear" w:color="F8CBAD" w:fill="F8CBAD"/>
            <w:noWrap/>
            <w:vAlign w:val="center"/>
          </w:tcPr>
          <w:p w14:paraId="67270F15" w14:textId="4B7CF8DD" w:rsidR="0067275B" w:rsidRPr="0067275B" w:rsidRDefault="0067275B" w:rsidP="0067275B">
            <w:pPr>
              <w:jc w:val="center"/>
              <w:rPr>
                <w:color w:val="000000"/>
              </w:rPr>
            </w:pPr>
            <w:r>
              <w:rPr>
                <w:color w:val="000000"/>
              </w:rPr>
              <w:t>3</w:t>
            </w:r>
          </w:p>
        </w:tc>
        <w:tc>
          <w:tcPr>
            <w:tcW w:w="9090" w:type="dxa"/>
            <w:shd w:val="clear" w:color="F8CBAD" w:fill="F8CBAD"/>
            <w:noWrap/>
          </w:tcPr>
          <w:p w14:paraId="607A8EA4" w14:textId="23DAD86A" w:rsidR="0067275B" w:rsidRPr="0067275B" w:rsidRDefault="0067275B" w:rsidP="0067275B">
            <w:pPr>
              <w:pStyle w:val="NoSpacing"/>
              <w:spacing w:before="160" w:line="320" w:lineRule="atLeast"/>
              <w:ind w:right="979"/>
            </w:pPr>
            <w:r w:rsidRPr="003069E4">
              <w:t xml:space="preserve">The </w:t>
            </w:r>
            <w:r w:rsidR="004A1C05">
              <w:t>‘</w:t>
            </w:r>
            <w:r w:rsidRPr="003069E4">
              <w:t>Other Payer</w:t>
            </w:r>
            <w:r w:rsidR="004A1C05">
              <w:t>’</w:t>
            </w:r>
            <w:r w:rsidRPr="003069E4">
              <w:t xml:space="preserve"> portion of the claim should be completed for every crossover claim type. This provides information that pertains to the whole claim.</w:t>
            </w:r>
          </w:p>
        </w:tc>
      </w:tr>
      <w:tr w:rsidR="0067275B" w:rsidRPr="0067275B" w14:paraId="7C2EE05C" w14:textId="77777777" w:rsidTr="00BC24BB">
        <w:trPr>
          <w:cantSplit/>
          <w:trHeight w:val="576"/>
        </w:trPr>
        <w:tc>
          <w:tcPr>
            <w:tcW w:w="990" w:type="dxa"/>
            <w:shd w:val="clear" w:color="FCE4D6" w:fill="FCE4D6"/>
            <w:vAlign w:val="center"/>
          </w:tcPr>
          <w:p w14:paraId="368A52EC" w14:textId="173B8B3D" w:rsidR="0067275B" w:rsidRPr="0067275B" w:rsidRDefault="0067275B" w:rsidP="0067275B">
            <w:pPr>
              <w:jc w:val="center"/>
              <w:rPr>
                <w:color w:val="000000"/>
              </w:rPr>
            </w:pPr>
            <w:r>
              <w:rPr>
                <w:color w:val="000000"/>
              </w:rPr>
              <w:t>4</w:t>
            </w:r>
          </w:p>
        </w:tc>
        <w:tc>
          <w:tcPr>
            <w:tcW w:w="9090" w:type="dxa"/>
            <w:shd w:val="clear" w:color="FCE4D6" w:fill="FCE4D6"/>
            <w:noWrap/>
          </w:tcPr>
          <w:p w14:paraId="739BF00A" w14:textId="7CA8A9A6" w:rsidR="0067275B" w:rsidRPr="0067275B" w:rsidRDefault="0067275B" w:rsidP="0067275B">
            <w:pPr>
              <w:pStyle w:val="NoSpacing"/>
              <w:spacing w:before="160" w:line="320" w:lineRule="atLeast"/>
              <w:ind w:right="979"/>
            </w:pPr>
            <w:r w:rsidRPr="003069E4">
              <w:t xml:space="preserve">Select </w:t>
            </w:r>
            <w:r w:rsidR="004A1C05">
              <w:t>‘</w:t>
            </w:r>
            <w:r w:rsidRPr="003069E4">
              <w:t>pay at header level</w:t>
            </w:r>
            <w:r w:rsidR="004A1C05">
              <w:t>’</w:t>
            </w:r>
            <w:r w:rsidRPr="003069E4">
              <w:t xml:space="preserve"> when filing Part A crossover claims. The </w:t>
            </w:r>
            <w:r w:rsidR="004A1C05">
              <w:t>‘</w:t>
            </w:r>
            <w:r w:rsidRPr="003069E4">
              <w:t>Other Payer</w:t>
            </w:r>
            <w:r w:rsidR="004A1C05">
              <w:t>’</w:t>
            </w:r>
            <w:r w:rsidRPr="003069E4">
              <w:t xml:space="preserve"> line detail is not required for this claim type.</w:t>
            </w:r>
          </w:p>
        </w:tc>
      </w:tr>
      <w:tr w:rsidR="0067275B" w:rsidRPr="0067275B" w14:paraId="0C771DB2" w14:textId="77777777" w:rsidTr="00BC24BB">
        <w:trPr>
          <w:cantSplit/>
          <w:trHeight w:val="576"/>
        </w:trPr>
        <w:tc>
          <w:tcPr>
            <w:tcW w:w="990" w:type="dxa"/>
            <w:shd w:val="clear" w:color="F8CBAD" w:fill="F8CBAD"/>
            <w:vAlign w:val="center"/>
          </w:tcPr>
          <w:p w14:paraId="2D6235FD" w14:textId="5CF97AE3" w:rsidR="0067275B" w:rsidRPr="0067275B" w:rsidRDefault="0067275B" w:rsidP="0067275B">
            <w:pPr>
              <w:jc w:val="center"/>
              <w:rPr>
                <w:color w:val="000000"/>
              </w:rPr>
            </w:pPr>
            <w:r>
              <w:rPr>
                <w:color w:val="000000"/>
              </w:rPr>
              <w:t>5</w:t>
            </w:r>
          </w:p>
        </w:tc>
        <w:tc>
          <w:tcPr>
            <w:tcW w:w="9090" w:type="dxa"/>
            <w:shd w:val="clear" w:color="F8CBAD" w:fill="F8CBAD"/>
          </w:tcPr>
          <w:p w14:paraId="2BBDFB76" w14:textId="4B4C2C94" w:rsidR="0067275B" w:rsidRPr="0067275B" w:rsidRDefault="0067275B" w:rsidP="0067275B">
            <w:pPr>
              <w:pStyle w:val="NoSpacing"/>
              <w:spacing w:before="160" w:line="320" w:lineRule="atLeast"/>
              <w:ind w:right="979"/>
            </w:pPr>
            <w:r w:rsidRPr="003069E4">
              <w:t xml:space="preserve">Part B and Part B of A crossover claims need the </w:t>
            </w:r>
            <w:r w:rsidR="004A1C05">
              <w:t>‘</w:t>
            </w:r>
            <w:r w:rsidRPr="003069E4">
              <w:t>Other Payer</w:t>
            </w:r>
            <w:r w:rsidR="004A1C05">
              <w:t>’</w:t>
            </w:r>
            <w:r w:rsidRPr="003069E4">
              <w:t xml:space="preserve"> header section of the claim completed. The </w:t>
            </w:r>
            <w:r w:rsidR="004A1C05">
              <w:t>‘</w:t>
            </w:r>
            <w:r w:rsidRPr="003069E4">
              <w:t>Other Payer</w:t>
            </w:r>
            <w:r w:rsidR="004A1C05">
              <w:t>’</w:t>
            </w:r>
            <w:r w:rsidRPr="003069E4">
              <w:t xml:space="preserve"> detail is required for each claim line</w:t>
            </w:r>
            <w:r>
              <w:t>, along with the group code, reason code,</w:t>
            </w:r>
            <w:r w:rsidRPr="003069E4">
              <w:t xml:space="preserve"> and adjustment amount information.</w:t>
            </w:r>
            <w:r>
              <w:t xml:space="preserve"> Each claim line must be reported as shown on the Medicare Explanation of Benefits (EOB). Combining claim lines is not allowed.</w:t>
            </w:r>
            <w:r w:rsidRPr="003069E4">
              <w:t xml:space="preserve"> </w:t>
            </w:r>
          </w:p>
        </w:tc>
      </w:tr>
      <w:tr w:rsidR="0067275B" w:rsidRPr="0067275B" w14:paraId="099CA3BC" w14:textId="77777777" w:rsidTr="00BC24BB">
        <w:trPr>
          <w:cantSplit/>
          <w:trHeight w:val="576"/>
        </w:trPr>
        <w:tc>
          <w:tcPr>
            <w:tcW w:w="990" w:type="dxa"/>
            <w:shd w:val="clear" w:color="FCE4D6" w:fill="FCE4D6"/>
            <w:vAlign w:val="center"/>
          </w:tcPr>
          <w:p w14:paraId="50BAF26E" w14:textId="7107473B" w:rsidR="0067275B" w:rsidRPr="0067275B" w:rsidRDefault="0067275B" w:rsidP="0067275B">
            <w:pPr>
              <w:jc w:val="center"/>
              <w:rPr>
                <w:color w:val="000000"/>
              </w:rPr>
            </w:pPr>
            <w:r>
              <w:rPr>
                <w:color w:val="000000"/>
              </w:rPr>
              <w:t>6</w:t>
            </w:r>
          </w:p>
        </w:tc>
        <w:tc>
          <w:tcPr>
            <w:tcW w:w="9090" w:type="dxa"/>
            <w:shd w:val="clear" w:color="FCE4D6" w:fill="FCE4D6"/>
            <w:noWrap/>
          </w:tcPr>
          <w:p w14:paraId="2EF34BB7" w14:textId="5A7F93FA" w:rsidR="0067275B" w:rsidRPr="0067275B" w:rsidRDefault="0067275B" w:rsidP="0067275B">
            <w:pPr>
              <w:pStyle w:val="NoSpacing"/>
              <w:spacing w:before="160" w:line="320" w:lineRule="atLeast"/>
              <w:ind w:right="979"/>
            </w:pPr>
            <w:r w:rsidRPr="003069E4">
              <w:t xml:space="preserve">Once the </w:t>
            </w:r>
            <w:r w:rsidR="004A1C05">
              <w:t>‘</w:t>
            </w:r>
            <w:r w:rsidRPr="003069E4">
              <w:t>Other Payer</w:t>
            </w:r>
            <w:r w:rsidR="004A1C05">
              <w:t>’</w:t>
            </w:r>
            <w:r w:rsidRPr="003069E4">
              <w:t xml:space="preserve"> header information is saved, a check box </w:t>
            </w:r>
            <w:r>
              <w:t>for each detail line reported on the claim will be present</w:t>
            </w:r>
            <w:r w:rsidRPr="003069E4">
              <w:t>. Only check the box that pertains to the adjustment being reported. Don</w:t>
            </w:r>
            <w:r>
              <w:t>'</w:t>
            </w:r>
            <w:r w:rsidRPr="003069E4">
              <w:t>t check all boxes unless all lines will have the same adjustments.</w:t>
            </w:r>
          </w:p>
        </w:tc>
      </w:tr>
      <w:tr w:rsidR="0067275B" w:rsidRPr="0067275B" w14:paraId="499454E5" w14:textId="77777777" w:rsidTr="00BC24BB">
        <w:trPr>
          <w:cantSplit/>
          <w:trHeight w:val="576"/>
        </w:trPr>
        <w:tc>
          <w:tcPr>
            <w:tcW w:w="990" w:type="dxa"/>
            <w:shd w:val="clear" w:color="F8CBAD" w:fill="F8CBAD"/>
            <w:vAlign w:val="center"/>
          </w:tcPr>
          <w:p w14:paraId="59421FEA" w14:textId="3B3E41BF" w:rsidR="0067275B" w:rsidRPr="0067275B" w:rsidRDefault="0067275B" w:rsidP="0067275B">
            <w:pPr>
              <w:jc w:val="center"/>
              <w:rPr>
                <w:color w:val="000000"/>
              </w:rPr>
            </w:pPr>
            <w:r>
              <w:rPr>
                <w:color w:val="000000"/>
              </w:rPr>
              <w:t>7</w:t>
            </w:r>
          </w:p>
        </w:tc>
        <w:tc>
          <w:tcPr>
            <w:tcW w:w="9090" w:type="dxa"/>
            <w:shd w:val="clear" w:color="F8CBAD" w:fill="F8CBAD"/>
          </w:tcPr>
          <w:p w14:paraId="58CF2BD3" w14:textId="254070A6" w:rsidR="0067275B" w:rsidRPr="00E717B7" w:rsidRDefault="0067275B" w:rsidP="0067275B">
            <w:pPr>
              <w:pStyle w:val="NoSpacing"/>
              <w:spacing w:before="160" w:line="320" w:lineRule="atLeast"/>
              <w:ind w:right="979"/>
            </w:pPr>
            <w:r w:rsidRPr="00E717B7">
              <w:t xml:space="preserve">The Medicare EOB will provide the Claim Group Code, Claim Adjustment Reason Code, and the Adjustment amount associated with each line. Additional information about the Health Insurance Portability and Accountability Act (HIPAA) mandated </w:t>
            </w:r>
            <w:r w:rsidR="004A1C05">
              <w:t>‘</w:t>
            </w:r>
            <w:r w:rsidRPr="00E717B7">
              <w:t>Claim Group Codes</w:t>
            </w:r>
            <w:r w:rsidR="004A1C05">
              <w:t>’</w:t>
            </w:r>
            <w:r w:rsidRPr="00E717B7">
              <w:t xml:space="preserve"> and </w:t>
            </w:r>
            <w:r w:rsidR="004A1C05">
              <w:t>‘</w:t>
            </w:r>
            <w:r w:rsidRPr="00E717B7">
              <w:t>Claim Adjustment Reason Codes</w:t>
            </w:r>
            <w:r w:rsidR="004A1C05">
              <w:t>’</w:t>
            </w:r>
            <w:r w:rsidRPr="00E717B7">
              <w:t xml:space="preserve"> can be found on the </w:t>
            </w:r>
            <w:hyperlink r:id="rId18" w:history="1">
              <w:r w:rsidRPr="004A1C05">
                <w:rPr>
                  <w:rStyle w:val="Hyperlink"/>
                </w:rPr>
                <w:t>Washington Publishing Company's website</w:t>
              </w:r>
            </w:hyperlink>
            <w:r w:rsidRPr="00E717B7">
              <w:t xml:space="preserve">. </w:t>
            </w:r>
          </w:p>
        </w:tc>
      </w:tr>
      <w:tr w:rsidR="0067275B" w:rsidRPr="0067275B" w14:paraId="15D61A91" w14:textId="77777777" w:rsidTr="00BC24BB">
        <w:trPr>
          <w:cantSplit/>
          <w:trHeight w:val="576"/>
        </w:trPr>
        <w:tc>
          <w:tcPr>
            <w:tcW w:w="990" w:type="dxa"/>
            <w:shd w:val="clear" w:color="FCE4D6" w:fill="FCE4D6"/>
            <w:vAlign w:val="center"/>
          </w:tcPr>
          <w:p w14:paraId="5A89B46D" w14:textId="71677F4C" w:rsidR="0067275B" w:rsidRPr="0067275B" w:rsidRDefault="0067275B" w:rsidP="0067275B">
            <w:pPr>
              <w:jc w:val="center"/>
              <w:rPr>
                <w:color w:val="000000"/>
              </w:rPr>
            </w:pPr>
            <w:r>
              <w:rPr>
                <w:color w:val="000000"/>
              </w:rPr>
              <w:t>8</w:t>
            </w:r>
          </w:p>
        </w:tc>
        <w:tc>
          <w:tcPr>
            <w:tcW w:w="9090" w:type="dxa"/>
            <w:shd w:val="clear" w:color="FCE4D6" w:fill="FCE4D6"/>
          </w:tcPr>
          <w:p w14:paraId="6FDB8E44" w14:textId="2B8B6C73" w:rsidR="0067275B" w:rsidRPr="00E717B7" w:rsidRDefault="0067275B" w:rsidP="0067275B">
            <w:pPr>
              <w:pStyle w:val="NoSpacing"/>
              <w:spacing w:before="160" w:line="320" w:lineRule="atLeast"/>
              <w:ind w:right="979"/>
            </w:pPr>
            <w:r w:rsidRPr="00E717B7">
              <w:t xml:space="preserve">Providers should always report the </w:t>
            </w:r>
            <w:r w:rsidR="004A1C05">
              <w:t>‘</w:t>
            </w:r>
            <w:r w:rsidRPr="00E717B7">
              <w:t>Claim Group Code</w:t>
            </w:r>
            <w:r w:rsidR="004A1C05">
              <w:t>’</w:t>
            </w:r>
            <w:r w:rsidRPr="00E717B7">
              <w:t xml:space="preserve"> and </w:t>
            </w:r>
            <w:r w:rsidR="004A1C05">
              <w:t>‘</w:t>
            </w:r>
            <w:r w:rsidRPr="00E717B7">
              <w:t>Claim Adjustment Reason Code</w:t>
            </w:r>
            <w:r w:rsidR="004A1C05">
              <w:t>’</w:t>
            </w:r>
            <w:r w:rsidRPr="00E717B7">
              <w:t xml:space="preserve"> provided on the EOB. Select the most appropriate code listed on the </w:t>
            </w:r>
            <w:hyperlink r:id="rId19" w:history="1">
              <w:r w:rsidRPr="004A1C05">
                <w:rPr>
                  <w:rStyle w:val="Hyperlink"/>
                </w:rPr>
                <w:t>Washington Publishing Company's website</w:t>
              </w:r>
            </w:hyperlink>
            <w:r w:rsidRPr="00E717B7">
              <w:rPr>
                <w:rStyle w:val="Hyperlink"/>
                <w:color w:val="auto"/>
                <w:u w:val="none"/>
              </w:rPr>
              <w:t xml:space="preserve"> </w:t>
            </w:r>
            <w:r w:rsidRPr="00E717B7">
              <w:t xml:space="preserve">if the one listed is unclear. Reach out to the </w:t>
            </w:r>
            <w:r w:rsidR="004A1C05">
              <w:t>‘</w:t>
            </w:r>
            <w:r w:rsidRPr="00E717B7">
              <w:t>Other Payer</w:t>
            </w:r>
            <w:r w:rsidR="004A1C05">
              <w:t>’</w:t>
            </w:r>
            <w:r w:rsidRPr="00E717B7">
              <w:t xml:space="preserve"> if you cannot find an appropriate corresponding code.</w:t>
            </w:r>
          </w:p>
        </w:tc>
      </w:tr>
      <w:tr w:rsidR="0067275B" w:rsidRPr="0067275B" w14:paraId="15123F0F" w14:textId="77777777" w:rsidTr="00BC24BB">
        <w:trPr>
          <w:cantSplit/>
          <w:trHeight w:val="576"/>
        </w:trPr>
        <w:tc>
          <w:tcPr>
            <w:tcW w:w="990" w:type="dxa"/>
            <w:shd w:val="clear" w:color="F8CBAD" w:fill="F8CBAD"/>
            <w:vAlign w:val="center"/>
          </w:tcPr>
          <w:p w14:paraId="51C5FB6D" w14:textId="70C7E8C0" w:rsidR="0067275B" w:rsidRPr="0067275B" w:rsidRDefault="0067275B" w:rsidP="0067275B">
            <w:pPr>
              <w:jc w:val="center"/>
              <w:rPr>
                <w:color w:val="000000"/>
              </w:rPr>
            </w:pPr>
            <w:r>
              <w:rPr>
                <w:color w:val="000000"/>
              </w:rPr>
              <w:t>9</w:t>
            </w:r>
          </w:p>
        </w:tc>
        <w:tc>
          <w:tcPr>
            <w:tcW w:w="9090" w:type="dxa"/>
            <w:shd w:val="clear" w:color="F8CBAD" w:fill="F8CBAD"/>
            <w:noWrap/>
          </w:tcPr>
          <w:p w14:paraId="415210F0" w14:textId="2E4193D1" w:rsidR="0067275B" w:rsidRDefault="0067275B" w:rsidP="0067275B">
            <w:pPr>
              <w:pStyle w:val="NoSpacing"/>
              <w:spacing w:before="160" w:line="320" w:lineRule="atLeast"/>
              <w:ind w:right="979"/>
            </w:pPr>
            <w:r w:rsidRPr="003069E4">
              <w:t xml:space="preserve">Select the appropriate </w:t>
            </w:r>
            <w:r w:rsidR="004A1C05">
              <w:t>‘</w:t>
            </w:r>
            <w:r w:rsidRPr="003069E4">
              <w:t>Claim Group Code</w:t>
            </w:r>
            <w:r w:rsidR="004A1C05">
              <w:t>’</w:t>
            </w:r>
            <w:r w:rsidRPr="003069E4">
              <w:t xml:space="preserve"> from the drop-down box under the </w:t>
            </w:r>
            <w:r w:rsidR="004A1C05">
              <w:t>‘</w:t>
            </w:r>
            <w:r w:rsidRPr="003069E4">
              <w:t>Add/Edit Other Payer Detail Information.</w:t>
            </w:r>
            <w:r w:rsidR="004A1C05">
              <w:t>’</w:t>
            </w:r>
            <w:r w:rsidRPr="003069E4">
              <w:t xml:space="preserve"> </w:t>
            </w:r>
          </w:p>
          <w:p w14:paraId="1B5F7037" w14:textId="77777777" w:rsidR="004A1C05" w:rsidRDefault="0067275B" w:rsidP="0067275B">
            <w:pPr>
              <w:pStyle w:val="NoSpacing"/>
              <w:spacing w:before="160" w:line="320" w:lineRule="atLeast"/>
              <w:ind w:right="979"/>
            </w:pPr>
            <w:r w:rsidRPr="003069E4">
              <w:t xml:space="preserve">For example, you may see the following on the Medicare EOB: </w:t>
            </w:r>
          </w:p>
          <w:p w14:paraId="75032427" w14:textId="77777777" w:rsidR="004A1C05" w:rsidRDefault="0067275B" w:rsidP="00D2273B">
            <w:pPr>
              <w:pStyle w:val="NoSpacing"/>
              <w:numPr>
                <w:ilvl w:val="0"/>
                <w:numId w:val="22"/>
              </w:numPr>
              <w:spacing w:before="160" w:line="320" w:lineRule="atLeast"/>
              <w:ind w:right="979"/>
            </w:pPr>
            <w:r w:rsidRPr="003069E4">
              <w:t>CO- Contractual Obligation</w:t>
            </w:r>
          </w:p>
          <w:p w14:paraId="57EC8914" w14:textId="24D08175" w:rsidR="004A1C05" w:rsidRDefault="0067275B" w:rsidP="00D2273B">
            <w:pPr>
              <w:pStyle w:val="NoSpacing"/>
              <w:numPr>
                <w:ilvl w:val="0"/>
                <w:numId w:val="22"/>
              </w:numPr>
              <w:spacing w:before="160" w:line="320" w:lineRule="atLeast"/>
              <w:ind w:right="979"/>
            </w:pPr>
            <w:r w:rsidRPr="003069E4">
              <w:t>PR – Patient Responsibility</w:t>
            </w:r>
          </w:p>
          <w:p w14:paraId="334B5AC4" w14:textId="0CA4F006" w:rsidR="0067275B" w:rsidRPr="0067275B" w:rsidRDefault="0067275B" w:rsidP="00D2273B">
            <w:pPr>
              <w:pStyle w:val="NoSpacing"/>
              <w:numPr>
                <w:ilvl w:val="0"/>
                <w:numId w:val="22"/>
              </w:numPr>
              <w:spacing w:before="160" w:line="320" w:lineRule="atLeast"/>
              <w:ind w:right="979"/>
            </w:pPr>
            <w:r w:rsidRPr="003069E4">
              <w:t>OA – Other Adjustment</w:t>
            </w:r>
          </w:p>
        </w:tc>
      </w:tr>
      <w:tr w:rsidR="0067275B" w:rsidRPr="0067275B" w14:paraId="410BE839" w14:textId="77777777" w:rsidTr="00BC24BB">
        <w:trPr>
          <w:cantSplit/>
          <w:trHeight w:val="576"/>
        </w:trPr>
        <w:tc>
          <w:tcPr>
            <w:tcW w:w="990" w:type="dxa"/>
            <w:shd w:val="clear" w:color="auto" w:fill="FDE9D9" w:themeFill="accent6" w:themeFillTint="33"/>
            <w:vAlign w:val="center"/>
          </w:tcPr>
          <w:p w14:paraId="096942B6" w14:textId="286CC580" w:rsidR="0067275B" w:rsidRDefault="0067275B" w:rsidP="0067275B">
            <w:pPr>
              <w:jc w:val="center"/>
              <w:rPr>
                <w:color w:val="000000"/>
              </w:rPr>
            </w:pPr>
            <w:r>
              <w:rPr>
                <w:color w:val="000000"/>
              </w:rPr>
              <w:t>10</w:t>
            </w:r>
          </w:p>
        </w:tc>
        <w:tc>
          <w:tcPr>
            <w:tcW w:w="9090" w:type="dxa"/>
            <w:shd w:val="clear" w:color="auto" w:fill="FDE9D9" w:themeFill="accent6" w:themeFillTint="33"/>
            <w:noWrap/>
          </w:tcPr>
          <w:p w14:paraId="67D1D81E" w14:textId="2223DA1D" w:rsidR="0067275B" w:rsidRDefault="0067275B" w:rsidP="0067275B">
            <w:pPr>
              <w:pStyle w:val="NoSpacing"/>
              <w:spacing w:before="160" w:line="320" w:lineRule="atLeast"/>
              <w:ind w:right="979"/>
            </w:pPr>
            <w:r w:rsidRPr="003069E4">
              <w:t xml:space="preserve">Select the appropriate </w:t>
            </w:r>
            <w:r w:rsidR="004A1C05">
              <w:t>‘</w:t>
            </w:r>
            <w:r w:rsidRPr="003069E4">
              <w:t>Claim Group Code</w:t>
            </w:r>
            <w:r w:rsidR="004A1C05">
              <w:t>’</w:t>
            </w:r>
            <w:r w:rsidRPr="003069E4">
              <w:t xml:space="preserve"> from the drop-down box under the </w:t>
            </w:r>
            <w:r w:rsidR="004A1C05">
              <w:t>‘</w:t>
            </w:r>
            <w:r w:rsidRPr="003069E4">
              <w:t>Add/Edit Other Payer Detail Information.</w:t>
            </w:r>
            <w:r w:rsidR="004A1C05">
              <w:t>’</w:t>
            </w:r>
            <w:r w:rsidRPr="003069E4">
              <w:t xml:space="preserve"> </w:t>
            </w:r>
          </w:p>
          <w:p w14:paraId="11A7C81B" w14:textId="77777777" w:rsidR="004A1C05" w:rsidRDefault="0067275B" w:rsidP="0067275B">
            <w:pPr>
              <w:pStyle w:val="NoSpacing"/>
              <w:spacing w:before="160" w:line="320" w:lineRule="atLeast"/>
              <w:ind w:right="979"/>
            </w:pPr>
            <w:r w:rsidRPr="003069E4">
              <w:t xml:space="preserve">For example, you may see the following on the Medicare EOB: </w:t>
            </w:r>
          </w:p>
          <w:p w14:paraId="0BDBF4EB" w14:textId="77777777" w:rsidR="004A1C05" w:rsidRDefault="0067275B" w:rsidP="00D2273B">
            <w:pPr>
              <w:pStyle w:val="NoSpacing"/>
              <w:numPr>
                <w:ilvl w:val="0"/>
                <w:numId w:val="23"/>
              </w:numPr>
              <w:spacing w:before="160" w:line="320" w:lineRule="atLeast"/>
              <w:ind w:right="979"/>
            </w:pPr>
            <w:r w:rsidRPr="003069E4">
              <w:t>CO- Contractual Obligation</w:t>
            </w:r>
          </w:p>
          <w:p w14:paraId="56F30630" w14:textId="547358FC" w:rsidR="004A1C05" w:rsidRDefault="0067275B" w:rsidP="00D2273B">
            <w:pPr>
              <w:pStyle w:val="NoSpacing"/>
              <w:numPr>
                <w:ilvl w:val="0"/>
                <w:numId w:val="23"/>
              </w:numPr>
              <w:spacing w:before="160" w:line="320" w:lineRule="atLeast"/>
              <w:ind w:right="979"/>
            </w:pPr>
            <w:r w:rsidRPr="003069E4">
              <w:t>PR – Patient Responsibility</w:t>
            </w:r>
          </w:p>
          <w:p w14:paraId="2631014F" w14:textId="1F5A5CDF" w:rsidR="0067275B" w:rsidRPr="0067275B" w:rsidRDefault="0067275B" w:rsidP="00D2273B">
            <w:pPr>
              <w:pStyle w:val="NoSpacing"/>
              <w:numPr>
                <w:ilvl w:val="0"/>
                <w:numId w:val="23"/>
              </w:numPr>
              <w:spacing w:before="160" w:line="320" w:lineRule="atLeast"/>
              <w:ind w:right="979"/>
            </w:pPr>
            <w:r w:rsidRPr="003069E4">
              <w:t>OA – Other Adjustment</w:t>
            </w:r>
          </w:p>
        </w:tc>
      </w:tr>
      <w:tr w:rsidR="0067275B" w:rsidRPr="0067275B" w14:paraId="5819D441" w14:textId="77777777" w:rsidTr="00BC24BB">
        <w:trPr>
          <w:cantSplit/>
          <w:trHeight w:val="576"/>
        </w:trPr>
        <w:tc>
          <w:tcPr>
            <w:tcW w:w="990" w:type="dxa"/>
            <w:shd w:val="clear" w:color="F8CBAD" w:fill="F8CBAD"/>
            <w:vAlign w:val="center"/>
          </w:tcPr>
          <w:p w14:paraId="5E2BDFEB" w14:textId="37BFD57D" w:rsidR="0067275B" w:rsidRDefault="0067275B" w:rsidP="0067275B">
            <w:pPr>
              <w:jc w:val="center"/>
              <w:rPr>
                <w:color w:val="000000"/>
              </w:rPr>
            </w:pPr>
            <w:r>
              <w:rPr>
                <w:color w:val="000000"/>
              </w:rPr>
              <w:t>11</w:t>
            </w:r>
          </w:p>
        </w:tc>
        <w:tc>
          <w:tcPr>
            <w:tcW w:w="9090" w:type="dxa"/>
            <w:shd w:val="clear" w:color="F8CBAD" w:fill="F8CBAD"/>
            <w:noWrap/>
          </w:tcPr>
          <w:p w14:paraId="451DE181" w14:textId="75857387" w:rsidR="0067275B" w:rsidRDefault="0067275B" w:rsidP="0067275B">
            <w:pPr>
              <w:pStyle w:val="NoSpacing"/>
              <w:spacing w:before="160" w:line="320" w:lineRule="atLeast"/>
              <w:ind w:right="979"/>
            </w:pPr>
            <w:r w:rsidRPr="003069E4">
              <w:t xml:space="preserve">Next, you will see the </w:t>
            </w:r>
            <w:r w:rsidR="004A1C05">
              <w:t>‘</w:t>
            </w:r>
            <w:r w:rsidRPr="003069E4">
              <w:t>Claim Adjustment Reason Code</w:t>
            </w:r>
            <w:r w:rsidR="004A1C05">
              <w:t>’</w:t>
            </w:r>
            <w:r w:rsidRPr="003069E4">
              <w:t xml:space="preserve"> field associated with the </w:t>
            </w:r>
            <w:r w:rsidR="004A1C05">
              <w:t>‘</w:t>
            </w:r>
            <w:r w:rsidRPr="003069E4">
              <w:t>Claim Group Code.</w:t>
            </w:r>
            <w:r w:rsidR="004A1C05">
              <w:t>’</w:t>
            </w:r>
            <w:r w:rsidRPr="003069E4">
              <w:t xml:space="preserve"> Enter the </w:t>
            </w:r>
            <w:r w:rsidR="004A1C05">
              <w:t>‘</w:t>
            </w:r>
            <w:r w:rsidRPr="003069E4">
              <w:t>Claim Adjustment Reason Code</w:t>
            </w:r>
            <w:r w:rsidR="004A1C05">
              <w:t>’</w:t>
            </w:r>
            <w:r w:rsidRPr="003069E4">
              <w:t xml:space="preserve"> found in the Medicare EOB. </w:t>
            </w:r>
          </w:p>
          <w:p w14:paraId="075E05BA" w14:textId="2B03F23A" w:rsidR="0067275B" w:rsidRDefault="0067275B" w:rsidP="0067275B">
            <w:pPr>
              <w:pStyle w:val="NoSpacing"/>
              <w:spacing w:before="160" w:line="320" w:lineRule="atLeast"/>
              <w:ind w:right="979"/>
            </w:pPr>
            <w:r w:rsidRPr="003069E4">
              <w:t xml:space="preserve">For example, you may see PR </w:t>
            </w:r>
            <w:r>
              <w:t>one (</w:t>
            </w:r>
            <w:r w:rsidRPr="003069E4">
              <w:t>1</w:t>
            </w:r>
            <w:r>
              <w:t>)</w:t>
            </w:r>
            <w:r w:rsidR="004A1C05">
              <w:t xml:space="preserve"> –</w:t>
            </w:r>
            <w:r w:rsidRPr="003069E4">
              <w:t xml:space="preserve"> </w:t>
            </w:r>
            <w:r w:rsidR="004A1C05">
              <w:t>‘</w:t>
            </w:r>
            <w:r w:rsidRPr="003069E4">
              <w:t>patient responsibility deductible amount.</w:t>
            </w:r>
            <w:r w:rsidR="004A1C05">
              <w:t>’</w:t>
            </w:r>
            <w:r w:rsidRPr="003069E4">
              <w:t xml:space="preserve"> Only enter </w:t>
            </w:r>
            <w:r>
              <w:t>one (</w:t>
            </w:r>
            <w:r w:rsidRPr="003069E4">
              <w:t>1</w:t>
            </w:r>
            <w:r>
              <w:t>)</w:t>
            </w:r>
            <w:r w:rsidRPr="003069E4">
              <w:t xml:space="preserve"> for </w:t>
            </w:r>
            <w:r>
              <w:t xml:space="preserve">the </w:t>
            </w:r>
            <w:r w:rsidRPr="003069E4">
              <w:t xml:space="preserve">deductible in the </w:t>
            </w:r>
            <w:r w:rsidR="004A1C05">
              <w:t>‘</w:t>
            </w:r>
            <w:r w:rsidRPr="003069E4">
              <w:t>Claim Adjustment Reason Code</w:t>
            </w:r>
            <w:r w:rsidR="004A1C05">
              <w:t>’</w:t>
            </w:r>
            <w:r w:rsidRPr="003069E4">
              <w:t xml:space="preserve"> field. The </w:t>
            </w:r>
            <w:r w:rsidR="004A1C05">
              <w:t>‘</w:t>
            </w:r>
            <w:r w:rsidRPr="003069E4">
              <w:t>PR</w:t>
            </w:r>
            <w:r w:rsidR="004A1C05">
              <w:t>’</w:t>
            </w:r>
            <w:r w:rsidRPr="003069E4">
              <w:t xml:space="preserve"> was reported in the </w:t>
            </w:r>
            <w:r w:rsidR="004A1C05">
              <w:t>‘</w:t>
            </w:r>
            <w:r w:rsidRPr="003069E4">
              <w:t>Claim Group Code</w:t>
            </w:r>
            <w:r w:rsidR="004A1C05">
              <w:t>’</w:t>
            </w:r>
            <w:r w:rsidRPr="003069E4">
              <w:t xml:space="preserve"> field. </w:t>
            </w:r>
          </w:p>
          <w:p w14:paraId="7B7A8F13" w14:textId="602B385F" w:rsidR="0067275B" w:rsidRDefault="0067275B" w:rsidP="0067275B">
            <w:pPr>
              <w:pStyle w:val="NoSpacing"/>
              <w:spacing w:before="160" w:line="320" w:lineRule="atLeast"/>
              <w:ind w:right="979"/>
            </w:pPr>
            <w:r w:rsidRPr="003069E4">
              <w:t>Another example is CO 45</w:t>
            </w:r>
            <w:r>
              <w:t>, which means a</w:t>
            </w:r>
            <w:r w:rsidRPr="003069E4">
              <w:t xml:space="preserve"> </w:t>
            </w:r>
            <w:r w:rsidR="004A1C05">
              <w:t>‘</w:t>
            </w:r>
            <w:r w:rsidRPr="003069E4">
              <w:t>contractual obligation charge exceeds fee/schedule/maximum allowable or contracted fee.</w:t>
            </w:r>
            <w:r w:rsidR="004A1C05">
              <w:t>’</w:t>
            </w:r>
            <w:r w:rsidRPr="003069E4">
              <w:t xml:space="preserve"> </w:t>
            </w:r>
          </w:p>
          <w:p w14:paraId="543A3541" w14:textId="5D6A6FDB" w:rsidR="0067275B" w:rsidRPr="00E717B7" w:rsidRDefault="0067275B" w:rsidP="0067275B">
            <w:pPr>
              <w:pStyle w:val="NoSpacing"/>
              <w:spacing w:before="160" w:line="320" w:lineRule="atLeast"/>
              <w:ind w:right="979"/>
            </w:pPr>
            <w:r w:rsidRPr="00E717B7">
              <w:t xml:space="preserve">Additional information about the HIPAA-mandated </w:t>
            </w:r>
            <w:r w:rsidR="004A1C05">
              <w:t>‘</w:t>
            </w:r>
            <w:r w:rsidRPr="00E717B7">
              <w:t>Claim Group Codes</w:t>
            </w:r>
            <w:r w:rsidR="004A1C05">
              <w:t>’</w:t>
            </w:r>
            <w:r w:rsidRPr="00E717B7">
              <w:t xml:space="preserve"> and </w:t>
            </w:r>
            <w:r w:rsidR="004A1C05">
              <w:t>‘</w:t>
            </w:r>
            <w:r w:rsidRPr="00E717B7">
              <w:t>Claim Adjustment Reason Codes</w:t>
            </w:r>
            <w:r w:rsidR="004A1C05">
              <w:t>’</w:t>
            </w:r>
            <w:r w:rsidRPr="00E717B7">
              <w:t xml:space="preserve"> can be found on the </w:t>
            </w:r>
            <w:hyperlink r:id="rId20" w:history="1">
              <w:r w:rsidRPr="004A1C05">
                <w:rPr>
                  <w:rStyle w:val="Hyperlink"/>
                </w:rPr>
                <w:t>Washington Publishing Company's website</w:t>
              </w:r>
            </w:hyperlink>
            <w:r w:rsidRPr="00E717B7">
              <w:t xml:space="preserve">. </w:t>
            </w:r>
          </w:p>
        </w:tc>
      </w:tr>
      <w:tr w:rsidR="0067275B" w:rsidRPr="0067275B" w14:paraId="6B8C2163" w14:textId="77777777" w:rsidTr="00BC24BB">
        <w:trPr>
          <w:cantSplit/>
          <w:trHeight w:val="576"/>
        </w:trPr>
        <w:tc>
          <w:tcPr>
            <w:tcW w:w="990" w:type="dxa"/>
            <w:shd w:val="clear" w:color="auto" w:fill="FDE9D9" w:themeFill="accent6" w:themeFillTint="33"/>
            <w:vAlign w:val="center"/>
          </w:tcPr>
          <w:p w14:paraId="6F4FAC17" w14:textId="71B3806D" w:rsidR="0067275B" w:rsidRDefault="0067275B" w:rsidP="0067275B">
            <w:pPr>
              <w:jc w:val="center"/>
              <w:rPr>
                <w:color w:val="000000"/>
              </w:rPr>
            </w:pPr>
            <w:r>
              <w:rPr>
                <w:color w:val="000000"/>
              </w:rPr>
              <w:t>12</w:t>
            </w:r>
          </w:p>
        </w:tc>
        <w:tc>
          <w:tcPr>
            <w:tcW w:w="9090" w:type="dxa"/>
            <w:shd w:val="clear" w:color="auto" w:fill="FDE9D9" w:themeFill="accent6" w:themeFillTint="33"/>
            <w:noWrap/>
          </w:tcPr>
          <w:p w14:paraId="5E89E7BD" w14:textId="7EF867F7" w:rsidR="0067275B" w:rsidRPr="0067275B" w:rsidRDefault="0067275B" w:rsidP="0067275B">
            <w:pPr>
              <w:pStyle w:val="NoSpacing"/>
              <w:spacing w:before="160" w:line="320" w:lineRule="atLeast"/>
              <w:ind w:right="979"/>
            </w:pPr>
            <w:r w:rsidRPr="003069E4">
              <w:t xml:space="preserve">If there is a commercial insurance payment or denial to report on the crossover claim, complete an additional </w:t>
            </w:r>
            <w:r w:rsidR="004A1C05">
              <w:t>‘</w:t>
            </w:r>
            <w:r w:rsidRPr="003069E4">
              <w:t>Other Payer</w:t>
            </w:r>
            <w:r w:rsidR="004A1C05">
              <w:t>’</w:t>
            </w:r>
            <w:r w:rsidRPr="003069E4">
              <w:t xml:space="preserve"> header form</w:t>
            </w:r>
            <w:r>
              <w:t>.</w:t>
            </w:r>
          </w:p>
        </w:tc>
      </w:tr>
    </w:tbl>
    <w:p w14:paraId="7749D217" w14:textId="6C8D6A64" w:rsidR="009048FB" w:rsidRPr="007933F9" w:rsidRDefault="009048FB" w:rsidP="00275867">
      <w:pPr>
        <w:pStyle w:val="Heading4"/>
      </w:pPr>
      <w:bookmarkStart w:id="8" w:name="_Toc210124680"/>
      <w:bookmarkStart w:id="9" w:name="_Toc225163668"/>
      <w:r w:rsidRPr="007933F9">
        <w:t xml:space="preserve">Billing for </w:t>
      </w:r>
      <w:r w:rsidR="008530E1" w:rsidRPr="007933F9">
        <w:t>V</w:t>
      </w:r>
      <w:r w:rsidRPr="007933F9">
        <w:t>accines for Dual Eligible Participants</w:t>
      </w:r>
      <w:bookmarkEnd w:id="8"/>
      <w:bookmarkEnd w:id="9"/>
    </w:p>
    <w:p w14:paraId="35ABE6DB" w14:textId="43B75E41" w:rsidR="0018020F" w:rsidRPr="00A741D6" w:rsidRDefault="009048FB" w:rsidP="000870A9">
      <w:r w:rsidRPr="00A741D6">
        <w:t>MO HealthNet providers billing vaccines for dual eligible participants shall bill Medicare for all vaccines. Vaccine coverage under Medicare Part B includes pneumococcal, influenza</w:t>
      </w:r>
      <w:r w:rsidR="004B7F61" w:rsidRPr="00A741D6">
        <w:t>,</w:t>
      </w:r>
      <w:r w:rsidRPr="00A741D6">
        <w:t xml:space="preserve"> and Hepatitis B vaccines for individuals at high or intermediate risk</w:t>
      </w:r>
      <w:r w:rsidR="004B7F61" w:rsidRPr="00A741D6">
        <w:t xml:space="preserve"> and </w:t>
      </w:r>
      <w:r w:rsidRPr="00A741D6">
        <w:t>vaccines directly related to t</w:t>
      </w:r>
      <w:r w:rsidR="004B7F61" w:rsidRPr="00A741D6">
        <w:t>reating</w:t>
      </w:r>
      <w:r w:rsidRPr="00A741D6">
        <w:t xml:space="preserve"> an injury or direct exposure to a disease or condition.</w:t>
      </w:r>
      <w:r w:rsidR="008E3810" w:rsidRPr="00A741D6">
        <w:t xml:space="preserve"> Medicare Part D (pharmacy benefit) covers other vaccines not covered by Part B.</w:t>
      </w:r>
      <w:r w:rsidRPr="00A741D6">
        <w:t xml:space="preserve"> When a provider cannot bill the Part D plan directly, the vaccine should be dispensed at a pharmacy. In some cases, a pharmacist may administer the vaccine following the MO Board of Pharmacy guidelines.</w:t>
      </w:r>
    </w:p>
    <w:p w14:paraId="1EC42EFC" w14:textId="724D8DCD" w:rsidR="0018020F" w:rsidRPr="00E717B7" w:rsidRDefault="001601BD" w:rsidP="000870A9">
      <w:r w:rsidRPr="00A741D6">
        <w:t>Refer to the</w:t>
      </w:r>
      <w:r w:rsidR="0018020F" w:rsidRPr="00A741D6">
        <w:t xml:space="preserve"> </w:t>
      </w:r>
      <w:hyperlink r:id="rId21" w:history="1">
        <w:r w:rsidR="0018020F" w:rsidRPr="00275867">
          <w:rPr>
            <w:rStyle w:val="Hyperlink"/>
          </w:rPr>
          <w:t xml:space="preserve">Pharmacy </w:t>
        </w:r>
        <w:r w:rsidR="004A1C05">
          <w:rPr>
            <w:rStyle w:val="Hyperlink"/>
          </w:rPr>
          <w:t xml:space="preserve">Provider </w:t>
        </w:r>
        <w:r w:rsidR="0018020F" w:rsidRPr="00275867">
          <w:rPr>
            <w:rStyle w:val="Hyperlink"/>
          </w:rPr>
          <w:t>Manual</w:t>
        </w:r>
      </w:hyperlink>
      <w:r w:rsidR="0018020F" w:rsidRPr="00A741D6">
        <w:rPr>
          <w:color w:val="163E64"/>
        </w:rPr>
        <w:t xml:space="preserve"> </w:t>
      </w:r>
      <w:r w:rsidR="0018020F" w:rsidRPr="00A741D6">
        <w:t>for more information on billing Part B drugs and diabetic testing supplies for dual eligible participants.</w:t>
      </w:r>
    </w:p>
    <w:p w14:paraId="674B41B3" w14:textId="47684529" w:rsidR="007A6195" w:rsidRPr="007933F9" w:rsidRDefault="00F914ED" w:rsidP="00275867">
      <w:pPr>
        <w:pStyle w:val="Heading3"/>
      </w:pPr>
      <w:bookmarkStart w:id="10" w:name="PHYMedicarePartBMedicaidTitleXIX"/>
      <w:bookmarkStart w:id="11" w:name="GEN16_5"/>
      <w:bookmarkStart w:id="12" w:name="_Toc322590264"/>
      <w:bookmarkStart w:id="13" w:name="_Toc210124681"/>
      <w:bookmarkStart w:id="14" w:name="_Toc225163669"/>
      <w:bookmarkEnd w:id="10"/>
      <w:bookmarkEnd w:id="11"/>
      <w:r w:rsidRPr="007933F9">
        <w:t>1.2</w:t>
      </w:r>
      <w:r w:rsidR="009F27BA" w:rsidRPr="007933F9">
        <w:tab/>
      </w:r>
      <w:r w:rsidR="007A6195" w:rsidRPr="007933F9">
        <w:t>B</w:t>
      </w:r>
      <w:r w:rsidR="0066679D" w:rsidRPr="007933F9">
        <w:t>illing</w:t>
      </w:r>
      <w:r w:rsidR="007A6195" w:rsidRPr="007933F9">
        <w:t xml:space="preserve"> </w:t>
      </w:r>
      <w:r w:rsidR="0066679D" w:rsidRPr="007933F9">
        <w:t>of</w:t>
      </w:r>
      <w:r w:rsidR="007A6195" w:rsidRPr="007933F9">
        <w:t xml:space="preserve"> S</w:t>
      </w:r>
      <w:r w:rsidR="0066679D" w:rsidRPr="007933F9">
        <w:t>ervices</w:t>
      </w:r>
      <w:r w:rsidR="007A6195" w:rsidRPr="007933F9">
        <w:t xml:space="preserve"> N</w:t>
      </w:r>
      <w:r w:rsidR="0066679D" w:rsidRPr="007933F9">
        <w:t>ot</w:t>
      </w:r>
      <w:r w:rsidR="007A6195" w:rsidRPr="007933F9">
        <w:t xml:space="preserve"> C</w:t>
      </w:r>
      <w:r w:rsidR="0066679D" w:rsidRPr="007933F9">
        <w:t>overed</w:t>
      </w:r>
      <w:r w:rsidR="007A6195" w:rsidRPr="007933F9">
        <w:t xml:space="preserve"> </w:t>
      </w:r>
      <w:r w:rsidR="0066679D" w:rsidRPr="007933F9">
        <w:t>by</w:t>
      </w:r>
      <w:r w:rsidR="007A6195" w:rsidRPr="007933F9">
        <w:t xml:space="preserve"> M</w:t>
      </w:r>
      <w:r w:rsidR="0066679D" w:rsidRPr="007933F9">
        <w:t>edicare</w:t>
      </w:r>
      <w:bookmarkEnd w:id="12"/>
      <w:bookmarkEnd w:id="13"/>
      <w:bookmarkEnd w:id="14"/>
    </w:p>
    <w:p w14:paraId="4D246D28" w14:textId="25214836" w:rsidR="007A6195" w:rsidRPr="009767A0" w:rsidRDefault="007A6195" w:rsidP="000870A9">
      <w:r w:rsidRPr="009767A0">
        <w:rPr>
          <w:color w:val="000000"/>
        </w:rPr>
        <w:t xml:space="preserve">Not all services covered under the MO HealthNet Program are covered by Medicare. Examples </w:t>
      </w:r>
      <w:r w:rsidR="00CE7F54" w:rsidRPr="009767A0">
        <w:rPr>
          <w:color w:val="000000"/>
        </w:rPr>
        <w:t xml:space="preserve">of services not covered </w:t>
      </w:r>
      <w:r w:rsidRPr="009767A0">
        <w:rPr>
          <w:color w:val="000000"/>
        </w:rPr>
        <w:t>are eyeglasses, most dental services, hearing aids, adult day health care, personal care</w:t>
      </w:r>
      <w:r w:rsidR="004B7F61" w:rsidRPr="009767A0">
        <w:rPr>
          <w:color w:val="000000"/>
        </w:rPr>
        <w:t>, and</w:t>
      </w:r>
      <w:r w:rsidRPr="009767A0">
        <w:rPr>
          <w:color w:val="000000"/>
        </w:rPr>
        <w:t xml:space="preserve"> most eye exams performed by an optometrist. In addition, some benefits that are provided under Medicare coverage may be subject to certain limitations. The provider </w:t>
      </w:r>
      <w:r w:rsidR="00CE7F54" w:rsidRPr="009767A0">
        <w:rPr>
          <w:color w:val="000000"/>
        </w:rPr>
        <w:t xml:space="preserve">may </w:t>
      </w:r>
      <w:r w:rsidRPr="009767A0">
        <w:rPr>
          <w:color w:val="000000"/>
        </w:rPr>
        <w:t xml:space="preserve">receive a Medicare </w:t>
      </w:r>
      <w:r w:rsidR="00BA6243">
        <w:rPr>
          <w:color w:val="000000"/>
        </w:rPr>
        <w:t>Remittance Advice</w:t>
      </w:r>
      <w:r w:rsidR="00564A84">
        <w:rPr>
          <w:color w:val="000000"/>
        </w:rPr>
        <w:t xml:space="preserve"> (RA)</w:t>
      </w:r>
      <w:r w:rsidRPr="009767A0">
        <w:rPr>
          <w:color w:val="000000"/>
        </w:rPr>
        <w:t xml:space="preserve"> </w:t>
      </w:r>
      <w:r w:rsidR="002A4F6A" w:rsidRPr="009767A0">
        <w:rPr>
          <w:color w:val="000000"/>
        </w:rPr>
        <w:t>which</w:t>
      </w:r>
      <w:r w:rsidRPr="009767A0">
        <w:rPr>
          <w:color w:val="000000"/>
        </w:rPr>
        <w:t xml:space="preserve"> indicates </w:t>
      </w:r>
      <w:r w:rsidR="002A4F6A" w:rsidRPr="009767A0">
        <w:rPr>
          <w:color w:val="000000"/>
        </w:rPr>
        <w:t xml:space="preserve">if </w:t>
      </w:r>
      <w:r w:rsidR="004B7F61" w:rsidRPr="009767A0">
        <w:rPr>
          <w:color w:val="000000"/>
        </w:rPr>
        <w:t>Medicare has denied a servic</w:t>
      </w:r>
      <w:r w:rsidRPr="009767A0">
        <w:rPr>
          <w:color w:val="000000"/>
        </w:rPr>
        <w:t xml:space="preserve">e. The provider may submit a </w:t>
      </w:r>
      <w:r w:rsidR="004B7F61" w:rsidRPr="009767A0">
        <w:rPr>
          <w:color w:val="000000"/>
        </w:rPr>
        <w:t>Medicare-</w:t>
      </w:r>
      <w:r w:rsidRPr="009767A0">
        <w:rPr>
          <w:color w:val="000000"/>
        </w:rPr>
        <w:t>denied claim to M</w:t>
      </w:r>
      <w:r w:rsidR="0067275B" w:rsidRPr="009767A0">
        <w:rPr>
          <w:color w:val="000000"/>
        </w:rPr>
        <w:t>HD</w:t>
      </w:r>
      <w:r w:rsidRPr="009767A0">
        <w:rPr>
          <w:color w:val="000000"/>
        </w:rPr>
        <w:t xml:space="preserve"> electronically using the proper claim form for </w:t>
      </w:r>
      <w:r w:rsidR="004B7F61" w:rsidRPr="009767A0">
        <w:rPr>
          <w:color w:val="000000"/>
        </w:rPr>
        <w:t>reimbursement consideration</w:t>
      </w:r>
      <w:r w:rsidRPr="009767A0">
        <w:rPr>
          <w:color w:val="000000"/>
        </w:rPr>
        <w:t xml:space="preserve"> through the 837 electronic claims transaction or </w:t>
      </w:r>
      <w:hyperlink r:id="rId22" w:history="1">
        <w:r w:rsidR="00E350B6" w:rsidRPr="00275867">
          <w:rPr>
            <w:rStyle w:val="Hyperlink"/>
          </w:rPr>
          <w:t>eMOMED</w:t>
        </w:r>
      </w:hyperlink>
      <w:r w:rsidRPr="009767A0">
        <w:rPr>
          <w:color w:val="000000"/>
        </w:rPr>
        <w:t xml:space="preserve">. If the 837 electronic claims transaction is used, providers should refer to </w:t>
      </w:r>
      <w:r w:rsidRPr="00A83190">
        <w:rPr>
          <w:color w:val="000000"/>
        </w:rPr>
        <w:t>the</w:t>
      </w:r>
      <w:r w:rsidR="0061576A">
        <w:rPr>
          <w:color w:val="000000"/>
        </w:rPr>
        <w:t xml:space="preserve">   </w:t>
      </w:r>
      <w:hyperlink r:id="rId23" w:history="1">
        <w:r w:rsidR="0061576A" w:rsidRPr="00275867">
          <w:rPr>
            <w:rStyle w:val="Hyperlink"/>
          </w:rPr>
          <w:t>ASC X12 Implementation Guides</w:t>
        </w:r>
      </w:hyperlink>
      <w:r w:rsidRPr="00A83190">
        <w:rPr>
          <w:color w:val="000000"/>
        </w:rPr>
        <w:t xml:space="preserve"> </w:t>
      </w:r>
      <w:r w:rsidRPr="009767A0">
        <w:rPr>
          <w:color w:val="000000"/>
        </w:rPr>
        <w:t xml:space="preserve">for assistance. The following are tips to assist in successfully filing </w:t>
      </w:r>
      <w:r w:rsidR="004B7F61" w:rsidRPr="009767A0">
        <w:rPr>
          <w:color w:val="000000"/>
        </w:rPr>
        <w:t>Medicare-</w:t>
      </w:r>
      <w:r w:rsidRPr="009767A0">
        <w:rPr>
          <w:color w:val="000000"/>
        </w:rPr>
        <w:t xml:space="preserve">denied claims </w:t>
      </w:r>
      <w:r w:rsidR="00CE7F54" w:rsidRPr="009767A0">
        <w:rPr>
          <w:color w:val="000000"/>
        </w:rPr>
        <w:t xml:space="preserve">in </w:t>
      </w:r>
      <w:hyperlink r:id="rId24" w:history="1">
        <w:r w:rsidR="00E350B6" w:rsidRPr="00275867">
          <w:rPr>
            <w:rStyle w:val="Hyperlink"/>
          </w:rPr>
          <w:t>eMOMED</w:t>
        </w:r>
      </w:hyperlink>
      <w:r w:rsidRPr="009767A0">
        <w:rPr>
          <w:color w:val="000000"/>
        </w:rPr>
        <w:t>:</w:t>
      </w:r>
    </w:p>
    <w:p w14:paraId="097C7E69" w14:textId="70E1C439" w:rsidR="007A6195" w:rsidRPr="003069E4" w:rsidRDefault="00CE7F54" w:rsidP="00BC24BB">
      <w:pPr>
        <w:pStyle w:val="BulletList1"/>
      </w:pPr>
      <w:r>
        <w:t>P</w:t>
      </w:r>
      <w:r w:rsidR="007A6195" w:rsidRPr="003069E4">
        <w:t>roviders should select the appropriate claim type (CMS</w:t>
      </w:r>
      <w:r>
        <w:t>-</w:t>
      </w:r>
      <w:r w:rsidR="007A6195" w:rsidRPr="003069E4">
        <w:t>1500, UB-04, Nursing Home, etc.) Do not select the Medicare crossover claim form.</w:t>
      </w:r>
      <w:r w:rsidR="007A6195" w:rsidRPr="003069E4">
        <w:rPr>
          <w:b/>
          <w:i/>
        </w:rPr>
        <w:t xml:space="preserve"> </w:t>
      </w:r>
      <w:r w:rsidR="007A6195" w:rsidRPr="003069E4">
        <w:t>Complete all pertinent data for the MO HealthNet claim.</w:t>
      </w:r>
    </w:p>
    <w:p w14:paraId="080A44AF" w14:textId="32D68C1B" w:rsidR="007A6195" w:rsidRPr="003069E4" w:rsidRDefault="0066414B" w:rsidP="00BC24BB">
      <w:pPr>
        <w:pStyle w:val="BulletList1"/>
      </w:pPr>
      <w:r w:rsidRPr="003069E4">
        <w:t xml:space="preserve">Providers should report the Medicare denial information under the </w:t>
      </w:r>
      <w:r w:rsidR="004B7F61">
        <w:t>"</w:t>
      </w:r>
      <w:r w:rsidRPr="003069E4">
        <w:t>Other Payer</w:t>
      </w:r>
      <w:r w:rsidR="004B7F61">
        <w:t>"</w:t>
      </w:r>
      <w:r w:rsidR="004B7F61" w:rsidRPr="003069E4">
        <w:t xml:space="preserve"> </w:t>
      </w:r>
      <w:r w:rsidRPr="003069E4">
        <w:t xml:space="preserve">portion of the claim. The MB-Medicare or MA-Medicare </w:t>
      </w:r>
      <w:r w:rsidR="004B7F61">
        <w:t>"</w:t>
      </w:r>
      <w:r w:rsidRPr="003069E4">
        <w:t>Filing Indicator</w:t>
      </w:r>
      <w:r w:rsidR="004B7F61">
        <w:t>"</w:t>
      </w:r>
      <w:r w:rsidR="004B7F61" w:rsidRPr="003069E4">
        <w:t xml:space="preserve"> </w:t>
      </w:r>
      <w:r w:rsidRPr="003069E4">
        <w:t>should be used when reporting the Medicare denial information.</w:t>
      </w:r>
    </w:p>
    <w:p w14:paraId="0CF9AC71" w14:textId="08DC0D9F" w:rsidR="0066414B" w:rsidRDefault="0066414B" w:rsidP="00BC24BB">
      <w:pPr>
        <w:pStyle w:val="BulletList1"/>
      </w:pPr>
      <w:r w:rsidRPr="003069E4">
        <w:t xml:space="preserve">Providers </w:t>
      </w:r>
      <w:r w:rsidR="004B7F61">
        <w:t>must</w:t>
      </w:r>
      <w:r w:rsidRPr="003069E4">
        <w:t xml:space="preserve"> adhere to MO </w:t>
      </w:r>
      <w:r w:rsidR="004B7F61" w:rsidRPr="003069E4">
        <w:t>HealthNet</w:t>
      </w:r>
      <w:r w:rsidR="004B7F61">
        <w:t>'</w:t>
      </w:r>
      <w:r w:rsidR="004B7F61" w:rsidRPr="003069E4">
        <w:t xml:space="preserve">s </w:t>
      </w:r>
      <w:r w:rsidRPr="003069E4">
        <w:t>precertification, prior authorization</w:t>
      </w:r>
      <w:r w:rsidR="00353DB3">
        <w:t xml:space="preserve"> (PA)</w:t>
      </w:r>
      <w:r w:rsidR="004B7F61">
        <w:t>,</w:t>
      </w:r>
      <w:r w:rsidRPr="003069E4">
        <w:t xml:space="preserve"> or other program requirements when M</w:t>
      </w:r>
      <w:r w:rsidR="0067275B">
        <w:t>HD</w:t>
      </w:r>
      <w:r w:rsidRPr="003069E4">
        <w:t xml:space="preserve"> is the primary payer.</w:t>
      </w:r>
    </w:p>
    <w:p w14:paraId="61592DBC" w14:textId="7D03439B" w:rsidR="007A6195" w:rsidRPr="00A471ED" w:rsidRDefault="00F914ED" w:rsidP="00275867">
      <w:pPr>
        <w:pStyle w:val="Heading3"/>
      </w:pPr>
      <w:bookmarkStart w:id="15" w:name="_1.3_Medicare_Part"/>
      <w:bookmarkStart w:id="16" w:name="_Toc322590265"/>
      <w:bookmarkStart w:id="17" w:name="_Toc210124682"/>
      <w:bookmarkStart w:id="18" w:name="_Toc225163670"/>
      <w:bookmarkEnd w:id="15"/>
      <w:r w:rsidRPr="00A471ED">
        <w:t>1.3</w:t>
      </w:r>
      <w:r w:rsidR="009F27BA" w:rsidRPr="00A471ED">
        <w:tab/>
      </w:r>
      <w:r w:rsidR="007A6195" w:rsidRPr="00A471ED">
        <w:t>M</w:t>
      </w:r>
      <w:r w:rsidR="0066679D" w:rsidRPr="00A471ED">
        <w:t>edicare</w:t>
      </w:r>
      <w:r w:rsidR="007A6195" w:rsidRPr="00A471ED">
        <w:t xml:space="preserve"> P</w:t>
      </w:r>
      <w:r w:rsidR="0066679D" w:rsidRPr="00A471ED">
        <w:t>art</w:t>
      </w:r>
      <w:r w:rsidR="007A6195" w:rsidRPr="00A471ED">
        <w:t xml:space="preserve"> C C</w:t>
      </w:r>
      <w:r w:rsidR="0066679D" w:rsidRPr="00A471ED">
        <w:t>rossover</w:t>
      </w:r>
      <w:r w:rsidR="007A6195" w:rsidRPr="00A471ED">
        <w:t xml:space="preserve"> C</w:t>
      </w:r>
      <w:r w:rsidR="0066679D" w:rsidRPr="00A471ED">
        <w:t>laims</w:t>
      </w:r>
      <w:r w:rsidR="007A6195" w:rsidRPr="00A471ED">
        <w:t xml:space="preserve"> </w:t>
      </w:r>
      <w:r w:rsidR="0066679D" w:rsidRPr="00A471ED">
        <w:t>for</w:t>
      </w:r>
      <w:r w:rsidR="007A6195" w:rsidRPr="00A471ED">
        <w:t xml:space="preserve"> </w:t>
      </w:r>
      <w:r w:rsidR="005F3FD8" w:rsidRPr="00A471ED">
        <w:t>Qualified Medicare Beneficiary</w:t>
      </w:r>
      <w:r w:rsidR="00BD6B8C" w:rsidRPr="00A471ED">
        <w:t xml:space="preserve"> </w:t>
      </w:r>
      <w:r w:rsidR="007A6195" w:rsidRPr="00A471ED">
        <w:t>P</w:t>
      </w:r>
      <w:r w:rsidR="0066679D" w:rsidRPr="00A471ED">
        <w:t>articipants</w:t>
      </w:r>
      <w:bookmarkEnd w:id="16"/>
      <w:bookmarkEnd w:id="17"/>
      <w:bookmarkEnd w:id="18"/>
    </w:p>
    <w:p w14:paraId="353C7876" w14:textId="1AB96F16" w:rsidR="007A6195" w:rsidRPr="00F04D68" w:rsidRDefault="007A6195" w:rsidP="00E717B7">
      <w:r w:rsidRPr="00F04D68">
        <w:t xml:space="preserve">Medicare Advantage/Part C plans do not forward electronic crossover claims to </w:t>
      </w:r>
      <w:r w:rsidR="005F36A5" w:rsidRPr="00F04D68">
        <w:t>M</w:t>
      </w:r>
      <w:r w:rsidR="0067275B" w:rsidRPr="00F04D68">
        <w:t>HD</w:t>
      </w:r>
      <w:r w:rsidRPr="00F04D68">
        <w:t xml:space="preserve">. Therefore, providers must submit Medicare Advantage/Part C crossover claims through </w:t>
      </w:r>
      <w:hyperlink r:id="rId25" w:history="1">
        <w:r w:rsidR="00A64500" w:rsidRPr="00275867">
          <w:rPr>
            <w:rStyle w:val="Hyperlink"/>
          </w:rPr>
          <w:t>eMOMED</w:t>
        </w:r>
      </w:hyperlink>
      <w:r w:rsidRPr="00F04D68">
        <w:t xml:space="preserve">. The following are </w:t>
      </w:r>
      <w:r w:rsidR="00795A1B">
        <w:t>helpful steps</w:t>
      </w:r>
      <w:r w:rsidRPr="00F04D68">
        <w:t xml:space="preserve"> to assist in successfully filing Medicare Advantage/Part C crossover claim</w:t>
      </w:r>
      <w:r w:rsidR="00522C8E" w:rsidRPr="00F04D68">
        <w:t>s</w:t>
      </w:r>
      <w:r w:rsidRPr="00F04D68">
        <w:t xml:space="preserve"> </w:t>
      </w:r>
      <w:r w:rsidR="005055E7" w:rsidRPr="00F04D68">
        <w:t>in</w:t>
      </w:r>
      <w:r w:rsidRPr="00F04D68">
        <w:t xml:space="preserve"> </w:t>
      </w:r>
      <w:hyperlink r:id="rId26" w:history="1">
        <w:r w:rsidR="00A64500" w:rsidRPr="00275867">
          <w:rPr>
            <w:rStyle w:val="Hyperlink"/>
          </w:rPr>
          <w:t>eMOMED</w:t>
        </w:r>
      </w:hyperlink>
      <w:r w:rsidRPr="00F04D68">
        <w:t>:</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
        <w:gridCol w:w="9090"/>
      </w:tblGrid>
      <w:tr w:rsidR="0067275B" w:rsidRPr="0067275B" w14:paraId="25ACAE35" w14:textId="77777777" w:rsidTr="00BC24BB">
        <w:trPr>
          <w:cantSplit/>
          <w:trHeight w:val="576"/>
          <w:tblHeader/>
        </w:trPr>
        <w:tc>
          <w:tcPr>
            <w:tcW w:w="990" w:type="dxa"/>
            <w:shd w:val="clear" w:color="auto" w:fill="04427D"/>
          </w:tcPr>
          <w:p w14:paraId="6D766130" w14:textId="77777777" w:rsidR="0067275B" w:rsidRPr="00275867" w:rsidRDefault="0067275B" w:rsidP="0067275B">
            <w:pPr>
              <w:jc w:val="center"/>
              <w:rPr>
                <w:b/>
                <w:bCs/>
                <w:color w:val="FFFFFF"/>
                <w:sz w:val="26"/>
                <w:szCs w:val="26"/>
              </w:rPr>
            </w:pPr>
            <w:r w:rsidRPr="00275867">
              <w:rPr>
                <w:b/>
                <w:bCs/>
                <w:color w:val="FFFFFF"/>
                <w:sz w:val="26"/>
                <w:szCs w:val="26"/>
              </w:rPr>
              <w:t>Step</w:t>
            </w:r>
          </w:p>
        </w:tc>
        <w:tc>
          <w:tcPr>
            <w:tcW w:w="9090" w:type="dxa"/>
            <w:shd w:val="clear" w:color="auto" w:fill="04427D"/>
            <w:noWrap/>
          </w:tcPr>
          <w:p w14:paraId="717B63B3" w14:textId="77777777" w:rsidR="0067275B" w:rsidRPr="00275867" w:rsidRDefault="0067275B" w:rsidP="0067275B">
            <w:pPr>
              <w:jc w:val="center"/>
              <w:rPr>
                <w:b/>
                <w:bCs/>
                <w:color w:val="FFFFFF"/>
                <w:sz w:val="26"/>
                <w:szCs w:val="26"/>
              </w:rPr>
            </w:pPr>
            <w:r w:rsidRPr="00275867">
              <w:rPr>
                <w:b/>
                <w:bCs/>
                <w:color w:val="FFFFFF"/>
                <w:sz w:val="26"/>
                <w:szCs w:val="26"/>
              </w:rPr>
              <w:t>Helpful Tip</w:t>
            </w:r>
          </w:p>
        </w:tc>
      </w:tr>
      <w:tr w:rsidR="0067275B" w:rsidRPr="0067275B" w14:paraId="1FF584D0" w14:textId="77777777" w:rsidTr="00BC24BB">
        <w:trPr>
          <w:cantSplit/>
          <w:trHeight w:val="576"/>
        </w:trPr>
        <w:tc>
          <w:tcPr>
            <w:tcW w:w="990" w:type="dxa"/>
            <w:shd w:val="clear" w:color="F8CBAD" w:fill="F8CBAD"/>
            <w:vAlign w:val="center"/>
          </w:tcPr>
          <w:p w14:paraId="6CA3FB8C" w14:textId="77777777" w:rsidR="0067275B" w:rsidRPr="0067275B" w:rsidRDefault="0067275B" w:rsidP="0067275B">
            <w:pPr>
              <w:jc w:val="center"/>
              <w:rPr>
                <w:color w:val="000000"/>
              </w:rPr>
            </w:pPr>
            <w:r>
              <w:rPr>
                <w:color w:val="000000"/>
              </w:rPr>
              <w:t>1</w:t>
            </w:r>
          </w:p>
        </w:tc>
        <w:tc>
          <w:tcPr>
            <w:tcW w:w="9090" w:type="dxa"/>
            <w:shd w:val="clear" w:color="F8CBAD" w:fill="F8CBAD"/>
            <w:noWrap/>
          </w:tcPr>
          <w:p w14:paraId="69F610F5" w14:textId="11100662" w:rsidR="0067275B" w:rsidRPr="0067275B" w:rsidRDefault="0067275B" w:rsidP="0067275B">
            <w:pPr>
              <w:pStyle w:val="NoSpacing"/>
              <w:spacing w:before="160" w:line="320" w:lineRule="atLeast"/>
              <w:ind w:right="979"/>
            </w:pPr>
            <w:r w:rsidRPr="003069E4">
              <w:t>Choose the appropriate Part C QMB crossover claim form. Enter all appropriate information from the Medicare Advantage/Part C plan claim. Do not use the Medicare Part A or Part B crossover claim form.</w:t>
            </w:r>
          </w:p>
        </w:tc>
      </w:tr>
      <w:tr w:rsidR="0067275B" w:rsidRPr="0067275B" w14:paraId="4ABF4125" w14:textId="77777777" w:rsidTr="00BC24BB">
        <w:trPr>
          <w:cantSplit/>
          <w:trHeight w:val="576"/>
        </w:trPr>
        <w:tc>
          <w:tcPr>
            <w:tcW w:w="990" w:type="dxa"/>
            <w:shd w:val="clear" w:color="FCE4D6" w:fill="FCE4D6"/>
            <w:vAlign w:val="center"/>
          </w:tcPr>
          <w:p w14:paraId="28F4D211" w14:textId="77777777" w:rsidR="0067275B" w:rsidRPr="0067275B" w:rsidRDefault="0067275B" w:rsidP="0067275B">
            <w:pPr>
              <w:jc w:val="center"/>
              <w:rPr>
                <w:color w:val="000000"/>
              </w:rPr>
            </w:pPr>
            <w:r>
              <w:rPr>
                <w:color w:val="000000"/>
              </w:rPr>
              <w:t>2</w:t>
            </w:r>
          </w:p>
        </w:tc>
        <w:tc>
          <w:tcPr>
            <w:tcW w:w="9090" w:type="dxa"/>
            <w:shd w:val="clear" w:color="FCE4D6" w:fill="FCE4D6"/>
          </w:tcPr>
          <w:p w14:paraId="532B99FC" w14:textId="46CBD0CD" w:rsidR="0067275B" w:rsidRPr="0067275B" w:rsidRDefault="0067275B" w:rsidP="0067275B">
            <w:pPr>
              <w:pStyle w:val="NoSpacing"/>
              <w:spacing w:before="160" w:line="320" w:lineRule="atLeast"/>
              <w:ind w:right="979"/>
            </w:pPr>
            <w:r>
              <w:t xml:space="preserve">The </w:t>
            </w:r>
            <w:r w:rsidRPr="003069E4">
              <w:t xml:space="preserve">HELP screens provide instructions </w:t>
            </w:r>
            <w:r>
              <w:t>for</w:t>
            </w:r>
            <w:r w:rsidRPr="003069E4">
              <w:t xml:space="preserve"> completing the crossover claim forms, the </w:t>
            </w:r>
            <w:r w:rsidR="004A1C05">
              <w:t>‘</w:t>
            </w:r>
            <w:r w:rsidRPr="003069E4">
              <w:t>Other Payer</w:t>
            </w:r>
            <w:r w:rsidR="004A1C05">
              <w:t>’</w:t>
            </w:r>
            <w:r w:rsidRPr="003069E4">
              <w:t xml:space="preserve"> header</w:t>
            </w:r>
            <w:r>
              <w:t>,</w:t>
            </w:r>
            <w:r w:rsidRPr="003069E4">
              <w:t xml:space="preserve"> and </w:t>
            </w:r>
            <w:r>
              <w:t xml:space="preserve">the </w:t>
            </w:r>
            <w:r w:rsidR="004A1C05">
              <w:t>‘</w:t>
            </w:r>
            <w:r w:rsidRPr="003069E4">
              <w:t>Other Payer</w:t>
            </w:r>
            <w:r w:rsidR="004A1C05">
              <w:t>’</w:t>
            </w:r>
            <w:r w:rsidRPr="003069E4">
              <w:t xml:space="preserve"> detail screens. The HELP screens are identified by a </w:t>
            </w:r>
            <w:r w:rsidR="004A1C05">
              <w:t>‘</w:t>
            </w:r>
            <w:r w:rsidRPr="003069E4">
              <w:t>?</w:t>
            </w:r>
            <w:r w:rsidR="004A1C05">
              <w:t>’</w:t>
            </w:r>
            <w:r w:rsidRPr="003069E4">
              <w:t xml:space="preserve"> and are located in the upper right-hand corner.</w:t>
            </w:r>
          </w:p>
        </w:tc>
      </w:tr>
      <w:tr w:rsidR="0067275B" w:rsidRPr="0067275B" w14:paraId="6099477A" w14:textId="77777777" w:rsidTr="00BC24BB">
        <w:trPr>
          <w:cantSplit/>
          <w:trHeight w:val="576"/>
        </w:trPr>
        <w:tc>
          <w:tcPr>
            <w:tcW w:w="990" w:type="dxa"/>
            <w:shd w:val="clear" w:color="F8CBAD" w:fill="F8CBAD"/>
            <w:noWrap/>
            <w:vAlign w:val="center"/>
          </w:tcPr>
          <w:p w14:paraId="26331829" w14:textId="77777777" w:rsidR="0067275B" w:rsidRPr="0067275B" w:rsidRDefault="0067275B" w:rsidP="0067275B">
            <w:pPr>
              <w:jc w:val="center"/>
              <w:rPr>
                <w:color w:val="000000"/>
              </w:rPr>
            </w:pPr>
            <w:r>
              <w:rPr>
                <w:color w:val="000000"/>
              </w:rPr>
              <w:t>3</w:t>
            </w:r>
          </w:p>
        </w:tc>
        <w:tc>
          <w:tcPr>
            <w:tcW w:w="9090" w:type="dxa"/>
            <w:shd w:val="clear" w:color="F8CBAD" w:fill="F8CBAD"/>
            <w:noWrap/>
          </w:tcPr>
          <w:p w14:paraId="1132B011" w14:textId="3023A941" w:rsidR="0067275B" w:rsidRPr="0067275B" w:rsidRDefault="0067275B" w:rsidP="0067275B">
            <w:pPr>
              <w:pStyle w:val="NoSpacing"/>
              <w:spacing w:before="160" w:line="320" w:lineRule="atLeast"/>
              <w:ind w:right="979"/>
            </w:pPr>
            <w:r w:rsidRPr="003069E4">
              <w:t xml:space="preserve">The </w:t>
            </w:r>
            <w:r w:rsidR="004A1C05">
              <w:t>‘</w:t>
            </w:r>
            <w:r w:rsidRPr="003069E4">
              <w:t>Other Payer</w:t>
            </w:r>
            <w:r w:rsidR="004A1C05">
              <w:t>’</w:t>
            </w:r>
            <w:r w:rsidRPr="003069E4">
              <w:t xml:space="preserve"> portion of the claim must be completed when reporting the Medicare Advantage/Part C plan payment</w:t>
            </w:r>
            <w:r>
              <w:t>.</w:t>
            </w:r>
          </w:p>
        </w:tc>
      </w:tr>
      <w:tr w:rsidR="0067275B" w:rsidRPr="0067275B" w14:paraId="19D6426B" w14:textId="77777777" w:rsidTr="00BC24BB">
        <w:trPr>
          <w:cantSplit/>
          <w:trHeight w:val="576"/>
        </w:trPr>
        <w:tc>
          <w:tcPr>
            <w:tcW w:w="990" w:type="dxa"/>
            <w:shd w:val="clear" w:color="FCE4D6" w:fill="FCE4D6"/>
            <w:vAlign w:val="center"/>
          </w:tcPr>
          <w:p w14:paraId="73580236" w14:textId="77777777" w:rsidR="0067275B" w:rsidRPr="0067275B" w:rsidRDefault="0067275B" w:rsidP="0067275B">
            <w:pPr>
              <w:jc w:val="center"/>
              <w:rPr>
                <w:color w:val="000000"/>
              </w:rPr>
            </w:pPr>
            <w:r>
              <w:rPr>
                <w:color w:val="000000"/>
              </w:rPr>
              <w:t>4</w:t>
            </w:r>
          </w:p>
        </w:tc>
        <w:tc>
          <w:tcPr>
            <w:tcW w:w="9090" w:type="dxa"/>
            <w:shd w:val="clear" w:color="FCE4D6" w:fill="FCE4D6"/>
            <w:noWrap/>
          </w:tcPr>
          <w:p w14:paraId="1259CB3B" w14:textId="37D36D72" w:rsidR="0067275B" w:rsidRPr="0067275B" w:rsidRDefault="0067275B" w:rsidP="0067275B">
            <w:pPr>
              <w:pStyle w:val="NoSpacing"/>
              <w:spacing w:before="160" w:line="320" w:lineRule="atLeast"/>
              <w:ind w:right="979"/>
            </w:pPr>
            <w:r w:rsidRPr="003069E4">
              <w:t xml:space="preserve">Providers should choose the </w:t>
            </w:r>
            <w:r w:rsidR="004A1C05">
              <w:t>‘</w:t>
            </w:r>
            <w:r w:rsidRPr="003069E4">
              <w:t>Health Maint Org Medicare Risk (16)</w:t>
            </w:r>
            <w:r w:rsidR="004A1C05">
              <w:t>’</w:t>
            </w:r>
            <w:r w:rsidRPr="003069E4">
              <w:t xml:space="preserve"> filing indicator from the drop</w:t>
            </w:r>
            <w:r>
              <w:t>-</w:t>
            </w:r>
            <w:r w:rsidRPr="003069E4">
              <w:t xml:space="preserve">down on the </w:t>
            </w:r>
            <w:r w:rsidR="004A1C05">
              <w:t>‘</w:t>
            </w:r>
            <w:r w:rsidRPr="003069E4">
              <w:t>Other Payer</w:t>
            </w:r>
            <w:r w:rsidR="004A1C05">
              <w:t>’</w:t>
            </w:r>
            <w:r w:rsidRPr="003069E4">
              <w:t xml:space="preserve"> portion of the claim when reporting the Medicare Advantage/Part C payment</w:t>
            </w:r>
            <w:r>
              <w:t>.</w:t>
            </w:r>
          </w:p>
        </w:tc>
      </w:tr>
      <w:tr w:rsidR="0067275B" w:rsidRPr="0067275B" w14:paraId="4E5660E0" w14:textId="77777777" w:rsidTr="00BC24BB">
        <w:trPr>
          <w:cantSplit/>
          <w:trHeight w:val="576"/>
        </w:trPr>
        <w:tc>
          <w:tcPr>
            <w:tcW w:w="990" w:type="dxa"/>
            <w:shd w:val="clear" w:color="F8CBAD" w:fill="F8CBAD"/>
            <w:vAlign w:val="center"/>
          </w:tcPr>
          <w:p w14:paraId="4BBECE40" w14:textId="77777777" w:rsidR="0067275B" w:rsidRPr="0067275B" w:rsidRDefault="0067275B" w:rsidP="0067275B">
            <w:pPr>
              <w:jc w:val="center"/>
              <w:rPr>
                <w:color w:val="000000"/>
              </w:rPr>
            </w:pPr>
            <w:r>
              <w:rPr>
                <w:color w:val="000000"/>
              </w:rPr>
              <w:t>5</w:t>
            </w:r>
          </w:p>
        </w:tc>
        <w:tc>
          <w:tcPr>
            <w:tcW w:w="9090" w:type="dxa"/>
            <w:shd w:val="clear" w:color="F8CBAD" w:fill="F8CBAD"/>
          </w:tcPr>
          <w:p w14:paraId="71FB3CBF" w14:textId="2240E173" w:rsidR="0067275B" w:rsidRPr="0067275B" w:rsidRDefault="0067275B" w:rsidP="0067275B">
            <w:pPr>
              <w:pStyle w:val="NoSpacing"/>
              <w:spacing w:before="160" w:line="320" w:lineRule="atLeast"/>
              <w:ind w:right="979"/>
            </w:pPr>
            <w:r w:rsidRPr="003069E4">
              <w:t xml:space="preserve">Select </w:t>
            </w:r>
            <w:r w:rsidR="004A1C05">
              <w:t>‘</w:t>
            </w:r>
            <w:r w:rsidRPr="003069E4">
              <w:t>pay at header level</w:t>
            </w:r>
            <w:r w:rsidR="004A1C05">
              <w:t>’</w:t>
            </w:r>
            <w:r w:rsidRPr="003069E4">
              <w:t xml:space="preserve"> when reporting the other payer information for Medicare Advantage/Part C institutional claims</w:t>
            </w:r>
            <w:r>
              <w:t>.</w:t>
            </w:r>
          </w:p>
        </w:tc>
      </w:tr>
      <w:tr w:rsidR="0067275B" w:rsidRPr="0067275B" w14:paraId="4BBF808E" w14:textId="77777777" w:rsidTr="00BC24BB">
        <w:trPr>
          <w:cantSplit/>
          <w:trHeight w:val="576"/>
        </w:trPr>
        <w:tc>
          <w:tcPr>
            <w:tcW w:w="990" w:type="dxa"/>
            <w:shd w:val="clear" w:color="FCE4D6" w:fill="FCE4D6"/>
            <w:vAlign w:val="center"/>
          </w:tcPr>
          <w:p w14:paraId="62CF4405" w14:textId="77777777" w:rsidR="0067275B" w:rsidRPr="0067275B" w:rsidRDefault="0067275B" w:rsidP="0067275B">
            <w:pPr>
              <w:jc w:val="center"/>
              <w:rPr>
                <w:color w:val="000000"/>
              </w:rPr>
            </w:pPr>
            <w:r>
              <w:rPr>
                <w:color w:val="000000"/>
              </w:rPr>
              <w:t>6</w:t>
            </w:r>
          </w:p>
        </w:tc>
        <w:tc>
          <w:tcPr>
            <w:tcW w:w="9090" w:type="dxa"/>
            <w:shd w:val="clear" w:color="FCE4D6" w:fill="FCE4D6"/>
            <w:noWrap/>
          </w:tcPr>
          <w:p w14:paraId="44715B11" w14:textId="3DF0A1AE" w:rsidR="0067275B" w:rsidRPr="0067275B" w:rsidRDefault="0067275B" w:rsidP="0067275B">
            <w:pPr>
              <w:pStyle w:val="NoSpacing"/>
              <w:spacing w:before="160" w:line="320" w:lineRule="atLeast"/>
              <w:ind w:right="979"/>
            </w:pPr>
            <w:r w:rsidRPr="003069E4">
              <w:t xml:space="preserve">The </w:t>
            </w:r>
            <w:r w:rsidR="004A1C05">
              <w:t>‘</w:t>
            </w:r>
            <w:r w:rsidRPr="003069E4">
              <w:t>Other Payer</w:t>
            </w:r>
            <w:r w:rsidR="004A1C05">
              <w:t>’</w:t>
            </w:r>
            <w:r w:rsidRPr="003069E4">
              <w:t xml:space="preserve"> header detail screen </w:t>
            </w:r>
            <w:r>
              <w:t>must</w:t>
            </w:r>
            <w:r w:rsidRPr="003069E4">
              <w:t xml:space="preserve"> be completed on Medicare Advantage/Part C outpatient and professional crossover claims. An </w:t>
            </w:r>
            <w:r w:rsidR="004A1C05">
              <w:t>‘</w:t>
            </w:r>
            <w:r w:rsidRPr="003069E4">
              <w:t>Other Payer</w:t>
            </w:r>
            <w:r w:rsidR="004A1C05">
              <w:t>’</w:t>
            </w:r>
            <w:r w:rsidRPr="003069E4">
              <w:t xml:space="preserve"> line detail screen </w:t>
            </w:r>
            <w:r>
              <w:t>for each claim detail line with group code, reason code, and adjustment amount information must be completed</w:t>
            </w:r>
            <w:r w:rsidRPr="003069E4">
              <w:t>.</w:t>
            </w:r>
          </w:p>
        </w:tc>
      </w:tr>
      <w:tr w:rsidR="0067275B" w:rsidRPr="0067275B" w14:paraId="0289E3E9" w14:textId="77777777" w:rsidTr="00BC24BB">
        <w:trPr>
          <w:cantSplit/>
          <w:trHeight w:val="576"/>
        </w:trPr>
        <w:tc>
          <w:tcPr>
            <w:tcW w:w="990" w:type="dxa"/>
            <w:shd w:val="clear" w:color="F8CBAD" w:fill="F8CBAD"/>
            <w:vAlign w:val="center"/>
          </w:tcPr>
          <w:p w14:paraId="0CB39836" w14:textId="77777777" w:rsidR="0067275B" w:rsidRPr="0067275B" w:rsidRDefault="0067275B" w:rsidP="0067275B">
            <w:pPr>
              <w:jc w:val="center"/>
              <w:rPr>
                <w:color w:val="000000"/>
              </w:rPr>
            </w:pPr>
            <w:r>
              <w:rPr>
                <w:color w:val="000000"/>
              </w:rPr>
              <w:t>7</w:t>
            </w:r>
          </w:p>
        </w:tc>
        <w:tc>
          <w:tcPr>
            <w:tcW w:w="9090" w:type="dxa"/>
            <w:shd w:val="clear" w:color="F8CBAD" w:fill="F8CBAD"/>
          </w:tcPr>
          <w:p w14:paraId="4249F90C" w14:textId="079E116F" w:rsidR="0067275B" w:rsidRDefault="0067275B" w:rsidP="0067275B">
            <w:pPr>
              <w:pStyle w:val="NoSpacing"/>
              <w:spacing w:before="160" w:line="320" w:lineRule="atLeast"/>
              <w:ind w:right="979"/>
            </w:pPr>
            <w:r w:rsidRPr="003069E4">
              <w:t xml:space="preserve">The appropriate code </w:t>
            </w:r>
            <w:r>
              <w:t xml:space="preserve">must be selected from the </w:t>
            </w:r>
            <w:r w:rsidR="004A1C05">
              <w:t>‘</w:t>
            </w:r>
            <w:r>
              <w:t>Group Code</w:t>
            </w:r>
            <w:r w:rsidR="004A1C05">
              <w:t>’</w:t>
            </w:r>
            <w:r>
              <w:t xml:space="preserve"> drop-down box on the </w:t>
            </w:r>
            <w:r w:rsidR="004A1C05">
              <w:t>‘</w:t>
            </w:r>
            <w:r>
              <w:t>Other Payer</w:t>
            </w:r>
            <w:r w:rsidR="004A1C05">
              <w:t>’</w:t>
            </w:r>
            <w:r>
              <w:t xml:space="preserve"> header and detail screens</w:t>
            </w:r>
            <w:r w:rsidRPr="003069E4">
              <w:t xml:space="preserve">. </w:t>
            </w:r>
          </w:p>
          <w:p w14:paraId="60E3142D" w14:textId="2CF43A51" w:rsidR="0067275B" w:rsidRPr="0067275B" w:rsidRDefault="0067275B" w:rsidP="0067275B">
            <w:pPr>
              <w:pStyle w:val="NoSpacing"/>
              <w:spacing w:before="160" w:line="320" w:lineRule="atLeast"/>
              <w:ind w:right="979"/>
            </w:pPr>
            <w:r w:rsidRPr="003069E4">
              <w:t xml:space="preserve">For example, the </w:t>
            </w:r>
            <w:r w:rsidR="004A1C05">
              <w:t>‘</w:t>
            </w:r>
            <w:r w:rsidRPr="003069E4">
              <w:t>PR</w:t>
            </w:r>
            <w:r w:rsidR="004A1C05">
              <w:t>’</w:t>
            </w:r>
            <w:r w:rsidRPr="003069E4">
              <w:t xml:space="preserve"> code (patient responsibility) is assigned for the cost-sharing amounts shown on the Medicare Advantage/Part C explanation of benefits.</w:t>
            </w:r>
          </w:p>
        </w:tc>
      </w:tr>
      <w:tr w:rsidR="0067275B" w:rsidRPr="0067275B" w14:paraId="26286481" w14:textId="77777777" w:rsidTr="00BC24BB">
        <w:trPr>
          <w:cantSplit/>
          <w:trHeight w:val="576"/>
        </w:trPr>
        <w:tc>
          <w:tcPr>
            <w:tcW w:w="990" w:type="dxa"/>
            <w:shd w:val="clear" w:color="FCE4D6" w:fill="FCE4D6"/>
            <w:vAlign w:val="center"/>
          </w:tcPr>
          <w:p w14:paraId="7EF901C9" w14:textId="77777777" w:rsidR="0067275B" w:rsidRPr="0067275B" w:rsidRDefault="0067275B" w:rsidP="0067275B">
            <w:pPr>
              <w:jc w:val="center"/>
              <w:rPr>
                <w:color w:val="000000"/>
              </w:rPr>
            </w:pPr>
            <w:r>
              <w:rPr>
                <w:color w:val="000000"/>
              </w:rPr>
              <w:t>8</w:t>
            </w:r>
          </w:p>
        </w:tc>
        <w:tc>
          <w:tcPr>
            <w:tcW w:w="9090" w:type="dxa"/>
            <w:shd w:val="clear" w:color="FCE4D6" w:fill="FCE4D6"/>
          </w:tcPr>
          <w:p w14:paraId="6203105F" w14:textId="36BA8161" w:rsidR="0067275B" w:rsidRPr="00E717B7" w:rsidRDefault="0067275B" w:rsidP="0067275B">
            <w:pPr>
              <w:pStyle w:val="NoSpacing"/>
              <w:spacing w:before="160" w:line="320" w:lineRule="atLeast"/>
              <w:ind w:right="979"/>
            </w:pPr>
            <w:r w:rsidRPr="00E717B7">
              <w:t xml:space="preserve">The codes to enter in the </w:t>
            </w:r>
            <w:r w:rsidR="004A1C05">
              <w:t>‘</w:t>
            </w:r>
            <w:r w:rsidRPr="00E717B7">
              <w:t>Reason Code</w:t>
            </w:r>
            <w:r w:rsidR="004A1C05">
              <w:t>’</w:t>
            </w:r>
            <w:r w:rsidRPr="00E717B7">
              <w:t xml:space="preserve"> field on the </w:t>
            </w:r>
            <w:r w:rsidR="004A1C05">
              <w:t>‘</w:t>
            </w:r>
            <w:r w:rsidRPr="00E717B7">
              <w:t>Other Payer</w:t>
            </w:r>
            <w:r w:rsidR="004A1C05">
              <w:t>’</w:t>
            </w:r>
            <w:r w:rsidRPr="00E717B7">
              <w:t xml:space="preserve"> header and detail screens are found on the Medicare Advantage/Part C Plan explanation of benefits. If no codes are listed, choose the most appropriate code from the </w:t>
            </w:r>
            <w:r w:rsidR="004A1C05">
              <w:t>‘</w:t>
            </w:r>
            <w:r w:rsidRPr="00E717B7">
              <w:t>Claim Adjustment Reason Codes</w:t>
            </w:r>
            <w:r w:rsidR="004A1C05">
              <w:t>’</w:t>
            </w:r>
            <w:r w:rsidRPr="00E717B7">
              <w:t xml:space="preserve"> list on the </w:t>
            </w:r>
            <w:hyperlink r:id="rId27" w:history="1">
              <w:r w:rsidRPr="004A1C05">
                <w:rPr>
                  <w:rStyle w:val="Hyperlink"/>
                </w:rPr>
                <w:t>Washington Publishing Company's website</w:t>
              </w:r>
            </w:hyperlink>
            <w:r w:rsidRPr="00E717B7">
              <w:t xml:space="preserve">. </w:t>
            </w:r>
          </w:p>
          <w:p w14:paraId="31C6794E" w14:textId="41E97EB8" w:rsidR="0067275B" w:rsidRPr="0067275B" w:rsidRDefault="0067275B" w:rsidP="0067275B">
            <w:pPr>
              <w:pStyle w:val="NoSpacing"/>
              <w:spacing w:before="160" w:line="320" w:lineRule="atLeast"/>
              <w:ind w:right="979"/>
            </w:pPr>
            <w:r w:rsidRPr="003069E4">
              <w:t xml:space="preserve">For example, enter </w:t>
            </w:r>
            <w:r w:rsidR="004A1C05">
              <w:t>‘</w:t>
            </w:r>
            <w:r w:rsidRPr="003069E4">
              <w:t>Reason Code</w:t>
            </w:r>
            <w:r w:rsidR="004A1C05">
              <w:t>’</w:t>
            </w:r>
            <w:r w:rsidRPr="003069E4">
              <w:t xml:space="preserve"> of </w:t>
            </w:r>
            <w:r w:rsidR="004A1C05">
              <w:t>‘</w:t>
            </w:r>
            <w:r w:rsidRPr="003069E4">
              <w:t>1</w:t>
            </w:r>
            <w:r w:rsidR="004A1C05">
              <w:t>’</w:t>
            </w:r>
            <w:r w:rsidRPr="003069E4">
              <w:t xml:space="preserve"> for deductible amounts, </w:t>
            </w:r>
            <w:r w:rsidR="004A1C05">
              <w:t>‘</w:t>
            </w:r>
            <w:r w:rsidRPr="003069E4">
              <w:t>2</w:t>
            </w:r>
            <w:r w:rsidR="004A1C05">
              <w:t>’</w:t>
            </w:r>
            <w:r w:rsidRPr="003069E4">
              <w:t xml:space="preserve"> for coinsurance amounts</w:t>
            </w:r>
            <w:r>
              <w:t>,</w:t>
            </w:r>
            <w:r w:rsidRPr="003069E4">
              <w:t xml:space="preserve"> and </w:t>
            </w:r>
            <w:r w:rsidR="004A1C05">
              <w:t>‘</w:t>
            </w:r>
            <w:r w:rsidRPr="003069E4">
              <w:t>3</w:t>
            </w:r>
            <w:r w:rsidR="004A1C05">
              <w:t>’</w:t>
            </w:r>
            <w:r w:rsidRPr="003069E4">
              <w:t xml:space="preserve"> for co-payment amounts.</w:t>
            </w:r>
          </w:p>
        </w:tc>
      </w:tr>
    </w:tbl>
    <w:p w14:paraId="52D2BD40" w14:textId="717C6DAB" w:rsidR="007A6195" w:rsidRPr="00647928" w:rsidRDefault="007A6195" w:rsidP="00275867">
      <w:pPr>
        <w:pStyle w:val="Heading4"/>
      </w:pPr>
      <w:bookmarkStart w:id="19" w:name="_Toc322590266"/>
      <w:bookmarkStart w:id="20" w:name="_Toc210124683"/>
      <w:bookmarkStart w:id="21" w:name="_Toc225163671"/>
      <w:r w:rsidRPr="00647928">
        <w:t>M</w:t>
      </w:r>
      <w:r w:rsidR="0066679D" w:rsidRPr="00647928">
        <w:t>edicare</w:t>
      </w:r>
      <w:r w:rsidRPr="00647928">
        <w:t xml:space="preserve"> P</w:t>
      </w:r>
      <w:r w:rsidR="0066679D" w:rsidRPr="00647928">
        <w:t>art</w:t>
      </w:r>
      <w:r w:rsidRPr="00647928">
        <w:t xml:space="preserve"> C C</w:t>
      </w:r>
      <w:r w:rsidR="0066679D" w:rsidRPr="00647928">
        <w:t>oordination</w:t>
      </w:r>
      <w:r w:rsidRPr="00647928">
        <w:t xml:space="preserve"> </w:t>
      </w:r>
      <w:r w:rsidR="0066679D" w:rsidRPr="00647928">
        <w:t>of</w:t>
      </w:r>
      <w:r w:rsidRPr="00647928">
        <w:t xml:space="preserve"> B</w:t>
      </w:r>
      <w:r w:rsidR="0066679D" w:rsidRPr="00647928">
        <w:t>enefits</w:t>
      </w:r>
      <w:r w:rsidRPr="00647928">
        <w:t xml:space="preserve"> </w:t>
      </w:r>
      <w:r w:rsidR="0066679D" w:rsidRPr="00647928">
        <w:t>for</w:t>
      </w:r>
      <w:r w:rsidRPr="00647928">
        <w:t xml:space="preserve"> N</w:t>
      </w:r>
      <w:r w:rsidR="0066679D" w:rsidRPr="00647928">
        <w:t>on</w:t>
      </w:r>
      <w:r w:rsidRPr="00647928">
        <w:t>-Q</w:t>
      </w:r>
      <w:r w:rsidR="00590A9D" w:rsidRPr="00647928">
        <w:t>ualified Medicare Beneficiary</w:t>
      </w:r>
      <w:r w:rsidRPr="00647928">
        <w:t xml:space="preserve"> P</w:t>
      </w:r>
      <w:r w:rsidR="0066679D" w:rsidRPr="00647928">
        <w:t>articipants</w:t>
      </w:r>
      <w:bookmarkEnd w:id="19"/>
      <w:bookmarkEnd w:id="20"/>
      <w:bookmarkEnd w:id="21"/>
    </w:p>
    <w:p w14:paraId="338CE982" w14:textId="724DBCBF" w:rsidR="00BD6B8C" w:rsidRDefault="007A6195" w:rsidP="00C72DA1">
      <w:pPr>
        <w:pStyle w:val="NoSpacing"/>
        <w:spacing w:before="160" w:line="320" w:lineRule="atLeast"/>
      </w:pPr>
      <w:r w:rsidRPr="00BD6B8C">
        <w:t xml:space="preserve">For </w:t>
      </w:r>
      <w:r w:rsidR="00C05D35">
        <w:t>n</w:t>
      </w:r>
      <w:r w:rsidRPr="00BD6B8C">
        <w:t>on-QMB MO HealthNet participants enrolled with a Medicare Advantage/Part C Plan, M</w:t>
      </w:r>
      <w:r w:rsidR="0067275B">
        <w:t>HD</w:t>
      </w:r>
      <w:r w:rsidRPr="00BD6B8C">
        <w:t xml:space="preserve"> process</w:t>
      </w:r>
      <w:r w:rsidR="00902A40" w:rsidRPr="00BD6B8C">
        <w:t>es</w:t>
      </w:r>
      <w:r w:rsidRPr="00BD6B8C">
        <w:t xml:space="preserve"> claims in accordance with the established </w:t>
      </w:r>
      <w:r w:rsidR="005F36A5" w:rsidRPr="00BD6B8C">
        <w:t xml:space="preserve">MO HealthNet </w:t>
      </w:r>
      <w:r w:rsidRPr="00BD6B8C">
        <w:t>coordination of benefits policy</w:t>
      </w:r>
      <w:r w:rsidR="00C05D35">
        <w:t xml:space="preserve"> described in this section</w:t>
      </w:r>
      <w:r w:rsidRPr="00BD6B8C">
        <w:t xml:space="preserve">. </w:t>
      </w:r>
      <w:r w:rsidR="00902A40" w:rsidRPr="00BD6B8C">
        <w:t>T</w:t>
      </w:r>
      <w:r w:rsidRPr="00BD6B8C">
        <w:t>he amount paid by M</w:t>
      </w:r>
      <w:r w:rsidR="0067275B">
        <w:t>HD</w:t>
      </w:r>
      <w:r w:rsidRPr="00BD6B8C">
        <w:t xml:space="preserve"> is the difference between the M</w:t>
      </w:r>
      <w:r w:rsidR="0067275B">
        <w:t>HD</w:t>
      </w:r>
      <w:r w:rsidRPr="00BD6B8C">
        <w:t xml:space="preserve"> allowable amount and the amount paid by the </w:t>
      </w:r>
      <w:r w:rsidR="00590A9D" w:rsidRPr="00BD6B8C">
        <w:t>T</w:t>
      </w:r>
      <w:r w:rsidRPr="00BD6B8C">
        <w:t xml:space="preserve">hird </w:t>
      </w:r>
      <w:r w:rsidR="00590A9D" w:rsidRPr="00BD6B8C">
        <w:t>P</w:t>
      </w:r>
      <w:r w:rsidRPr="00BD6B8C">
        <w:t xml:space="preserve">arty </w:t>
      </w:r>
      <w:r w:rsidR="00590A9D" w:rsidRPr="00BD6B8C">
        <w:t>R</w:t>
      </w:r>
      <w:r w:rsidRPr="00BD6B8C">
        <w:t xml:space="preserve">esource (TPR). Claims should be filed using the appropriate claim format (i.e., CMS-1500, UB-04). </w:t>
      </w:r>
      <w:r w:rsidR="00C05D35">
        <w:t xml:space="preserve">Providers should </w:t>
      </w:r>
      <w:r w:rsidR="0093490A" w:rsidRPr="00BD6B8C">
        <w:t>use the “16”</w:t>
      </w:r>
      <w:r w:rsidR="00E124D5" w:rsidRPr="00BD6B8C">
        <w:t xml:space="preserve"> (Health Maintenance Org Medicare Risk)</w:t>
      </w:r>
      <w:r w:rsidR="0093490A" w:rsidRPr="00BD6B8C">
        <w:t xml:space="preserve"> indicator when reporting Part C non</w:t>
      </w:r>
      <w:r w:rsidR="00590A9D" w:rsidRPr="00BD6B8C">
        <w:t>-</w:t>
      </w:r>
      <w:r w:rsidR="0093490A" w:rsidRPr="00BD6B8C">
        <w:t xml:space="preserve">QMB payments. </w:t>
      </w:r>
      <w:r w:rsidRPr="00BD6B8C">
        <w:t>Do not use a crossover claim.</w:t>
      </w:r>
      <w:r w:rsidR="00BD6B8C" w:rsidRPr="00BD6B8C">
        <w:t xml:space="preserve"> </w:t>
      </w:r>
    </w:p>
    <w:p w14:paraId="3F336F28" w14:textId="2EAF72F0" w:rsidR="00BD6B8C" w:rsidRDefault="00BD6B8C" w:rsidP="00C72DA1">
      <w:pPr>
        <w:pStyle w:val="NoSpacing"/>
        <w:spacing w:before="160" w:line="320" w:lineRule="atLeast"/>
      </w:pPr>
      <w:r w:rsidRPr="00BD6B8C">
        <w:t xml:space="preserve">Providers </w:t>
      </w:r>
      <w:r w:rsidR="004B7F61">
        <w:t>must</w:t>
      </w:r>
      <w:r w:rsidRPr="00BD6B8C">
        <w:t xml:space="preserve"> adhere to MO HealthNet’s precertification, prior authorization (PA)</w:t>
      </w:r>
      <w:r w:rsidR="004B7F61">
        <w:t>,</w:t>
      </w:r>
      <w:r w:rsidRPr="00BD6B8C">
        <w:t xml:space="preserve"> or other program requirements when </w:t>
      </w:r>
      <w:r>
        <w:t>the participant has Medicaid and Medicare Part C non</w:t>
      </w:r>
      <w:r w:rsidR="00C05D35">
        <w:t>-</w:t>
      </w:r>
      <w:r>
        <w:t>QMB cover</w:t>
      </w:r>
      <w:r w:rsidR="00C05D35">
        <w:t>a</w:t>
      </w:r>
      <w:r>
        <w:t xml:space="preserve">ge. </w:t>
      </w:r>
      <w:r w:rsidRPr="00BD6B8C">
        <w:t xml:space="preserve"> </w:t>
      </w:r>
    </w:p>
    <w:p w14:paraId="69BFD636" w14:textId="521DCA5F" w:rsidR="00426A78" w:rsidRDefault="00426A78" w:rsidP="00C72DA1">
      <w:pPr>
        <w:pStyle w:val="NoSpacing"/>
        <w:spacing w:before="160" w:line="320" w:lineRule="atLeast"/>
      </w:pPr>
      <w:r w:rsidRPr="00BD6B8C">
        <w:t>M</w:t>
      </w:r>
      <w:r w:rsidR="0067275B">
        <w:t>HD</w:t>
      </w:r>
      <w:r w:rsidRPr="00BD6B8C">
        <w:t xml:space="preserve"> is the payer of last resort. M</w:t>
      </w:r>
      <w:r w:rsidR="0067275B">
        <w:t>HD</w:t>
      </w:r>
      <w:r w:rsidRPr="00BD6B8C">
        <w:t xml:space="preserve"> funds are used after all other potential resources available to pay for the medical service have been exhausted. The intent of requiring M</w:t>
      </w:r>
      <w:r w:rsidR="0067275B">
        <w:t>HD</w:t>
      </w:r>
      <w:r w:rsidRPr="00BD6B8C">
        <w:t xml:space="preserve"> to be </w:t>
      </w:r>
      <w:r w:rsidR="004B7F61">
        <w:t xml:space="preserve">the </w:t>
      </w:r>
      <w:r w:rsidRPr="00BD6B8C">
        <w:t>payer of last resort is to ensure that tax dollars are not expended when another liable party is responsible for all or a portion of the medical service charge. It is to the provider’s benefit to bill the liable TPR before billing M</w:t>
      </w:r>
      <w:r w:rsidR="0067275B">
        <w:t>HD</w:t>
      </w:r>
      <w:r w:rsidRPr="00BD6B8C">
        <w:t xml:space="preserve"> because many resources pay in excess of the maximum M</w:t>
      </w:r>
      <w:r w:rsidR="0067275B">
        <w:t>HD</w:t>
      </w:r>
      <w:r w:rsidRPr="00BD6B8C">
        <w:t xml:space="preserve"> allowable</w:t>
      </w:r>
      <w:r w:rsidR="00663D9E">
        <w:t xml:space="preserve"> amount</w:t>
      </w:r>
      <w:r w:rsidRPr="00BD6B8C">
        <w:t xml:space="preserve">. </w:t>
      </w:r>
    </w:p>
    <w:p w14:paraId="7F89C508" w14:textId="5BE96E29" w:rsidR="00426A78" w:rsidRPr="00CF5E77" w:rsidRDefault="00426A78" w:rsidP="000870A9">
      <w:r w:rsidRPr="00CF5E77">
        <w:t>Federal and state regulations require that insurance benefits or amounts resulting from litigation are to be utilized as the first source of payment for medical expenses incurred by MO HealthNet participants. See</w:t>
      </w:r>
      <w:r w:rsidRPr="00F22869">
        <w:t xml:space="preserve"> </w:t>
      </w:r>
      <w:hyperlink r:id="rId28" w:history="1">
        <w:r w:rsidRPr="00275867">
          <w:rPr>
            <w:rStyle w:val="Hyperlink"/>
          </w:rPr>
          <w:t>42 CFR 433 subpart D</w:t>
        </w:r>
      </w:hyperlink>
      <w:r w:rsidRPr="004C2A16">
        <w:rPr>
          <w:color w:val="F79646" w:themeColor="accent6"/>
        </w:rPr>
        <w:t xml:space="preserve"> </w:t>
      </w:r>
      <w:r w:rsidRPr="00CF5E77">
        <w:t xml:space="preserve">and </w:t>
      </w:r>
      <w:hyperlink r:id="rId29" w:history="1">
        <w:r w:rsidR="00517AAD" w:rsidRPr="00275867">
          <w:rPr>
            <w:rStyle w:val="Hyperlink"/>
            <w:rFonts w:eastAsiaTheme="majorEastAsia"/>
          </w:rPr>
          <w:t>RSMo 208.215</w:t>
        </w:r>
      </w:hyperlink>
      <w:r w:rsidR="00517AAD" w:rsidRPr="00CF5E77">
        <w:t xml:space="preserve"> </w:t>
      </w:r>
      <w:r w:rsidRPr="00CF5E77">
        <w:t>for further reference. M</w:t>
      </w:r>
      <w:r w:rsidR="0067275B" w:rsidRPr="00CF5E77">
        <w:t>HD</w:t>
      </w:r>
      <w:r w:rsidRPr="00CF5E77">
        <w:t xml:space="preserve"> does not and should not pay a claim for medical expenses until the provider submits documentation that all available </w:t>
      </w:r>
      <w:r w:rsidR="00663D9E" w:rsidRPr="00CF5E77">
        <w:t>TPRs</w:t>
      </w:r>
      <w:r w:rsidRPr="00CF5E77">
        <w:t xml:space="preserve"> have considered the claim for payment.</w:t>
      </w:r>
      <w:r w:rsidR="00517AAD" w:rsidRPr="00CF5E77" w:rsidDel="00517AAD">
        <w:t xml:space="preserve"> </w:t>
      </w:r>
    </w:p>
    <w:p w14:paraId="3314E27F" w14:textId="3C295BFE" w:rsidR="00BD6B8C" w:rsidRDefault="00426A78" w:rsidP="000870A9">
      <w:r w:rsidRPr="000870A9">
        <w:t xml:space="preserve">All TPR benefits for MO </w:t>
      </w:r>
      <w:r w:rsidR="004B7F61" w:rsidRPr="000870A9">
        <w:t>HealthNet</w:t>
      </w:r>
      <w:r w:rsidR="004B7F61">
        <w:t>-</w:t>
      </w:r>
      <w:r w:rsidRPr="000870A9">
        <w:t>covered services must be applied against the provider’s charges. These benefits must be indicated on the claim submitted to M</w:t>
      </w:r>
      <w:r w:rsidR="0067275B">
        <w:t>HD</w:t>
      </w:r>
      <w:r w:rsidRPr="000870A9">
        <w:t>. Subsequently, the amount paid by M</w:t>
      </w:r>
      <w:r w:rsidR="0067275B">
        <w:t>HD</w:t>
      </w:r>
      <w:r w:rsidRPr="000870A9">
        <w:t xml:space="preserve"> is the difference between the M</w:t>
      </w:r>
      <w:r w:rsidR="0067275B">
        <w:t>HD</w:t>
      </w:r>
      <w:r w:rsidRPr="000870A9">
        <w:t xml:space="preserve"> allowable and the TPR benefit amount, capping the payment at the M</w:t>
      </w:r>
      <w:r w:rsidR="0067275B">
        <w:t>HD</w:t>
      </w:r>
      <w:r w:rsidRPr="000870A9">
        <w:t xml:space="preserve"> allowable. </w:t>
      </w:r>
    </w:p>
    <w:p w14:paraId="6358C7EE" w14:textId="055B5086" w:rsidR="00426A78" w:rsidRPr="00E717B7" w:rsidRDefault="00E717B7" w:rsidP="000870A9">
      <w:r w:rsidRPr="00E717B7">
        <w:rPr>
          <w:b/>
          <w:bCs/>
          <w:i/>
          <w:iCs/>
        </w:rPr>
        <w:t>Example:</w:t>
      </w:r>
      <w:r w:rsidR="00426A78" w:rsidRPr="00E717B7">
        <w:t xml:space="preserve"> a provider submits a charge </w:t>
      </w:r>
      <w:r w:rsidR="004B7F61" w:rsidRPr="00E717B7">
        <w:t xml:space="preserve">of </w:t>
      </w:r>
      <w:r w:rsidR="00426A78" w:rsidRPr="00E717B7">
        <w:t xml:space="preserve">$100 to </w:t>
      </w:r>
      <w:r w:rsidR="0067275B" w:rsidRPr="00E717B7">
        <w:t>MHD</w:t>
      </w:r>
      <w:r w:rsidR="004B7F61" w:rsidRPr="00E717B7">
        <w:t>,</w:t>
      </w:r>
      <w:r w:rsidR="00426A78" w:rsidRPr="00E717B7">
        <w:t xml:space="preserve"> for which the M</w:t>
      </w:r>
      <w:r w:rsidR="0067275B" w:rsidRPr="00E717B7">
        <w:t>HD</w:t>
      </w:r>
      <w:r w:rsidR="00426A78" w:rsidRPr="00E717B7">
        <w:t xml:space="preserve"> allowable is $80. The provider received $75 from the TPR. The amount M</w:t>
      </w:r>
      <w:r w:rsidR="0067275B" w:rsidRPr="00E717B7">
        <w:t>HD</w:t>
      </w:r>
      <w:r w:rsidR="00426A78" w:rsidRPr="00E717B7">
        <w:t xml:space="preserve"> pays is the difference between the M</w:t>
      </w:r>
      <w:r w:rsidR="0067275B" w:rsidRPr="00E717B7">
        <w:t>HD</w:t>
      </w:r>
      <w:r w:rsidR="00426A78" w:rsidRPr="00E717B7">
        <w:t xml:space="preserve"> allowable ($80) and the TPR payment ($75) or $5.</w:t>
      </w:r>
    </w:p>
    <w:p w14:paraId="5FFAD165" w14:textId="156EDAD7" w:rsidR="007A6195" w:rsidRPr="006D1B03" w:rsidRDefault="00F914ED" w:rsidP="00275867">
      <w:pPr>
        <w:pStyle w:val="Heading3"/>
      </w:pPr>
      <w:bookmarkStart w:id="22" w:name="_Toc322590267"/>
      <w:bookmarkStart w:id="23" w:name="_Toc210124684"/>
      <w:bookmarkStart w:id="24" w:name="_Toc225163672"/>
      <w:r w:rsidRPr="006D1B03">
        <w:t>1.4</w:t>
      </w:r>
      <w:r w:rsidR="009F27BA" w:rsidRPr="006D1B03">
        <w:tab/>
      </w:r>
      <w:r w:rsidR="007A6195" w:rsidRPr="006D1B03">
        <w:t>T</w:t>
      </w:r>
      <w:r w:rsidR="0066679D" w:rsidRPr="006D1B03">
        <w:t>imely</w:t>
      </w:r>
      <w:r w:rsidR="007A6195" w:rsidRPr="006D1B03">
        <w:t xml:space="preserve"> F</w:t>
      </w:r>
      <w:r w:rsidR="0066679D" w:rsidRPr="006D1B03">
        <w:t>iling</w:t>
      </w:r>
      <w:bookmarkEnd w:id="22"/>
      <w:bookmarkEnd w:id="23"/>
      <w:bookmarkEnd w:id="24"/>
    </w:p>
    <w:p w14:paraId="29506B17" w14:textId="35AF41BF" w:rsidR="00B24B67" w:rsidRPr="00CF5E77" w:rsidRDefault="001F2F6E">
      <w:r w:rsidRPr="00CF5E77">
        <w:t>To meet the timely filing requirement</w:t>
      </w:r>
      <w:r w:rsidR="00DB6DE8" w:rsidRPr="00CF5E77">
        <w:t>s</w:t>
      </w:r>
      <w:r w:rsidRPr="00CF5E77">
        <w:t xml:space="preserve">, claims must be submitted by the provider and received by </w:t>
      </w:r>
      <w:r w:rsidR="00F94323" w:rsidRPr="00CF5E77">
        <w:t>MHD</w:t>
      </w:r>
      <w:r w:rsidRPr="00CF5E77">
        <w:t xml:space="preserve"> within six</w:t>
      </w:r>
      <w:r w:rsidR="000E4478" w:rsidRPr="00CF5E77">
        <w:t xml:space="preserve"> (6)</w:t>
      </w:r>
      <w:r w:rsidRPr="00CF5E77">
        <w:t xml:space="preserve"> month</w:t>
      </w:r>
      <w:r w:rsidR="000B6108" w:rsidRPr="00CF5E77">
        <w:t>s</w:t>
      </w:r>
      <w:r w:rsidRPr="00CF5E77">
        <w:t xml:space="preserve"> of the dat</w:t>
      </w:r>
      <w:r w:rsidR="00DB6DE8" w:rsidRPr="00CF5E77">
        <w:t>e of the allowed Medicare RA/EO</w:t>
      </w:r>
      <w:r w:rsidRPr="00CF5E77">
        <w:t>B or one (1) year from the date of service</w:t>
      </w:r>
      <w:r w:rsidR="00663D9E" w:rsidRPr="00CF5E77">
        <w:t xml:space="preserve"> (DOS)</w:t>
      </w:r>
      <w:r w:rsidRPr="00CF5E77">
        <w:t xml:space="preserve">. </w:t>
      </w:r>
      <w:r w:rsidR="007A6195" w:rsidRPr="00CF5E77">
        <w:t xml:space="preserve">Claims that have been filed within the Medicare timely filing requirements and are </w:t>
      </w:r>
      <w:r w:rsidR="00AB3545" w:rsidRPr="00CF5E77">
        <w:t xml:space="preserve">either </w:t>
      </w:r>
      <w:r w:rsidR="007A6195" w:rsidRPr="00CF5E77">
        <w:t>submitted as a crossover through an 837 electronic claim transaction or</w:t>
      </w:r>
      <w:r w:rsidR="0067275B" w:rsidRPr="00CF5E77">
        <w:t xml:space="preserve"> in</w:t>
      </w:r>
      <w:r w:rsidR="007A6195" w:rsidRPr="00CF5E77">
        <w:t xml:space="preserve"> </w:t>
      </w:r>
      <w:hyperlink r:id="rId30" w:history="1">
        <w:r w:rsidR="00A64500" w:rsidRPr="00275867">
          <w:rPr>
            <w:rStyle w:val="Hyperlink"/>
            <w:rFonts w:eastAsiaTheme="majorEastAsia"/>
          </w:rPr>
          <w:t>eMOMED</w:t>
        </w:r>
      </w:hyperlink>
      <w:r w:rsidR="000E4478" w:rsidRPr="00CF5E77">
        <w:t xml:space="preserve">, </w:t>
      </w:r>
      <w:r w:rsidR="007A6195" w:rsidRPr="00CF5E77">
        <w:t>meet the timely filing requirement</w:t>
      </w:r>
      <w:r w:rsidRPr="00CF5E77">
        <w:t>.</w:t>
      </w:r>
      <w:r w:rsidR="007A6195" w:rsidRPr="00CF5E77">
        <w:t xml:space="preserve"> </w:t>
      </w:r>
      <w:r w:rsidR="00B24B67" w:rsidRPr="00CF5E77">
        <w:t xml:space="preserve">Refer to the </w:t>
      </w:r>
      <w:hyperlink r:id="rId31" w:history="1">
        <w:r w:rsidR="00B24B67" w:rsidRPr="00275867">
          <w:rPr>
            <w:rStyle w:val="Hyperlink"/>
            <w:rFonts w:eastAsiaTheme="majorEastAsia"/>
          </w:rPr>
          <w:t>General Sections Manual</w:t>
        </w:r>
      </w:hyperlink>
      <w:r w:rsidR="00B24B67" w:rsidRPr="00CF5E77">
        <w:rPr>
          <w:color w:val="163E64"/>
        </w:rPr>
        <w:t xml:space="preserve"> </w:t>
      </w:r>
      <w:r w:rsidR="00B24B67" w:rsidRPr="00CF5E77">
        <w:t xml:space="preserve">for </w:t>
      </w:r>
      <w:r w:rsidR="0067275B" w:rsidRPr="00CF5E77">
        <w:t xml:space="preserve">more information </w:t>
      </w:r>
      <w:r w:rsidR="00B24B67" w:rsidRPr="00CF5E77">
        <w:t>regarding timely filing.</w:t>
      </w:r>
    </w:p>
    <w:p w14:paraId="7CD735C7" w14:textId="042D24D7" w:rsidR="00F94B2F" w:rsidRPr="006D1B03" w:rsidRDefault="00AA400E" w:rsidP="00275867">
      <w:pPr>
        <w:pStyle w:val="Heading4"/>
      </w:pPr>
      <w:bookmarkStart w:id="25" w:name="_Toc210124685"/>
      <w:bookmarkStart w:id="26" w:name="_Toc225163673"/>
      <w:r w:rsidRPr="006D1B03">
        <w:t>MO H</w:t>
      </w:r>
      <w:r w:rsidR="0066679D" w:rsidRPr="006D1B03">
        <w:t>ealthNet</w:t>
      </w:r>
      <w:r w:rsidRPr="006D1B03">
        <w:t xml:space="preserve"> C</w:t>
      </w:r>
      <w:r w:rsidR="0066679D" w:rsidRPr="006D1B03">
        <w:t>laims</w:t>
      </w:r>
      <w:bookmarkEnd w:id="25"/>
      <w:bookmarkEnd w:id="26"/>
    </w:p>
    <w:p w14:paraId="673715E4" w14:textId="713D2884" w:rsidR="00F94B2F" w:rsidRPr="00E717B7" w:rsidRDefault="00AA400E" w:rsidP="00C72DA1">
      <w:r w:rsidRPr="00E717B7">
        <w:t>Claims from participating providers who request M</w:t>
      </w:r>
      <w:r w:rsidR="0067275B" w:rsidRPr="00E717B7">
        <w:t>HD</w:t>
      </w:r>
      <w:r w:rsidRPr="00E717B7">
        <w:t xml:space="preserve"> reimbursement must be filed</w:t>
      </w:r>
      <w:r w:rsidR="00F94B2F" w:rsidRPr="00E717B7">
        <w:t xml:space="preserve"> </w:t>
      </w:r>
      <w:r w:rsidRPr="00E717B7">
        <w:t xml:space="preserve">by the provider and received by the state agency within 12 months from the </w:t>
      </w:r>
      <w:r w:rsidR="00663D9E" w:rsidRPr="00E717B7">
        <w:t>DOS</w:t>
      </w:r>
      <w:r w:rsidRPr="00E717B7">
        <w:t xml:space="preserve">. </w:t>
      </w:r>
      <w:r w:rsidR="004B7F61" w:rsidRPr="00E717B7">
        <w:t>Counting</w:t>
      </w:r>
      <w:r w:rsidRPr="00E717B7">
        <w:t xml:space="preserve"> the 12-month time limit begins with the </w:t>
      </w:r>
      <w:r w:rsidR="00663D9E" w:rsidRPr="00E717B7">
        <w:t>DOS</w:t>
      </w:r>
      <w:r w:rsidRPr="00E717B7">
        <w:t xml:space="preserve"> and ends</w:t>
      </w:r>
      <w:r w:rsidR="00F94B2F" w:rsidRPr="00E717B7">
        <w:t xml:space="preserve"> </w:t>
      </w:r>
      <w:r w:rsidRPr="00E717B7">
        <w:t xml:space="preserve">with the date of receipt. </w:t>
      </w:r>
    </w:p>
    <w:p w14:paraId="5908BAF6" w14:textId="132CCA1A" w:rsidR="00F94B2F" w:rsidRPr="006D1B03" w:rsidRDefault="00AA400E" w:rsidP="00275867">
      <w:pPr>
        <w:pStyle w:val="Heading4"/>
      </w:pPr>
      <w:bookmarkStart w:id="27" w:name="_Toc210124686"/>
      <w:bookmarkStart w:id="28" w:name="_Toc225163674"/>
      <w:r w:rsidRPr="006D1B03">
        <w:t>M</w:t>
      </w:r>
      <w:r w:rsidR="0066679D" w:rsidRPr="006D1B03">
        <w:t>edicare</w:t>
      </w:r>
      <w:r w:rsidRPr="006D1B03">
        <w:t>/MO H</w:t>
      </w:r>
      <w:r w:rsidR="0066679D" w:rsidRPr="006D1B03">
        <w:t>ealthNet</w:t>
      </w:r>
      <w:r w:rsidRPr="006D1B03">
        <w:t xml:space="preserve"> C</w:t>
      </w:r>
      <w:r w:rsidR="0066679D" w:rsidRPr="006D1B03">
        <w:t>laims</w:t>
      </w:r>
      <w:bookmarkEnd w:id="27"/>
      <w:bookmarkEnd w:id="28"/>
    </w:p>
    <w:p w14:paraId="3EF94576" w14:textId="76E8B320" w:rsidR="00AA400E" w:rsidRPr="00802A0E" w:rsidRDefault="00AA400E" w:rsidP="00C72DA1">
      <w:r w:rsidRPr="00802A0E">
        <w:t>Claims that initially have been filed with Medicare within the Medicare timely filing</w:t>
      </w:r>
      <w:r w:rsidR="00F94B2F" w:rsidRPr="00802A0E">
        <w:t xml:space="preserve"> </w:t>
      </w:r>
      <w:r w:rsidRPr="00802A0E">
        <w:t>requirement and that require separate filing of a claim with</w:t>
      </w:r>
      <w:r w:rsidR="00F94B2F" w:rsidRPr="00802A0E">
        <w:t xml:space="preserve"> MHD meet the timely filing </w:t>
      </w:r>
      <w:r w:rsidRPr="00802A0E">
        <w:t>requirement by being submitted by the provider and received by the state agency wit</w:t>
      </w:r>
      <w:r w:rsidR="00F94B2F" w:rsidRPr="00802A0E">
        <w:t>hin 12</w:t>
      </w:r>
      <w:r w:rsidR="000000E5" w:rsidRPr="00802A0E">
        <w:t xml:space="preserve"> </w:t>
      </w:r>
      <w:r w:rsidRPr="00802A0E">
        <w:t xml:space="preserve">months from the </w:t>
      </w:r>
      <w:r w:rsidR="00663D9E" w:rsidRPr="00802A0E">
        <w:t>DOS</w:t>
      </w:r>
      <w:r w:rsidRPr="00802A0E">
        <w:t xml:space="preserve"> or</w:t>
      </w:r>
      <w:r w:rsidR="000000E5" w:rsidRPr="00802A0E">
        <w:t xml:space="preserve"> six</w:t>
      </w:r>
      <w:r w:rsidRPr="00802A0E">
        <w:t xml:space="preserve"> </w:t>
      </w:r>
      <w:r w:rsidR="000000E5" w:rsidRPr="00802A0E">
        <w:t>(</w:t>
      </w:r>
      <w:r w:rsidRPr="00802A0E">
        <w:t>6</w:t>
      </w:r>
      <w:r w:rsidR="000000E5" w:rsidRPr="00802A0E">
        <w:t>)</w:t>
      </w:r>
      <w:r w:rsidRPr="00802A0E">
        <w:t xml:space="preserve"> months from the date o</w:t>
      </w:r>
      <w:r w:rsidR="00F94B2F" w:rsidRPr="00802A0E">
        <w:t xml:space="preserve">n Medicare’s provider notice of </w:t>
      </w:r>
      <w:r w:rsidRPr="00802A0E">
        <w:t>the allowed claim, whichever is later. Claims denied b</w:t>
      </w:r>
      <w:r w:rsidR="00F94B2F" w:rsidRPr="00802A0E">
        <w:t xml:space="preserve">y Medicare must be filed by the </w:t>
      </w:r>
      <w:r w:rsidRPr="00802A0E">
        <w:t xml:space="preserve">provider and received by the state agency within 12 months from the </w:t>
      </w:r>
      <w:r w:rsidR="00663D9E" w:rsidRPr="00802A0E">
        <w:t>DOS</w:t>
      </w:r>
      <w:r w:rsidR="00F94B2F" w:rsidRPr="00802A0E">
        <w:t xml:space="preserve">. </w:t>
      </w:r>
      <w:r w:rsidR="004B7F61">
        <w:t>Counting</w:t>
      </w:r>
      <w:r w:rsidRPr="00802A0E">
        <w:t xml:space="preserve"> the </w:t>
      </w:r>
      <w:r w:rsidR="004B7F61" w:rsidRPr="00802A0E">
        <w:t>12</w:t>
      </w:r>
      <w:r w:rsidR="004B7F61">
        <w:t>-</w:t>
      </w:r>
      <w:r w:rsidRPr="00802A0E">
        <w:t xml:space="preserve">month time limit begins with the </w:t>
      </w:r>
      <w:r w:rsidR="00663D9E" w:rsidRPr="00802A0E">
        <w:t>DOS</w:t>
      </w:r>
      <w:r w:rsidR="00F94B2F" w:rsidRPr="00802A0E">
        <w:t xml:space="preserve"> and ends with the date of </w:t>
      </w:r>
      <w:r w:rsidRPr="00802A0E">
        <w:t>receipt. The counting of the</w:t>
      </w:r>
      <w:r w:rsidR="000000E5" w:rsidRPr="00802A0E">
        <w:t xml:space="preserve"> six</w:t>
      </w:r>
      <w:r w:rsidRPr="00802A0E">
        <w:t xml:space="preserve"> </w:t>
      </w:r>
      <w:r w:rsidR="000000E5" w:rsidRPr="00802A0E">
        <w:t>(</w:t>
      </w:r>
      <w:r w:rsidRPr="00802A0E">
        <w:t>6</w:t>
      </w:r>
      <w:r w:rsidR="000000E5" w:rsidRPr="00802A0E">
        <w:t xml:space="preserve">) </w:t>
      </w:r>
      <w:r w:rsidRPr="00802A0E">
        <w:t>month period begins with the d</w:t>
      </w:r>
      <w:r w:rsidR="00F94B2F" w:rsidRPr="00802A0E">
        <w:t xml:space="preserve">ate of adjudication of Medicare </w:t>
      </w:r>
      <w:r w:rsidRPr="00802A0E">
        <w:t>payment and ends with the date of receipt.</w:t>
      </w:r>
    </w:p>
    <w:p w14:paraId="706579F4" w14:textId="64270590" w:rsidR="00F94B2F" w:rsidRPr="006D1B03" w:rsidRDefault="00AA400E" w:rsidP="00275867">
      <w:pPr>
        <w:pStyle w:val="Heading4"/>
      </w:pPr>
      <w:bookmarkStart w:id="29" w:name="_Toc210124687"/>
      <w:bookmarkStart w:id="30" w:name="_Toc225163675"/>
      <w:r w:rsidRPr="006D1B03">
        <w:t>MO H</w:t>
      </w:r>
      <w:r w:rsidR="0066679D" w:rsidRPr="006D1B03">
        <w:t>ealthNet</w:t>
      </w:r>
      <w:r w:rsidRPr="006D1B03">
        <w:t xml:space="preserve"> C</w:t>
      </w:r>
      <w:r w:rsidR="0066679D" w:rsidRPr="006D1B03">
        <w:t>laims</w:t>
      </w:r>
      <w:r w:rsidRPr="006D1B03">
        <w:t xml:space="preserve"> </w:t>
      </w:r>
      <w:r w:rsidR="008E2A8B" w:rsidRPr="006D1B03">
        <w:t>with</w:t>
      </w:r>
      <w:r w:rsidRPr="006D1B03">
        <w:t xml:space="preserve"> </w:t>
      </w:r>
      <w:r w:rsidR="004B7F61" w:rsidRPr="006D1B03">
        <w:t>Third-</w:t>
      </w:r>
      <w:r w:rsidRPr="006D1B03">
        <w:t>P</w:t>
      </w:r>
      <w:r w:rsidR="00C107CD" w:rsidRPr="006D1B03">
        <w:t>arty</w:t>
      </w:r>
      <w:r w:rsidRPr="006D1B03">
        <w:t xml:space="preserve"> L</w:t>
      </w:r>
      <w:r w:rsidR="00C107CD" w:rsidRPr="006D1B03">
        <w:t>iability</w:t>
      </w:r>
      <w:bookmarkEnd w:id="29"/>
      <w:bookmarkEnd w:id="30"/>
    </w:p>
    <w:p w14:paraId="44063577" w14:textId="74B4D79B" w:rsidR="00F94B2F" w:rsidRPr="00802A0E" w:rsidRDefault="004B7F61" w:rsidP="00C72DA1">
      <w:r>
        <w:t>In most instances, claims for participants who have other insurance must first be submitted to the insurance company</w:t>
      </w:r>
      <w:r w:rsidR="00AA400E" w:rsidRPr="00802A0E">
        <w:t xml:space="preserve">. </w:t>
      </w:r>
      <w:r w:rsidR="00EC0550">
        <w:t>H</w:t>
      </w:r>
      <w:r w:rsidR="00AA400E" w:rsidRPr="00802A0E">
        <w:t>owever, the claim</w:t>
      </w:r>
      <w:r w:rsidR="00F94B2F" w:rsidRPr="00802A0E">
        <w:t xml:space="preserve"> </w:t>
      </w:r>
      <w:r w:rsidR="00AA400E" w:rsidRPr="00802A0E">
        <w:t>must still meet MHD</w:t>
      </w:r>
      <w:r>
        <w:t>'s</w:t>
      </w:r>
      <w:r w:rsidR="00AA400E" w:rsidRPr="00802A0E">
        <w:t xml:space="preserve"> timely filing guidelines outlined above. (Claim disposition by the</w:t>
      </w:r>
      <w:r w:rsidR="00F94B2F" w:rsidRPr="00802A0E">
        <w:t xml:space="preserve"> </w:t>
      </w:r>
      <w:r w:rsidR="00AA400E" w:rsidRPr="00802A0E">
        <w:t>insurance company after</w:t>
      </w:r>
      <w:r w:rsidR="007106C6" w:rsidRPr="00802A0E">
        <w:t xml:space="preserve"> one</w:t>
      </w:r>
      <w:r w:rsidR="00AA400E" w:rsidRPr="00802A0E">
        <w:t xml:space="preserve"> </w:t>
      </w:r>
      <w:r w:rsidR="007106C6" w:rsidRPr="00802A0E">
        <w:t>(</w:t>
      </w:r>
      <w:r w:rsidR="00AA400E" w:rsidRPr="00802A0E">
        <w:t>1</w:t>
      </w:r>
      <w:r w:rsidR="007106C6" w:rsidRPr="00802A0E">
        <w:t>)</w:t>
      </w:r>
      <w:r w:rsidR="00AA400E" w:rsidRPr="00802A0E">
        <w:t xml:space="preserve"> year from the date of service does not serve to extend the filing</w:t>
      </w:r>
      <w:r w:rsidR="00F94B2F" w:rsidRPr="00802A0E">
        <w:t xml:space="preserve"> </w:t>
      </w:r>
      <w:r w:rsidR="00AA400E" w:rsidRPr="00802A0E">
        <w:t xml:space="preserve">requirement.) If the provider has not </w:t>
      </w:r>
      <w:r>
        <w:t>received a response from the insurance company prior to the 12-month filing limit, they should contact</w:t>
      </w:r>
      <w:r w:rsidR="0067275B">
        <w:t xml:space="preserve"> Third Party Liability</w:t>
      </w:r>
      <w:r w:rsidR="00FF4325">
        <w:t xml:space="preserve"> </w:t>
      </w:r>
      <w:r w:rsidR="0067275B">
        <w:t>(</w:t>
      </w:r>
      <w:r w:rsidR="00AA400E" w:rsidRPr="00802A0E">
        <w:t>TPL</w:t>
      </w:r>
      <w:r w:rsidR="0067275B">
        <w:t>)</w:t>
      </w:r>
      <w:r w:rsidR="00AA400E" w:rsidRPr="00802A0E">
        <w:t xml:space="preserve"> Unit at (573) 751-2005 for billing instructions. It is recommended that providers wait no longer than </w:t>
      </w:r>
      <w:r w:rsidR="007106C6" w:rsidRPr="00802A0E">
        <w:t>six (</w:t>
      </w:r>
      <w:r w:rsidR="00AA400E" w:rsidRPr="00802A0E">
        <w:t>6</w:t>
      </w:r>
      <w:r w:rsidR="007106C6" w:rsidRPr="00B24B67">
        <w:t>)</w:t>
      </w:r>
      <w:r w:rsidR="00AA400E" w:rsidRPr="00B24B67">
        <w:t xml:space="preserve"> months</w:t>
      </w:r>
      <w:r w:rsidR="00F94B2F" w:rsidRPr="00B24B67">
        <w:t xml:space="preserve"> </w:t>
      </w:r>
      <w:r w:rsidR="00AA400E" w:rsidRPr="00B24B67">
        <w:t xml:space="preserve">after the </w:t>
      </w:r>
      <w:r w:rsidR="00663D9E" w:rsidRPr="00802A0E">
        <w:t>DOS</w:t>
      </w:r>
      <w:r w:rsidR="00AA400E" w:rsidRPr="00802A0E">
        <w:t xml:space="preserve"> before contacting the TPL Unit. If MHD waives the requirement</w:t>
      </w:r>
      <w:r>
        <w:t>,</w:t>
      </w:r>
      <w:r w:rsidR="00F94B2F" w:rsidRPr="00802A0E">
        <w:t xml:space="preserve"> </w:t>
      </w:r>
      <w:r w:rsidR="00AA400E" w:rsidRPr="00802A0E">
        <w:t xml:space="preserve">the </w:t>
      </w:r>
      <w:r w:rsidR="00663D9E" w:rsidRPr="00802A0E">
        <w:t>TPR’s</w:t>
      </w:r>
      <w:r w:rsidR="00AA400E" w:rsidRPr="00802A0E">
        <w:t xml:space="preserve"> adjudication must be attached to the claim, </w:t>
      </w:r>
      <w:r>
        <w:t xml:space="preserve">and </w:t>
      </w:r>
      <w:r w:rsidR="00AA400E" w:rsidRPr="00802A0E">
        <w:t>documentation</w:t>
      </w:r>
      <w:r w:rsidR="00F94B2F" w:rsidRPr="00802A0E">
        <w:t xml:space="preserve"> </w:t>
      </w:r>
      <w:r w:rsidR="00AA400E" w:rsidRPr="00802A0E">
        <w:t xml:space="preserve">indicating the </w:t>
      </w:r>
      <w:r w:rsidR="00663D9E" w:rsidRPr="00802A0E">
        <w:t>TPR’s</w:t>
      </w:r>
      <w:r w:rsidR="00AA400E" w:rsidRPr="00802A0E">
        <w:t xml:space="preserve"> adjudication of the claim must be kept in the provider's</w:t>
      </w:r>
      <w:r w:rsidR="00F94B2F" w:rsidRPr="00802A0E">
        <w:t xml:space="preserve"> </w:t>
      </w:r>
      <w:r w:rsidR="00AA400E" w:rsidRPr="00802A0E">
        <w:t xml:space="preserve">records and made available to </w:t>
      </w:r>
      <w:r w:rsidR="0067275B">
        <w:t>MHD</w:t>
      </w:r>
      <w:r w:rsidR="00AA400E" w:rsidRPr="00802A0E">
        <w:t xml:space="preserve"> at its request. The claim must meet MHD</w:t>
      </w:r>
      <w:r>
        <w:t>'s</w:t>
      </w:r>
      <w:r w:rsidR="00F94B2F" w:rsidRPr="00802A0E">
        <w:t xml:space="preserve"> </w:t>
      </w:r>
      <w:r w:rsidR="00AA400E" w:rsidRPr="00802A0E">
        <w:t>timely filing requirement by being filed by the provider and received by the state agency</w:t>
      </w:r>
      <w:r w:rsidR="00F94B2F" w:rsidRPr="00802A0E">
        <w:t xml:space="preserve"> </w:t>
      </w:r>
      <w:r w:rsidR="00AA400E" w:rsidRPr="00802A0E">
        <w:t xml:space="preserve">within 12 months from the </w:t>
      </w:r>
      <w:r w:rsidR="00663D9E" w:rsidRPr="00802A0E">
        <w:t>DOS</w:t>
      </w:r>
      <w:r w:rsidR="00AA400E" w:rsidRPr="00802A0E">
        <w:t>.</w:t>
      </w:r>
      <w:r w:rsidR="00FF4325">
        <w:t xml:space="preserve"> </w:t>
      </w:r>
      <w:r>
        <w:t>After making a payment to a provider, the 12-month initial filing rule may be extended if a third-party payer</w:t>
      </w:r>
      <w:r w:rsidR="00AA400E" w:rsidRPr="00802A0E">
        <w:t xml:space="preserve"> </w:t>
      </w:r>
      <w:r>
        <w:t>is satisfied that the payment is correct,</w:t>
      </w:r>
      <w:r w:rsidR="00AA400E" w:rsidRPr="00802A0E">
        <w:t xml:space="preserve"> reverses the payment</w:t>
      </w:r>
      <w:r w:rsidR="00F94B2F" w:rsidRPr="00802A0E">
        <w:t xml:space="preserve"> </w:t>
      </w:r>
      <w:r w:rsidR="00AA400E" w:rsidRPr="00802A0E">
        <w:t xml:space="preserve">determination sometime after the 12 months from the </w:t>
      </w:r>
      <w:r w:rsidR="00663D9E" w:rsidRPr="00802A0E">
        <w:t>DOS</w:t>
      </w:r>
      <w:r w:rsidR="00AA400E" w:rsidRPr="00802A0E">
        <w:t xml:space="preserve"> has elapsed, and</w:t>
      </w:r>
      <w:r w:rsidR="00F94B2F" w:rsidRPr="00802A0E">
        <w:t xml:space="preserve"> </w:t>
      </w:r>
      <w:r w:rsidR="00AA400E" w:rsidRPr="00802A0E">
        <w:t xml:space="preserve">requests </w:t>
      </w:r>
      <w:r>
        <w:t xml:space="preserve">that </w:t>
      </w:r>
      <w:r w:rsidR="00AA400E" w:rsidRPr="00802A0E">
        <w:t xml:space="preserve">the provider return the payment. Because a </w:t>
      </w:r>
      <w:r w:rsidR="00663D9E" w:rsidRPr="00802A0E">
        <w:t>TPR</w:t>
      </w:r>
      <w:r w:rsidR="00AA400E" w:rsidRPr="00802A0E">
        <w:t xml:space="preserve"> was available to cover the full </w:t>
      </w:r>
      <w:r>
        <w:t>liability amount</w:t>
      </w:r>
      <w:r w:rsidR="00AA400E" w:rsidRPr="00802A0E">
        <w:t xml:space="preserve"> known to the provider, the</w:t>
      </w:r>
      <w:r w:rsidR="00F94B2F" w:rsidRPr="00802A0E">
        <w:t xml:space="preserve"> </w:t>
      </w:r>
      <w:r w:rsidR="00AA400E" w:rsidRPr="00802A0E">
        <w:t xml:space="preserve">provider may not have initially filed a claim with MHD. Under </w:t>
      </w:r>
      <w:r w:rsidR="009127A8" w:rsidRPr="00802A0E">
        <w:t>th</w:t>
      </w:r>
      <w:r w:rsidR="009127A8">
        <w:t>ese</w:t>
      </w:r>
      <w:r w:rsidR="009127A8" w:rsidRPr="00802A0E">
        <w:t xml:space="preserve"> </w:t>
      </w:r>
      <w:r w:rsidR="00AA400E" w:rsidRPr="00802A0E">
        <w:t>circumstances,</w:t>
      </w:r>
      <w:r w:rsidR="00F94B2F" w:rsidRPr="00802A0E">
        <w:t xml:space="preserve"> </w:t>
      </w:r>
      <w:r w:rsidR="00AA400E" w:rsidRPr="00802A0E">
        <w:t xml:space="preserve">the provider may file a claim with MHD later than 12 months from the </w:t>
      </w:r>
      <w:r w:rsidR="00663D9E" w:rsidRPr="00802A0E">
        <w:t>DOS</w:t>
      </w:r>
      <w:r w:rsidR="00AA400E" w:rsidRPr="00802A0E">
        <w:t>.</w:t>
      </w:r>
    </w:p>
    <w:p w14:paraId="3C2F6CD2" w14:textId="4431D4F7" w:rsidR="00663D9E" w:rsidRPr="00802A0E" w:rsidRDefault="00AA400E" w:rsidP="00C72DA1">
      <w:r w:rsidRPr="00802A0E">
        <w:t xml:space="preserve">The provider must submit this type of claim to the </w:t>
      </w:r>
      <w:r w:rsidR="007106C6" w:rsidRPr="00802A0E">
        <w:t>TPL</w:t>
      </w:r>
      <w:r w:rsidRPr="00802A0E">
        <w:t xml:space="preserve"> </w:t>
      </w:r>
      <w:r w:rsidR="00663D9E" w:rsidRPr="00802A0E">
        <w:t xml:space="preserve">Unit for special handling </w:t>
      </w:r>
      <w:r w:rsidRPr="00802A0E">
        <w:t>at</w:t>
      </w:r>
      <w:r w:rsidR="00663D9E" w:rsidRPr="00802A0E">
        <w:t>:</w:t>
      </w:r>
      <w:r w:rsidRPr="00802A0E">
        <w:t xml:space="preserve"> </w:t>
      </w:r>
    </w:p>
    <w:p w14:paraId="6540E4BD" w14:textId="51331A05" w:rsidR="00663D9E" w:rsidRDefault="00663D9E" w:rsidP="00BC24BB">
      <w:pPr>
        <w:pStyle w:val="Address"/>
      </w:pPr>
      <w:r>
        <w:t>Third Party Liability Unit</w:t>
      </w:r>
    </w:p>
    <w:p w14:paraId="412E605B" w14:textId="58CDB55F" w:rsidR="00663D9E" w:rsidRDefault="00AA400E" w:rsidP="00BC24BB">
      <w:pPr>
        <w:pStyle w:val="Address"/>
      </w:pPr>
      <w:r w:rsidRPr="00663D9E">
        <w:t>P</w:t>
      </w:r>
      <w:r w:rsidR="009127A8">
        <w:t>O</w:t>
      </w:r>
      <w:r w:rsidRPr="00663D9E">
        <w:t xml:space="preserve"> Box</w:t>
      </w:r>
      <w:r w:rsidR="00F94B2F" w:rsidRPr="00663D9E">
        <w:t xml:space="preserve"> </w:t>
      </w:r>
      <w:r w:rsidRPr="00663D9E">
        <w:t>6500</w:t>
      </w:r>
    </w:p>
    <w:p w14:paraId="36440662" w14:textId="36EE10D3" w:rsidR="00663D9E" w:rsidRDefault="00AA400E" w:rsidP="00BC24BB">
      <w:pPr>
        <w:pStyle w:val="Address"/>
      </w:pPr>
      <w:r w:rsidRPr="00663D9E">
        <w:t xml:space="preserve">Jefferson City, MO 65102-6500 </w:t>
      </w:r>
    </w:p>
    <w:p w14:paraId="4154387B" w14:textId="1BB2B0DF" w:rsidR="00F31ABE" w:rsidRPr="00802A0E" w:rsidRDefault="00AA400E" w:rsidP="00C72DA1">
      <w:r w:rsidRPr="00802A0E">
        <w:t>MHD may accept and pay</w:t>
      </w:r>
      <w:r w:rsidR="00F94B2F" w:rsidRPr="00802A0E">
        <w:t xml:space="preserve"> </w:t>
      </w:r>
      <w:r w:rsidRPr="00802A0E">
        <w:t xml:space="preserve">this specific type of claim without regard to the </w:t>
      </w:r>
      <w:r w:rsidR="009127A8" w:rsidRPr="00802A0E">
        <w:t>12</w:t>
      </w:r>
      <w:r w:rsidR="009127A8">
        <w:t>-</w:t>
      </w:r>
      <w:r w:rsidRPr="00802A0E">
        <w:t>month timely filing rule; however, all</w:t>
      </w:r>
      <w:r w:rsidR="00F94B2F" w:rsidRPr="00802A0E">
        <w:t xml:space="preserve"> </w:t>
      </w:r>
      <w:r w:rsidRPr="00802A0E">
        <w:t xml:space="preserve">claims must be filed for MO HealthNet reimbursement within 24 months from the </w:t>
      </w:r>
      <w:r w:rsidR="00802A0E" w:rsidRPr="00802A0E">
        <w:t>DOS</w:t>
      </w:r>
      <w:r w:rsidRPr="00802A0E">
        <w:t xml:space="preserve"> to be paid.</w:t>
      </w:r>
    </w:p>
    <w:p w14:paraId="09B47EA8" w14:textId="6957D6C0" w:rsidR="009A18F4" w:rsidRPr="009901B1" w:rsidRDefault="00AA400E" w:rsidP="00275867">
      <w:pPr>
        <w:pStyle w:val="Heading4"/>
      </w:pPr>
      <w:bookmarkStart w:id="31" w:name="_Toc210124688"/>
      <w:bookmarkStart w:id="32" w:name="_Toc225163676"/>
      <w:r w:rsidRPr="009901B1">
        <w:t>T</w:t>
      </w:r>
      <w:r w:rsidR="00C107CD" w:rsidRPr="009901B1">
        <w:t>ime Limit for Resubmission of a Claim</w:t>
      </w:r>
      <w:bookmarkEnd w:id="31"/>
      <w:bookmarkEnd w:id="32"/>
    </w:p>
    <w:p w14:paraId="6C6BB33E" w14:textId="313816E1" w:rsidR="00AA400E" w:rsidRPr="00802A0E" w:rsidRDefault="00AA400E" w:rsidP="00C72DA1">
      <w:r w:rsidRPr="00802A0E">
        <w:t xml:space="preserve">Claims originally submitted and received within 12 months from the </w:t>
      </w:r>
      <w:r w:rsidR="00802A0E" w:rsidRPr="00802A0E">
        <w:t>DOS</w:t>
      </w:r>
      <w:r w:rsidRPr="00802A0E">
        <w:t xml:space="preserve"> and</w:t>
      </w:r>
      <w:r w:rsidR="009A18F4" w:rsidRPr="00802A0E">
        <w:t xml:space="preserve"> </w:t>
      </w:r>
      <w:r w:rsidRPr="00802A0E">
        <w:t>were denied or returned to the provider must be resubmitted and received within 24 months of the</w:t>
      </w:r>
      <w:r w:rsidR="009A18F4" w:rsidRPr="00802A0E">
        <w:t xml:space="preserve"> </w:t>
      </w:r>
      <w:r w:rsidR="00802A0E" w:rsidRPr="00802A0E">
        <w:t>DOS</w:t>
      </w:r>
      <w:r w:rsidRPr="00802A0E">
        <w:t>.</w:t>
      </w:r>
    </w:p>
    <w:p w14:paraId="7AC844E9" w14:textId="649CB7BD" w:rsidR="009A18F4" w:rsidRPr="009901B1" w:rsidRDefault="00AA400E" w:rsidP="00275867">
      <w:pPr>
        <w:pStyle w:val="Heading4"/>
      </w:pPr>
      <w:bookmarkStart w:id="33" w:name="_Toc210124689"/>
      <w:bookmarkStart w:id="34" w:name="_Toc225163677"/>
      <w:r w:rsidRPr="009901B1">
        <w:t>C</w:t>
      </w:r>
      <w:r w:rsidR="00C107CD" w:rsidRPr="009901B1">
        <w:t>laims Filed and Denied</w:t>
      </w:r>
      <w:bookmarkEnd w:id="33"/>
      <w:bookmarkEnd w:id="34"/>
    </w:p>
    <w:p w14:paraId="7008945B" w14:textId="1F79FB41" w:rsidR="00AA400E" w:rsidRPr="00802A0E" w:rsidRDefault="00AA400E" w:rsidP="00C72DA1">
      <w:r w:rsidRPr="00802A0E">
        <w:t xml:space="preserve">Claims that are denied may be resubmitted. A resubmission beyond the </w:t>
      </w:r>
      <w:r w:rsidR="009127A8" w:rsidRPr="00802A0E">
        <w:t>12</w:t>
      </w:r>
      <w:r w:rsidR="009127A8">
        <w:t>-</w:t>
      </w:r>
      <w:r w:rsidRPr="00802A0E">
        <w:t>month filing</w:t>
      </w:r>
      <w:r w:rsidR="009A18F4" w:rsidRPr="00802A0E">
        <w:t xml:space="preserve"> </w:t>
      </w:r>
      <w:r w:rsidRPr="00802A0E">
        <w:t xml:space="preserve">limit must either include an attachment, a </w:t>
      </w:r>
      <w:r w:rsidR="00465BC6">
        <w:t>MHD RA</w:t>
      </w:r>
      <w:r w:rsidR="009127A8">
        <w:t>,</w:t>
      </w:r>
      <w:r w:rsidRPr="00802A0E">
        <w:t xml:space="preserve"> </w:t>
      </w:r>
      <w:r w:rsidR="009127A8">
        <w:t xml:space="preserve">a </w:t>
      </w:r>
      <w:r w:rsidRPr="00802A0E">
        <w:t>Return to Provider letter</w:t>
      </w:r>
      <w:r w:rsidR="009127A8">
        <w:t>,</w:t>
      </w:r>
      <w:r w:rsidRPr="00802A0E">
        <w:t xml:space="preserve"> or</w:t>
      </w:r>
      <w:r w:rsidR="009A18F4" w:rsidRPr="00802A0E">
        <w:t xml:space="preserve"> </w:t>
      </w:r>
      <w:r w:rsidRPr="00802A0E">
        <w:t xml:space="preserve">the claim must have the original </w:t>
      </w:r>
      <w:r w:rsidR="002D3C49" w:rsidRPr="00802A0E">
        <w:t>Internal Control Number (</w:t>
      </w:r>
      <w:r w:rsidRPr="00802A0E">
        <w:t>ICN</w:t>
      </w:r>
      <w:r w:rsidR="002D3C49" w:rsidRPr="00802A0E">
        <w:t>)</w:t>
      </w:r>
      <w:r w:rsidRPr="00802A0E">
        <w:t xml:space="preserve"> entered in the appropriate field for electronic or paper</w:t>
      </w:r>
      <w:r w:rsidR="009A18F4" w:rsidRPr="00802A0E">
        <w:t xml:space="preserve"> </w:t>
      </w:r>
      <w:r w:rsidRPr="00802A0E">
        <w:t xml:space="preserve">claims. </w:t>
      </w:r>
      <w:r w:rsidR="009127A8">
        <w:t>T</w:t>
      </w:r>
      <w:r w:rsidRPr="00802A0E">
        <w:t>he attachment or the</w:t>
      </w:r>
      <w:r w:rsidR="009A18F4" w:rsidRPr="00802A0E">
        <w:t xml:space="preserve"> </w:t>
      </w:r>
      <w:r w:rsidRPr="00802A0E">
        <w:t xml:space="preserve">ICN must indicate </w:t>
      </w:r>
      <w:r w:rsidR="009127A8">
        <w:t xml:space="preserve">that </w:t>
      </w:r>
      <w:r w:rsidRPr="00802A0E">
        <w:t xml:space="preserve">the claim had originally been filed within 12 months of the </w:t>
      </w:r>
      <w:r w:rsidR="00802A0E" w:rsidRPr="00802A0E">
        <w:t>DOS</w:t>
      </w:r>
      <w:r w:rsidRPr="00802A0E">
        <w:t>.</w:t>
      </w:r>
      <w:r w:rsidR="009A18F4" w:rsidRPr="00802A0E">
        <w:t xml:space="preserve"> </w:t>
      </w:r>
      <w:r w:rsidRPr="00802A0E">
        <w:t xml:space="preserve">The same </w:t>
      </w:r>
      <w:r w:rsidR="00802A0E" w:rsidRPr="00802A0E">
        <w:t>RA</w:t>
      </w:r>
      <w:r w:rsidRPr="00802A0E">
        <w:t>, letter</w:t>
      </w:r>
      <w:r w:rsidR="009127A8">
        <w:t>,</w:t>
      </w:r>
      <w:r w:rsidRPr="00802A0E">
        <w:t xml:space="preserve"> or ICN can be used for each resubmission of that claim.</w:t>
      </w:r>
    </w:p>
    <w:p w14:paraId="14304EB0" w14:textId="742FC1A3" w:rsidR="009A18F4" w:rsidRPr="009901B1" w:rsidRDefault="00AA400E" w:rsidP="00275867">
      <w:pPr>
        <w:pStyle w:val="Heading4"/>
      </w:pPr>
      <w:bookmarkStart w:id="35" w:name="_Toc210124690"/>
      <w:bookmarkStart w:id="36" w:name="_Toc225163678"/>
      <w:r w:rsidRPr="009901B1">
        <w:t>C</w:t>
      </w:r>
      <w:r w:rsidR="00C107CD" w:rsidRPr="009901B1">
        <w:t xml:space="preserve">laims Filed and Returned to </w:t>
      </w:r>
      <w:r w:rsidRPr="009901B1">
        <w:t>P</w:t>
      </w:r>
      <w:r w:rsidR="00C107CD" w:rsidRPr="009901B1">
        <w:t>rovider</w:t>
      </w:r>
      <w:bookmarkEnd w:id="35"/>
      <w:bookmarkEnd w:id="36"/>
    </w:p>
    <w:p w14:paraId="4C56DA5B" w14:textId="4E413C6A" w:rsidR="00F31ABE" w:rsidRPr="00B24B67" w:rsidRDefault="00AA400E" w:rsidP="00C72DA1">
      <w:r w:rsidRPr="00B24B67">
        <w:t>Some paper claims received by the fiscal agent cannot be processed because the wrong claim</w:t>
      </w:r>
      <w:r w:rsidR="009A18F4" w:rsidRPr="00B24B67">
        <w:t xml:space="preserve"> </w:t>
      </w:r>
      <w:r w:rsidRPr="00B24B67">
        <w:t xml:space="preserve">form </w:t>
      </w:r>
      <w:r w:rsidR="009127A8">
        <w:t xml:space="preserve">has been </w:t>
      </w:r>
      <w:r w:rsidR="008E2A8B">
        <w:t>submitted,</w:t>
      </w:r>
      <w:r w:rsidR="009127A8">
        <w:t xml:space="preserve"> or additional data has been</w:t>
      </w:r>
      <w:r w:rsidRPr="00B24B67">
        <w:t xml:space="preserve"> required. These claims are not processed through the</w:t>
      </w:r>
      <w:r w:rsidR="009A18F4" w:rsidRPr="00B24B67">
        <w:t xml:space="preserve"> </w:t>
      </w:r>
      <w:r w:rsidRPr="00B24B67">
        <w:t>system but are returned to the provider with a Return to Provider letter. When these claims</w:t>
      </w:r>
      <w:r w:rsidR="009A18F4" w:rsidRPr="00B24B67">
        <w:t xml:space="preserve"> </w:t>
      </w:r>
      <w:r w:rsidRPr="00B24B67">
        <w:t xml:space="preserve">are resubmitted more than 12 months after the </w:t>
      </w:r>
      <w:r w:rsidR="00802A0E" w:rsidRPr="00B24B67">
        <w:t>DOS</w:t>
      </w:r>
      <w:r w:rsidRPr="00B24B67">
        <w:t xml:space="preserve"> (and had been filed timely), a</w:t>
      </w:r>
      <w:r w:rsidR="009A18F4" w:rsidRPr="00B24B67">
        <w:t xml:space="preserve"> </w:t>
      </w:r>
      <w:r w:rsidRPr="00B24B67">
        <w:t xml:space="preserve">copy of the Return to Provider letter should be attached instead of the required </w:t>
      </w:r>
      <w:r w:rsidR="00802A0E" w:rsidRPr="00B24B67">
        <w:t>RA</w:t>
      </w:r>
      <w:r w:rsidRPr="00B24B67">
        <w:t xml:space="preserve"> to document timely filing</w:t>
      </w:r>
      <w:r w:rsidR="009127A8">
        <w:t>,</w:t>
      </w:r>
      <w:r w:rsidRPr="00B24B67">
        <w:t xml:space="preserve"> as explained in the previous paragraph. The date on the</w:t>
      </w:r>
      <w:r w:rsidR="009A18F4" w:rsidRPr="00B24B67">
        <w:t xml:space="preserve"> </w:t>
      </w:r>
      <w:r w:rsidRPr="00B24B67">
        <w:t>letter determines timely filing.</w:t>
      </w:r>
    </w:p>
    <w:p w14:paraId="7BDA4B36" w14:textId="3F9C31A8" w:rsidR="009A18F4" w:rsidRPr="00424D94" w:rsidRDefault="00AA400E" w:rsidP="00275867">
      <w:pPr>
        <w:pStyle w:val="Heading4"/>
      </w:pPr>
      <w:bookmarkStart w:id="37" w:name="_Toc210124691"/>
      <w:bookmarkStart w:id="38" w:name="_Toc225163679"/>
      <w:r w:rsidRPr="00424D94">
        <w:t>C</w:t>
      </w:r>
      <w:r w:rsidR="00C107CD" w:rsidRPr="00424D94">
        <w:t>laims Not Filed Within the Time Limit</w:t>
      </w:r>
      <w:bookmarkEnd w:id="37"/>
      <w:bookmarkEnd w:id="38"/>
    </w:p>
    <w:p w14:paraId="66814DF9" w14:textId="6FE09D42" w:rsidR="00F31ABE" w:rsidRPr="004C3921" w:rsidRDefault="00AA400E" w:rsidP="00C72DA1">
      <w:r w:rsidRPr="004C3921">
        <w:t>In accordance with</w:t>
      </w:r>
      <w:r w:rsidR="00851E94" w:rsidRPr="004C3921">
        <w:t xml:space="preserve"> </w:t>
      </w:r>
      <w:hyperlink r:id="rId32" w:history="1">
        <w:r w:rsidR="006E2B99" w:rsidRPr="00275867">
          <w:rPr>
            <w:rStyle w:val="Hyperlink"/>
          </w:rPr>
          <w:t>13</w:t>
        </w:r>
        <w:r w:rsidR="00512752" w:rsidRPr="00275867">
          <w:rPr>
            <w:rStyle w:val="Hyperlink"/>
          </w:rPr>
          <w:t xml:space="preserve"> </w:t>
        </w:r>
        <w:r w:rsidR="006E2B99" w:rsidRPr="00275867">
          <w:rPr>
            <w:rStyle w:val="Hyperlink"/>
          </w:rPr>
          <w:t>C</w:t>
        </w:r>
        <w:r w:rsidR="00512752" w:rsidRPr="00275867">
          <w:rPr>
            <w:rStyle w:val="Hyperlink"/>
          </w:rPr>
          <w:t>SR</w:t>
        </w:r>
        <w:r w:rsidR="006E2B99" w:rsidRPr="00275867">
          <w:rPr>
            <w:rStyle w:val="Hyperlink"/>
          </w:rPr>
          <w:t xml:space="preserve"> 70-3.100</w:t>
        </w:r>
      </w:hyperlink>
      <w:r w:rsidR="006E2B99" w:rsidRPr="004C3921">
        <w:t xml:space="preserve">, </w:t>
      </w:r>
      <w:r w:rsidRPr="004C3921">
        <w:t>claims that are not submitted in a timely manner</w:t>
      </w:r>
      <w:r w:rsidR="009127A8" w:rsidRPr="004C3921">
        <w:t>,</w:t>
      </w:r>
      <w:r w:rsidRPr="004C3921">
        <w:t xml:space="preserve"> as described</w:t>
      </w:r>
      <w:r w:rsidR="009A18F4" w:rsidRPr="004C3921">
        <w:t xml:space="preserve"> </w:t>
      </w:r>
      <w:r w:rsidRPr="004C3921">
        <w:t>in this section</w:t>
      </w:r>
      <w:r w:rsidR="009127A8" w:rsidRPr="004C3921">
        <w:t>,</w:t>
      </w:r>
      <w:r w:rsidRPr="004C3921">
        <w:t xml:space="preserve"> are denied. However, at any time</w:t>
      </w:r>
      <w:r w:rsidR="009127A8" w:rsidRPr="004C3921">
        <w:t>,</w:t>
      </w:r>
      <w:r w:rsidRPr="004C3921">
        <w:t xml:space="preserve"> in accordance with a court order, MHD may</w:t>
      </w:r>
      <w:r w:rsidR="009A18F4" w:rsidRPr="004C3921">
        <w:t xml:space="preserve"> </w:t>
      </w:r>
      <w:r w:rsidRPr="004C3921">
        <w:t>make payments to carry out a hearing decision, corrective action</w:t>
      </w:r>
      <w:r w:rsidR="009127A8" w:rsidRPr="004C3921">
        <w:t>,</w:t>
      </w:r>
      <w:r w:rsidRPr="004C3921">
        <w:t xml:space="preserve"> or court order to others in the same</w:t>
      </w:r>
      <w:r w:rsidR="009A18F4" w:rsidRPr="004C3921">
        <w:t xml:space="preserve"> </w:t>
      </w:r>
      <w:r w:rsidRPr="004C3921">
        <w:t>situation as those directly affected by it. As determined by the state agency, MHD may make</w:t>
      </w:r>
      <w:r w:rsidR="009A18F4" w:rsidRPr="004C3921">
        <w:t xml:space="preserve"> </w:t>
      </w:r>
      <w:r w:rsidRPr="004C3921">
        <w:t xml:space="preserve">payment if a claim was denied due to state agency error or delay. </w:t>
      </w:r>
      <w:r w:rsidR="009127A8" w:rsidRPr="004C3921">
        <w:t>F</w:t>
      </w:r>
      <w:r w:rsidRPr="004C3921">
        <w:t>or payment to be made,</w:t>
      </w:r>
      <w:r w:rsidR="009A18F4" w:rsidRPr="004C3921">
        <w:t xml:space="preserve"> </w:t>
      </w:r>
      <w:r w:rsidRPr="004C3921">
        <w:t xml:space="preserve">MHD must be informed of any claims denied due to MHD error or delay within </w:t>
      </w:r>
      <w:r w:rsidR="00406907" w:rsidRPr="004C3921">
        <w:t>six (</w:t>
      </w:r>
      <w:r w:rsidRPr="004C3921">
        <w:t>6</w:t>
      </w:r>
      <w:r w:rsidR="00406907" w:rsidRPr="004C3921">
        <w:t>)</w:t>
      </w:r>
      <w:r w:rsidRPr="004C3921">
        <w:t xml:space="preserve"> months</w:t>
      </w:r>
      <w:r w:rsidR="009A18F4" w:rsidRPr="004C3921">
        <w:t xml:space="preserve"> </w:t>
      </w:r>
      <w:r w:rsidRPr="004C3921">
        <w:t xml:space="preserve">from the date of the </w:t>
      </w:r>
      <w:r w:rsidR="00BA6243">
        <w:t>MHD</w:t>
      </w:r>
      <w:r w:rsidR="00F2096D">
        <w:t xml:space="preserve"> </w:t>
      </w:r>
      <w:r w:rsidR="00802A0E" w:rsidRPr="004C3921">
        <w:t>RA</w:t>
      </w:r>
      <w:r w:rsidRPr="004C3921">
        <w:t xml:space="preserve"> on which the error occurred or within</w:t>
      </w:r>
      <w:r w:rsidR="00406907" w:rsidRPr="004C3921">
        <w:t xml:space="preserve"> six</w:t>
      </w:r>
      <w:r w:rsidRPr="004C3921">
        <w:t xml:space="preserve"> </w:t>
      </w:r>
      <w:r w:rsidR="00406907" w:rsidRPr="004C3921">
        <w:t>(</w:t>
      </w:r>
      <w:r w:rsidRPr="004C3921">
        <w:t>6</w:t>
      </w:r>
      <w:r w:rsidR="00406907" w:rsidRPr="004C3921">
        <w:t>)</w:t>
      </w:r>
      <w:r w:rsidRPr="004C3921">
        <w:t xml:space="preserve"> months of the date of</w:t>
      </w:r>
      <w:r w:rsidR="009A18F4" w:rsidRPr="004C3921">
        <w:t xml:space="preserve"> </w:t>
      </w:r>
      <w:r w:rsidRPr="004C3921">
        <w:t xml:space="preserve">completion or determination in the case of a delay; or 12 months from the </w:t>
      </w:r>
      <w:r w:rsidR="00802A0E" w:rsidRPr="004C3921">
        <w:t>DOS</w:t>
      </w:r>
      <w:r w:rsidRPr="004C3921">
        <w:t>, whichever</w:t>
      </w:r>
      <w:r w:rsidR="009A18F4" w:rsidRPr="004C3921">
        <w:t xml:space="preserve"> </w:t>
      </w:r>
      <w:r w:rsidRPr="004C3921">
        <w:t>is longer.</w:t>
      </w:r>
    </w:p>
    <w:p w14:paraId="6C7CF0A4" w14:textId="2496E8CF" w:rsidR="009A18F4" w:rsidRPr="00424D94" w:rsidRDefault="00AA400E" w:rsidP="00275867">
      <w:pPr>
        <w:pStyle w:val="Heading4"/>
      </w:pPr>
      <w:bookmarkStart w:id="39" w:name="_Toc210124692"/>
      <w:bookmarkStart w:id="40" w:name="_Toc225163680"/>
      <w:r w:rsidRPr="00424D94">
        <w:t>T</w:t>
      </w:r>
      <w:r w:rsidR="00C107CD" w:rsidRPr="00424D94">
        <w:t>ime Limit for Filing an Individual Adjustment</w:t>
      </w:r>
      <w:bookmarkEnd w:id="39"/>
      <w:bookmarkEnd w:id="40"/>
      <w:r w:rsidR="00B24B67" w:rsidRPr="00424D94">
        <w:t xml:space="preserve"> </w:t>
      </w:r>
    </w:p>
    <w:p w14:paraId="7762BC06" w14:textId="24C01B8E" w:rsidR="002907F2" w:rsidRDefault="002907F2" w:rsidP="0067275B">
      <w:pPr>
        <w:pStyle w:val="BodyText"/>
      </w:pPr>
      <w:r>
        <w:t xml:space="preserve">Providers can adjust or void paid or denied claims </w:t>
      </w:r>
      <w:r w:rsidR="0067275B">
        <w:t>i</w:t>
      </w:r>
      <w:r>
        <w:t xml:space="preserve">n </w:t>
      </w:r>
      <w:hyperlink r:id="rId33">
        <w:r w:rsidRPr="00275867">
          <w:rPr>
            <w:rStyle w:val="Hyperlink"/>
          </w:rPr>
          <w:t>eMOMED</w:t>
        </w:r>
      </w:hyperlink>
      <w:r>
        <w:rPr>
          <w:b/>
          <w:color w:val="E26C09"/>
        </w:rPr>
        <w:t xml:space="preserve"> </w:t>
      </w:r>
      <w:r>
        <w:t>up to 24 months from the DOS if the claim was submitted originally within 12 months of the DOS.</w:t>
      </w:r>
    </w:p>
    <w:p w14:paraId="21D425B9" w14:textId="57F45C63" w:rsidR="002907F2" w:rsidRDefault="002907F2" w:rsidP="0067275B">
      <w:pPr>
        <w:pStyle w:val="BodyText"/>
      </w:pPr>
      <w:r>
        <w:t xml:space="preserve">Providers should submit the </w:t>
      </w:r>
      <w:hyperlink r:id="rId34">
        <w:r w:rsidRPr="00275867">
          <w:rPr>
            <w:rStyle w:val="Hyperlink"/>
          </w:rPr>
          <w:t>Provider Initiated Self Disclosure Report Form</w:t>
        </w:r>
      </w:hyperlink>
      <w:r w:rsidRPr="002907F2">
        <w:t xml:space="preserve"> </w:t>
      </w:r>
      <w:r>
        <w:t>for overpaid claims</w:t>
      </w:r>
      <w:r w:rsidRPr="002907F2">
        <w:t xml:space="preserve"> </w:t>
      </w:r>
      <w:r>
        <w:t>older</w:t>
      </w:r>
      <w:r w:rsidRPr="002907F2">
        <w:t xml:space="preserve"> </w:t>
      </w:r>
      <w:r>
        <w:t>than</w:t>
      </w:r>
      <w:r w:rsidRPr="002907F2">
        <w:t xml:space="preserve"> </w:t>
      </w:r>
      <w:r>
        <w:t>24</w:t>
      </w:r>
      <w:r w:rsidRPr="002907F2">
        <w:t xml:space="preserve"> </w:t>
      </w:r>
      <w:r>
        <w:t>months</w:t>
      </w:r>
      <w:r w:rsidRPr="002907F2">
        <w:t xml:space="preserve"> </w:t>
      </w:r>
      <w:r>
        <w:t>from</w:t>
      </w:r>
      <w:r w:rsidRPr="002907F2">
        <w:t xml:space="preserve"> </w:t>
      </w:r>
      <w:r>
        <w:t>the</w:t>
      </w:r>
      <w:r w:rsidRPr="002907F2">
        <w:t xml:space="preserve"> </w:t>
      </w:r>
      <w:r>
        <w:t>DOS.</w:t>
      </w:r>
      <w:r w:rsidRPr="002907F2">
        <w:t xml:space="preserve"> </w:t>
      </w:r>
      <w:r>
        <w:t>Providers</w:t>
      </w:r>
      <w:r w:rsidRPr="002907F2">
        <w:t xml:space="preserve"> </w:t>
      </w:r>
      <w:r>
        <w:t>should</w:t>
      </w:r>
      <w:r w:rsidRPr="002907F2">
        <w:t xml:space="preserve"> </w:t>
      </w:r>
      <w:r>
        <w:t>complete</w:t>
      </w:r>
      <w:r w:rsidRPr="002907F2">
        <w:t xml:space="preserve"> </w:t>
      </w:r>
      <w:r>
        <w:t>all</w:t>
      </w:r>
      <w:r w:rsidRPr="002907F2">
        <w:t xml:space="preserve"> </w:t>
      </w:r>
      <w:r>
        <w:t>the</w:t>
      </w:r>
      <w:r w:rsidRPr="002907F2">
        <w:t xml:space="preserve"> </w:t>
      </w:r>
      <w:r>
        <w:t>fields listed on the form.</w:t>
      </w:r>
    </w:p>
    <w:p w14:paraId="62B7E147" w14:textId="7909F5D9" w:rsidR="002907F2" w:rsidRDefault="002907F2" w:rsidP="0067275B">
      <w:pPr>
        <w:pStyle w:val="BodyText"/>
      </w:pPr>
      <w:r>
        <w:t>Missouri</w:t>
      </w:r>
      <w:r>
        <w:rPr>
          <w:spacing w:val="-6"/>
        </w:rPr>
        <w:t xml:space="preserve"> </w:t>
      </w:r>
      <w:r>
        <w:t>Medicaid</w:t>
      </w:r>
      <w:r>
        <w:rPr>
          <w:spacing w:val="-6"/>
        </w:rPr>
        <w:t xml:space="preserve"> </w:t>
      </w:r>
      <w:r>
        <w:t>Audit</w:t>
      </w:r>
      <w:r>
        <w:rPr>
          <w:spacing w:val="-8"/>
        </w:rPr>
        <w:t xml:space="preserve"> </w:t>
      </w:r>
      <w:r>
        <w:t>and</w:t>
      </w:r>
      <w:r>
        <w:rPr>
          <w:spacing w:val="-6"/>
        </w:rPr>
        <w:t xml:space="preserve"> </w:t>
      </w:r>
      <w:r>
        <w:t>Compliance</w:t>
      </w:r>
      <w:r>
        <w:rPr>
          <w:spacing w:val="-5"/>
        </w:rPr>
        <w:t xml:space="preserve"> </w:t>
      </w:r>
      <w:r>
        <w:t>(MMAC)</w:t>
      </w:r>
      <w:r>
        <w:rPr>
          <w:spacing w:val="-5"/>
        </w:rPr>
        <w:t xml:space="preserve"> </w:t>
      </w:r>
      <w:r>
        <w:t>encourages</w:t>
      </w:r>
      <w:r>
        <w:rPr>
          <w:spacing w:val="-5"/>
        </w:rPr>
        <w:t xml:space="preserve"> </w:t>
      </w:r>
      <w:r>
        <w:t>providers</w:t>
      </w:r>
      <w:r>
        <w:rPr>
          <w:spacing w:val="-7"/>
        </w:rPr>
        <w:t xml:space="preserve"> </w:t>
      </w:r>
      <w:r>
        <w:t>and</w:t>
      </w:r>
      <w:r>
        <w:rPr>
          <w:spacing w:val="-6"/>
        </w:rPr>
        <w:t xml:space="preserve"> </w:t>
      </w:r>
      <w:r>
        <w:t>entities</w:t>
      </w:r>
      <w:r>
        <w:rPr>
          <w:spacing w:val="-5"/>
        </w:rPr>
        <w:t xml:space="preserve"> </w:t>
      </w:r>
      <w:r>
        <w:t>to</w:t>
      </w:r>
      <w:r>
        <w:rPr>
          <w:spacing w:val="-8"/>
        </w:rPr>
        <w:t xml:space="preserve"> </w:t>
      </w:r>
      <w:r>
        <w:t>establish</w:t>
      </w:r>
      <w:r>
        <w:rPr>
          <w:spacing w:val="-6"/>
        </w:rPr>
        <w:t xml:space="preserve"> </w:t>
      </w:r>
      <w:r>
        <w:t>and implement</w:t>
      </w:r>
      <w:r>
        <w:rPr>
          <w:spacing w:val="-11"/>
        </w:rPr>
        <w:t xml:space="preserve"> </w:t>
      </w:r>
      <w:r>
        <w:t>a</w:t>
      </w:r>
      <w:r>
        <w:rPr>
          <w:spacing w:val="-11"/>
        </w:rPr>
        <w:t xml:space="preserve"> </w:t>
      </w:r>
      <w:r>
        <w:t>compliance</w:t>
      </w:r>
      <w:r>
        <w:rPr>
          <w:spacing w:val="-12"/>
        </w:rPr>
        <w:t xml:space="preserve"> </w:t>
      </w:r>
      <w:r>
        <w:t>integrity</w:t>
      </w:r>
      <w:r>
        <w:rPr>
          <w:spacing w:val="-13"/>
        </w:rPr>
        <w:t xml:space="preserve"> </w:t>
      </w:r>
      <w:r>
        <w:t>plan.</w:t>
      </w:r>
      <w:r>
        <w:rPr>
          <w:spacing w:val="-13"/>
        </w:rPr>
        <w:t xml:space="preserve"> </w:t>
      </w:r>
      <w:r>
        <w:t>MMAC</w:t>
      </w:r>
      <w:r>
        <w:rPr>
          <w:spacing w:val="-10"/>
        </w:rPr>
        <w:t xml:space="preserve"> </w:t>
      </w:r>
      <w:r>
        <w:t>also</w:t>
      </w:r>
      <w:r>
        <w:rPr>
          <w:spacing w:val="-11"/>
        </w:rPr>
        <w:t xml:space="preserve"> </w:t>
      </w:r>
      <w:r>
        <w:t>encourages</w:t>
      </w:r>
      <w:r>
        <w:rPr>
          <w:spacing w:val="-10"/>
        </w:rPr>
        <w:t xml:space="preserve"> </w:t>
      </w:r>
      <w:r>
        <w:t>providers</w:t>
      </w:r>
      <w:r>
        <w:rPr>
          <w:spacing w:val="-13"/>
        </w:rPr>
        <w:t xml:space="preserve"> </w:t>
      </w:r>
      <w:r>
        <w:t>and</w:t>
      </w:r>
      <w:r>
        <w:rPr>
          <w:spacing w:val="-13"/>
        </w:rPr>
        <w:t xml:space="preserve"> </w:t>
      </w:r>
      <w:r>
        <w:t>entities</w:t>
      </w:r>
      <w:r>
        <w:rPr>
          <w:spacing w:val="-10"/>
        </w:rPr>
        <w:t xml:space="preserve"> </w:t>
      </w:r>
      <w:r>
        <w:t>to</w:t>
      </w:r>
      <w:r>
        <w:rPr>
          <w:spacing w:val="-13"/>
        </w:rPr>
        <w:t xml:space="preserve"> </w:t>
      </w:r>
      <w:r>
        <w:t>self-disclose or report findings, along with funds to compensate for the errors or a suggested repayment plan (which requires MMAC approval) to the address below:</w:t>
      </w:r>
    </w:p>
    <w:p w14:paraId="7E31170D" w14:textId="77777777" w:rsidR="002907F2" w:rsidRDefault="002907F2" w:rsidP="00BC24BB">
      <w:pPr>
        <w:pStyle w:val="Address"/>
      </w:pPr>
      <w:r w:rsidRPr="002907F2">
        <w:t>Missouri Medicaid Audit &amp; Compliance Financial Section</w:t>
      </w:r>
    </w:p>
    <w:p w14:paraId="434A4E0A" w14:textId="72BE00C9" w:rsidR="002907F2" w:rsidRPr="002907F2" w:rsidRDefault="002907F2" w:rsidP="00BC24BB">
      <w:pPr>
        <w:pStyle w:val="Address"/>
      </w:pPr>
      <w:r w:rsidRPr="002907F2">
        <w:t>SELF-DISCLOSURE</w:t>
      </w:r>
    </w:p>
    <w:p w14:paraId="14A0A908" w14:textId="273FD37A" w:rsidR="002907F2" w:rsidRPr="002907F2" w:rsidRDefault="002907F2" w:rsidP="00BC24BB">
      <w:pPr>
        <w:pStyle w:val="Address"/>
      </w:pPr>
      <w:r w:rsidRPr="002907F2">
        <w:t>P</w:t>
      </w:r>
      <w:r w:rsidR="009127A8">
        <w:t>O</w:t>
      </w:r>
      <w:r w:rsidRPr="002907F2">
        <w:t xml:space="preserve"> Box 6500</w:t>
      </w:r>
    </w:p>
    <w:p w14:paraId="728151C0" w14:textId="77777777" w:rsidR="002907F2" w:rsidRPr="002907F2" w:rsidRDefault="002907F2" w:rsidP="00BC24BB">
      <w:pPr>
        <w:pStyle w:val="Address"/>
      </w:pPr>
      <w:r w:rsidRPr="002907F2">
        <w:t>Jefferson City, MO 65102-6500</w:t>
      </w:r>
    </w:p>
    <w:p w14:paraId="662A1547" w14:textId="1A21C5EF" w:rsidR="002907F2" w:rsidRPr="00D81D80" w:rsidRDefault="002907F2" w:rsidP="0067275B">
      <w:pPr>
        <w:pStyle w:val="BodyText"/>
        <w:rPr>
          <w:b/>
        </w:rPr>
      </w:pPr>
      <w:r w:rsidRPr="00D81D80">
        <w:t>Providers</w:t>
      </w:r>
      <w:r w:rsidRPr="00D81D80">
        <w:rPr>
          <w:spacing w:val="-1"/>
        </w:rPr>
        <w:t xml:space="preserve"> </w:t>
      </w:r>
      <w:r w:rsidRPr="00D81D80">
        <w:t>should</w:t>
      </w:r>
      <w:r w:rsidRPr="00D81D80">
        <w:rPr>
          <w:spacing w:val="-1"/>
        </w:rPr>
        <w:t xml:space="preserve"> </w:t>
      </w:r>
      <w:r w:rsidRPr="00D81D80">
        <w:t>not adjust claims</w:t>
      </w:r>
      <w:r w:rsidRPr="00D81D80">
        <w:rPr>
          <w:spacing w:val="-1"/>
        </w:rPr>
        <w:t xml:space="preserve"> </w:t>
      </w:r>
      <w:r w:rsidRPr="00D81D80">
        <w:t>if the incorrect claim</w:t>
      </w:r>
      <w:r w:rsidR="009127A8">
        <w:t>s</w:t>
      </w:r>
      <w:r w:rsidRPr="00D81D80">
        <w:t xml:space="preserve"> </w:t>
      </w:r>
      <w:r w:rsidR="009127A8" w:rsidRPr="00D81D80">
        <w:t>w</w:t>
      </w:r>
      <w:r w:rsidR="009127A8">
        <w:t>ere</w:t>
      </w:r>
      <w:r w:rsidR="009127A8" w:rsidRPr="00D81D80">
        <w:rPr>
          <w:spacing w:val="-1"/>
        </w:rPr>
        <w:t xml:space="preserve"> </w:t>
      </w:r>
      <w:r w:rsidRPr="00D81D80">
        <w:t>identified</w:t>
      </w:r>
      <w:r w:rsidRPr="00D81D80">
        <w:rPr>
          <w:spacing w:val="-1"/>
        </w:rPr>
        <w:t xml:space="preserve"> </w:t>
      </w:r>
      <w:r w:rsidR="008E2A8B" w:rsidRPr="00D81D80">
        <w:t>because of</w:t>
      </w:r>
      <w:r w:rsidRPr="00D81D80">
        <w:t xml:space="preserve"> a MMAC</w:t>
      </w:r>
      <w:r w:rsidRPr="00D81D80">
        <w:rPr>
          <w:spacing w:val="-4"/>
        </w:rPr>
        <w:t xml:space="preserve"> </w:t>
      </w:r>
      <w:r w:rsidRPr="00D81D80">
        <w:t>audit</w:t>
      </w:r>
      <w:r w:rsidRPr="00D81D80">
        <w:rPr>
          <w:spacing w:val="-3"/>
        </w:rPr>
        <w:t xml:space="preserve"> </w:t>
      </w:r>
      <w:r w:rsidRPr="00D81D80">
        <w:t>or</w:t>
      </w:r>
      <w:r w:rsidRPr="00D81D80">
        <w:rPr>
          <w:spacing w:val="-3"/>
        </w:rPr>
        <w:t xml:space="preserve"> </w:t>
      </w:r>
      <w:r w:rsidRPr="00D81D80">
        <w:t>investigation.</w:t>
      </w:r>
      <w:r w:rsidRPr="00D81D80">
        <w:rPr>
          <w:spacing w:val="-4"/>
        </w:rPr>
        <w:t xml:space="preserve"> </w:t>
      </w:r>
      <w:r w:rsidRPr="00D81D80">
        <w:t>Providers</w:t>
      </w:r>
      <w:r w:rsidRPr="00D81D80">
        <w:rPr>
          <w:spacing w:val="-5"/>
        </w:rPr>
        <w:t xml:space="preserve"> </w:t>
      </w:r>
      <w:r w:rsidRPr="00D81D80">
        <w:t>should</w:t>
      </w:r>
      <w:r w:rsidRPr="00D81D80">
        <w:rPr>
          <w:spacing w:val="-5"/>
        </w:rPr>
        <w:t xml:space="preserve"> </w:t>
      </w:r>
      <w:r w:rsidRPr="00D81D80">
        <w:t>contact</w:t>
      </w:r>
      <w:r w:rsidRPr="00D81D80">
        <w:rPr>
          <w:spacing w:val="-3"/>
        </w:rPr>
        <w:t xml:space="preserve"> </w:t>
      </w:r>
      <w:r w:rsidRPr="00D81D80">
        <w:t>MMAC</w:t>
      </w:r>
      <w:r w:rsidRPr="00D81D80">
        <w:rPr>
          <w:spacing w:val="-4"/>
        </w:rPr>
        <w:t xml:space="preserve"> at </w:t>
      </w:r>
      <w:hyperlink r:id="rId35" w:history="1">
        <w:r w:rsidRPr="00275867">
          <w:rPr>
            <w:rStyle w:val="Hyperlink"/>
          </w:rPr>
          <w:t>MMAC.Financial@dss.mo.gov</w:t>
        </w:r>
      </w:hyperlink>
      <w:r w:rsidRPr="008E2A8B">
        <w:rPr>
          <w:color w:val="F79646" w:themeColor="accent6"/>
          <w:spacing w:val="-4"/>
        </w:rPr>
        <w:t xml:space="preserve"> </w:t>
      </w:r>
      <w:r w:rsidRPr="00D81D80">
        <w:t>to</w:t>
      </w:r>
      <w:r w:rsidRPr="00D81D80">
        <w:rPr>
          <w:spacing w:val="-4"/>
        </w:rPr>
        <w:t xml:space="preserve"> </w:t>
      </w:r>
      <w:r w:rsidRPr="00D81D80">
        <w:t>address</w:t>
      </w:r>
      <w:r w:rsidRPr="00D81D80">
        <w:rPr>
          <w:spacing w:val="-5"/>
        </w:rPr>
        <w:t xml:space="preserve"> </w:t>
      </w:r>
      <w:r w:rsidRPr="00D81D80">
        <w:t>repayment</w:t>
      </w:r>
      <w:r w:rsidRPr="00D81D80">
        <w:rPr>
          <w:spacing w:val="-3"/>
        </w:rPr>
        <w:t xml:space="preserve"> </w:t>
      </w:r>
      <w:r w:rsidRPr="00D81D80">
        <w:t>of the overpayment amount.</w:t>
      </w:r>
    </w:p>
    <w:p w14:paraId="777F3F99" w14:textId="513DFAB0" w:rsidR="002907F2" w:rsidRDefault="002907F2" w:rsidP="0067275B">
      <w:pPr>
        <w:pStyle w:val="BodyText"/>
      </w:pPr>
      <w:r>
        <w:t>Voiding</w:t>
      </w:r>
      <w:r>
        <w:rPr>
          <w:spacing w:val="-3"/>
        </w:rPr>
        <w:t xml:space="preserve"> </w:t>
      </w:r>
      <w:r>
        <w:t>a</w:t>
      </w:r>
      <w:r>
        <w:rPr>
          <w:spacing w:val="-4"/>
        </w:rPr>
        <w:t xml:space="preserve"> </w:t>
      </w:r>
      <w:r>
        <w:t>claim</w:t>
      </w:r>
      <w:r>
        <w:rPr>
          <w:spacing w:val="-2"/>
        </w:rPr>
        <w:t xml:space="preserve"> </w:t>
      </w:r>
      <w:r>
        <w:t>and</w:t>
      </w:r>
      <w:r>
        <w:rPr>
          <w:spacing w:val="-3"/>
        </w:rPr>
        <w:t xml:space="preserve"> </w:t>
      </w:r>
      <w:r>
        <w:t>submitting</w:t>
      </w:r>
      <w:r>
        <w:rPr>
          <w:spacing w:val="-3"/>
        </w:rPr>
        <w:t xml:space="preserve"> </w:t>
      </w:r>
      <w:r>
        <w:t>a</w:t>
      </w:r>
      <w:r>
        <w:rPr>
          <w:spacing w:val="-4"/>
        </w:rPr>
        <w:t xml:space="preserve"> </w:t>
      </w:r>
      <w:hyperlink r:id="rId36">
        <w:r w:rsidRPr="00275867">
          <w:rPr>
            <w:rStyle w:val="Hyperlink"/>
          </w:rPr>
          <w:t>Provider Initiated Self Disclosure Report Form</w:t>
        </w:r>
      </w:hyperlink>
      <w:r>
        <w:rPr>
          <w:b/>
          <w:color w:val="E26C09"/>
        </w:rPr>
        <w:t xml:space="preserve"> </w:t>
      </w:r>
      <w:r>
        <w:t>on</w:t>
      </w:r>
      <w:r>
        <w:rPr>
          <w:spacing w:val="-2"/>
        </w:rPr>
        <w:t xml:space="preserve"> </w:t>
      </w:r>
      <w:r>
        <w:t>the</w:t>
      </w:r>
      <w:r>
        <w:rPr>
          <w:spacing w:val="-5"/>
        </w:rPr>
        <w:t xml:space="preserve"> </w:t>
      </w:r>
      <w:r>
        <w:t>same claim can result in a double recoupment.</w:t>
      </w:r>
    </w:p>
    <w:p w14:paraId="25B424E7" w14:textId="3985965D" w:rsidR="002907F2" w:rsidRDefault="002907F2" w:rsidP="0067275B">
      <w:pPr>
        <w:pStyle w:val="BodyText"/>
      </w:pPr>
      <w:r>
        <w:t>Providers</w:t>
      </w:r>
      <w:r>
        <w:rPr>
          <w:spacing w:val="-5"/>
        </w:rPr>
        <w:t xml:space="preserve"> </w:t>
      </w:r>
      <w:r>
        <w:t>can</w:t>
      </w:r>
      <w:r>
        <w:rPr>
          <w:spacing w:val="-2"/>
        </w:rPr>
        <w:t xml:space="preserve"> </w:t>
      </w:r>
      <w:r>
        <w:t>direct</w:t>
      </w:r>
      <w:r>
        <w:rPr>
          <w:spacing w:val="-4"/>
        </w:rPr>
        <w:t xml:space="preserve"> </w:t>
      </w:r>
      <w:r>
        <w:t>questions</w:t>
      </w:r>
      <w:r>
        <w:rPr>
          <w:spacing w:val="-5"/>
        </w:rPr>
        <w:t xml:space="preserve"> </w:t>
      </w:r>
      <w:r>
        <w:t>regarding</w:t>
      </w:r>
      <w:r>
        <w:rPr>
          <w:spacing w:val="-4"/>
        </w:rPr>
        <w:t xml:space="preserve"> </w:t>
      </w:r>
      <w:r>
        <w:t>Self Disclosures</w:t>
      </w:r>
      <w:r>
        <w:rPr>
          <w:spacing w:val="-3"/>
        </w:rPr>
        <w:t xml:space="preserve"> </w:t>
      </w:r>
      <w:r>
        <w:t>to</w:t>
      </w:r>
      <w:r>
        <w:rPr>
          <w:spacing w:val="-4"/>
        </w:rPr>
        <w:t xml:space="preserve"> </w:t>
      </w:r>
      <w:r>
        <w:t>the</w:t>
      </w:r>
      <w:r>
        <w:rPr>
          <w:spacing w:val="-2"/>
        </w:rPr>
        <w:t xml:space="preserve"> </w:t>
      </w:r>
      <w:r>
        <w:t>MMAC</w:t>
      </w:r>
      <w:r>
        <w:rPr>
          <w:spacing w:val="-7"/>
        </w:rPr>
        <w:t xml:space="preserve"> </w:t>
      </w:r>
      <w:r>
        <w:t>Financial</w:t>
      </w:r>
      <w:r>
        <w:rPr>
          <w:spacing w:val="-2"/>
        </w:rPr>
        <w:t xml:space="preserve"> Section </w:t>
      </w:r>
      <w:r>
        <w:t>at</w:t>
      </w:r>
      <w:r>
        <w:rPr>
          <w:spacing w:val="-5"/>
        </w:rPr>
        <w:t xml:space="preserve"> </w:t>
      </w:r>
      <w:hyperlink r:id="rId37" w:history="1">
        <w:r w:rsidRPr="00275867">
          <w:rPr>
            <w:rStyle w:val="Hyperlink"/>
          </w:rPr>
          <w:t>MMAC.Financial@dss.mo.gov</w:t>
        </w:r>
      </w:hyperlink>
      <w:r>
        <w:rPr>
          <w:b/>
          <w:color w:val="E26C09"/>
        </w:rPr>
        <w:t xml:space="preserve"> </w:t>
      </w:r>
      <w:r>
        <w:t>or</w:t>
      </w:r>
      <w:r>
        <w:rPr>
          <w:spacing w:val="-3"/>
        </w:rPr>
        <w:t xml:space="preserve"> </w:t>
      </w:r>
      <w:r>
        <w:t>by</w:t>
      </w:r>
      <w:r>
        <w:rPr>
          <w:spacing w:val="-4"/>
        </w:rPr>
        <w:t xml:space="preserve"> </w:t>
      </w:r>
      <w:r>
        <w:t>calling</w:t>
      </w:r>
      <w:r>
        <w:rPr>
          <w:spacing w:val="-4"/>
        </w:rPr>
        <w:t xml:space="preserve"> </w:t>
      </w:r>
      <w:r w:rsidR="0067275B">
        <w:rPr>
          <w:spacing w:val="-4"/>
        </w:rPr>
        <w:t xml:space="preserve">(833) 818-1183 or </w:t>
      </w:r>
      <w:r>
        <w:t>(573)</w:t>
      </w:r>
      <w:r>
        <w:rPr>
          <w:spacing w:val="-4"/>
        </w:rPr>
        <w:t xml:space="preserve"> </w:t>
      </w:r>
      <w:r>
        <w:t>751-3399.</w:t>
      </w:r>
      <w:r>
        <w:rPr>
          <w:spacing w:val="-5"/>
        </w:rPr>
        <w:t xml:space="preserve"> </w:t>
      </w:r>
      <w:r>
        <w:t>More</w:t>
      </w:r>
      <w:r>
        <w:rPr>
          <w:spacing w:val="-3"/>
        </w:rPr>
        <w:t xml:space="preserve"> </w:t>
      </w:r>
      <w:r>
        <w:t>information</w:t>
      </w:r>
      <w:r>
        <w:rPr>
          <w:spacing w:val="-6"/>
        </w:rPr>
        <w:t xml:space="preserve"> </w:t>
      </w:r>
      <w:r>
        <w:t>is</w:t>
      </w:r>
      <w:r>
        <w:rPr>
          <w:spacing w:val="-4"/>
        </w:rPr>
        <w:t xml:space="preserve"> </w:t>
      </w:r>
      <w:r>
        <w:t>also</w:t>
      </w:r>
      <w:r>
        <w:rPr>
          <w:spacing w:val="-5"/>
        </w:rPr>
        <w:t xml:space="preserve"> </w:t>
      </w:r>
      <w:r>
        <w:t xml:space="preserve">available on the </w:t>
      </w:r>
      <w:hyperlink r:id="rId38">
        <w:r w:rsidRPr="00275867">
          <w:rPr>
            <w:rStyle w:val="Hyperlink"/>
          </w:rPr>
          <w:t>MMAC webpage</w:t>
        </w:r>
      </w:hyperlink>
      <w:r>
        <w:t>.</w:t>
      </w:r>
    </w:p>
    <w:p w14:paraId="798473A1" w14:textId="54FEC29E" w:rsidR="007A6195" w:rsidRPr="003732AB" w:rsidRDefault="00F914ED" w:rsidP="00275867">
      <w:pPr>
        <w:pStyle w:val="Heading3"/>
      </w:pPr>
      <w:bookmarkStart w:id="41" w:name="_Toc322590268"/>
      <w:bookmarkStart w:id="42" w:name="_Toc210124693"/>
      <w:bookmarkStart w:id="43" w:name="_Toc225163681"/>
      <w:r w:rsidRPr="003732AB">
        <w:t>1.5</w:t>
      </w:r>
      <w:r w:rsidR="009F27BA" w:rsidRPr="003732AB">
        <w:tab/>
      </w:r>
      <w:r w:rsidR="007A6195" w:rsidRPr="003732AB">
        <w:t>R</w:t>
      </w:r>
      <w:r w:rsidR="00C107CD" w:rsidRPr="003732AB">
        <w:t>eimbursement</w:t>
      </w:r>
      <w:bookmarkEnd w:id="41"/>
      <w:bookmarkEnd w:id="42"/>
      <w:bookmarkEnd w:id="43"/>
    </w:p>
    <w:p w14:paraId="6954D6D4" w14:textId="74E2F28A" w:rsidR="00BF1E9B" w:rsidRPr="003A37BD" w:rsidRDefault="000B7C53" w:rsidP="0067275B">
      <w:r w:rsidRPr="003A37BD">
        <w:t>MHD</w:t>
      </w:r>
      <w:r w:rsidR="007A6195" w:rsidRPr="003A37BD">
        <w:t xml:space="preserve"> reimburses the cost-sharing amount as determined by the Medicare contractor and reflected on the Medicare RA/EOB. </w:t>
      </w:r>
      <w:r w:rsidR="005F36A5" w:rsidRPr="003A37BD">
        <w:t>M</w:t>
      </w:r>
      <w:r w:rsidR="0067275B" w:rsidRPr="003A37BD">
        <w:t>HD</w:t>
      </w:r>
      <w:r w:rsidR="005F36A5" w:rsidRPr="003A37BD">
        <w:t xml:space="preserve"> </w:t>
      </w:r>
      <w:r w:rsidR="007A6195" w:rsidRPr="003A37BD">
        <w:t>prorates the reimbursement amount</w:t>
      </w:r>
      <w:r w:rsidR="009127A8" w:rsidRPr="003A37BD">
        <w:t>,</w:t>
      </w:r>
      <w:r w:rsidR="007A6195" w:rsidRPr="003A37BD">
        <w:t xml:space="preserve"> allowing a prorated amount for each date the individual was MO HealthNet eligible. Days on which the participant was not MO HealthNet eligible are not reimbursed.</w:t>
      </w:r>
      <w:r w:rsidR="009D251E" w:rsidRPr="003A37BD">
        <w:t xml:space="preserve"> </w:t>
      </w:r>
      <w:r w:rsidR="009127A8" w:rsidRPr="003A37BD">
        <w:t>E</w:t>
      </w:r>
      <w:r w:rsidR="009D251E" w:rsidRPr="003A37BD">
        <w:t>xceptions to this rule can be found in each</w:t>
      </w:r>
      <w:r w:rsidR="00D00B77">
        <w:t xml:space="preserve"> specific</w:t>
      </w:r>
      <w:r w:rsidR="009D251E" w:rsidRPr="003A37BD">
        <w:t xml:space="preserve"> </w:t>
      </w:r>
      <w:hyperlink r:id="rId39" w:history="1">
        <w:r w:rsidR="00BC24BB" w:rsidRPr="003A37BD">
          <w:rPr>
            <w:rStyle w:val="Hyperlink"/>
            <w:color w:val="163E64"/>
          </w:rPr>
          <w:t>Pro</w:t>
        </w:r>
        <w:r w:rsidR="00BC24BB">
          <w:rPr>
            <w:rStyle w:val="Hyperlink"/>
            <w:color w:val="163E64"/>
          </w:rPr>
          <w:t>vider</w:t>
        </w:r>
        <w:r w:rsidR="00BC24BB" w:rsidRPr="003A37BD">
          <w:rPr>
            <w:rStyle w:val="Hyperlink"/>
            <w:color w:val="F79646" w:themeColor="accent6"/>
          </w:rPr>
          <w:t xml:space="preserve"> </w:t>
        </w:r>
        <w:r w:rsidR="00BC24BB" w:rsidRPr="003A37BD">
          <w:rPr>
            <w:rStyle w:val="Hyperlink"/>
            <w:color w:val="163E64"/>
          </w:rPr>
          <w:t>Manual</w:t>
        </w:r>
      </w:hyperlink>
      <w:r w:rsidR="00BF1E9B" w:rsidRPr="003A37BD">
        <w:t>.</w:t>
      </w:r>
    </w:p>
    <w:p w14:paraId="41963411" w14:textId="3261F106" w:rsidR="007A6195" w:rsidRPr="004A7C74" w:rsidRDefault="008530E1" w:rsidP="0067275B">
      <w:r w:rsidRPr="004A7C74">
        <w:rPr>
          <w:color w:val="000000"/>
        </w:rPr>
        <w:t xml:space="preserve">Requests for provider training may be directed to </w:t>
      </w:r>
      <w:r w:rsidR="00A400F4" w:rsidRPr="004A7C74">
        <w:rPr>
          <w:color w:val="000000"/>
        </w:rPr>
        <w:t xml:space="preserve">MHD </w:t>
      </w:r>
      <w:r w:rsidRPr="004A7C74">
        <w:rPr>
          <w:color w:val="000000"/>
        </w:rPr>
        <w:t xml:space="preserve">Education and Training by email at </w:t>
      </w:r>
      <w:hyperlink r:id="rId40" w:history="1">
        <w:r w:rsidR="00A400F4" w:rsidRPr="00C72DA1">
          <w:rPr>
            <w:b/>
            <w:bCs/>
            <w:color w:val="163E64"/>
            <w:u w:val="single"/>
          </w:rPr>
          <w:t>MHD.Education@dss.mo.gov</w:t>
        </w:r>
      </w:hyperlink>
      <w:r w:rsidR="00A400F4" w:rsidRPr="004A7C74">
        <w:rPr>
          <w:color w:val="163E64"/>
          <w:u w:val="single"/>
        </w:rPr>
        <w:t xml:space="preserve"> </w:t>
      </w:r>
      <w:r w:rsidRPr="004A7C74">
        <w:rPr>
          <w:color w:val="000000"/>
        </w:rPr>
        <w:t xml:space="preserve">or by calling (573) 751-6683. Providers may also visit the </w:t>
      </w:r>
      <w:hyperlink r:id="rId41" w:history="1">
        <w:r w:rsidR="003B3461" w:rsidRPr="004A7C74">
          <w:rPr>
            <w:rStyle w:val="Hyperlink"/>
            <w:color w:val="163E64"/>
          </w:rPr>
          <w:t>Provider</w:t>
        </w:r>
        <w:r w:rsidR="003B3461" w:rsidRPr="004A7C74">
          <w:rPr>
            <w:rStyle w:val="Hyperlink"/>
            <w:color w:val="F79646" w:themeColor="accent6"/>
          </w:rPr>
          <w:t xml:space="preserve"> </w:t>
        </w:r>
        <w:r w:rsidR="003B3461" w:rsidRPr="004A7C74">
          <w:rPr>
            <w:rStyle w:val="Hyperlink"/>
            <w:color w:val="163E64"/>
          </w:rPr>
          <w:t>Information</w:t>
        </w:r>
      </w:hyperlink>
      <w:r w:rsidR="003B3461" w:rsidRPr="004A7C74">
        <w:rPr>
          <w:color w:val="000000"/>
        </w:rPr>
        <w:t xml:space="preserve"> </w:t>
      </w:r>
      <w:r w:rsidRPr="004A7C74">
        <w:rPr>
          <w:color w:val="000000"/>
        </w:rPr>
        <w:t>page for more information.</w:t>
      </w:r>
    </w:p>
    <w:sectPr w:rsidR="007A6195" w:rsidRPr="004A7C74" w:rsidSect="00BC24BB">
      <w:pgSz w:w="12240" w:h="15840"/>
      <w:pgMar w:top="1080" w:right="1080" w:bottom="1080" w:left="1080" w:header="21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DADB" w14:textId="77777777" w:rsidR="005814CB" w:rsidRDefault="005814CB" w:rsidP="007671B2">
      <w:pPr>
        <w:spacing w:before="0" w:line="240" w:lineRule="auto"/>
      </w:pPr>
      <w:r>
        <w:separator/>
      </w:r>
    </w:p>
  </w:endnote>
  <w:endnote w:type="continuationSeparator" w:id="0">
    <w:p w14:paraId="4F2BAA23" w14:textId="77777777" w:rsidR="005814CB" w:rsidRDefault="005814CB" w:rsidP="00767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0812" w14:textId="77777777" w:rsidR="00663D9E" w:rsidRDefault="00663D9E" w:rsidP="00710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A5654" w14:textId="77777777" w:rsidR="00663D9E" w:rsidRDefault="00663D9E" w:rsidP="007106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ABE2" w14:textId="0FD72193" w:rsidR="00663D9E" w:rsidRPr="0021596C" w:rsidRDefault="00663D9E" w:rsidP="00DC5876">
    <w:pPr>
      <w:pStyle w:val="Footer"/>
      <w:framePr w:wrap="around" w:vAnchor="text" w:hAnchor="page" w:x="11071" w:y="166"/>
      <w:rPr>
        <w:rStyle w:val="PageNumber"/>
        <w:rFonts w:cs="Tahoma"/>
      </w:rPr>
    </w:pPr>
    <w:r w:rsidRPr="0021596C">
      <w:rPr>
        <w:rStyle w:val="PageNumber"/>
        <w:rFonts w:cs="Tahoma"/>
      </w:rPr>
      <w:fldChar w:fldCharType="begin"/>
    </w:r>
    <w:r w:rsidRPr="0021596C">
      <w:rPr>
        <w:rStyle w:val="PageNumber"/>
        <w:rFonts w:cs="Tahoma"/>
      </w:rPr>
      <w:instrText xml:space="preserve">PAGE  </w:instrText>
    </w:r>
    <w:r w:rsidRPr="0021596C">
      <w:rPr>
        <w:rStyle w:val="PageNumber"/>
        <w:rFonts w:cs="Tahoma"/>
      </w:rPr>
      <w:fldChar w:fldCharType="separate"/>
    </w:r>
    <w:r w:rsidR="00420CD5">
      <w:rPr>
        <w:rStyle w:val="PageNumber"/>
        <w:rFonts w:cs="Tahoma"/>
        <w:noProof/>
      </w:rPr>
      <w:t>12</w:t>
    </w:r>
    <w:r w:rsidRPr="0021596C">
      <w:rPr>
        <w:rStyle w:val="PageNumber"/>
        <w:rFonts w:cs="Tahoma"/>
      </w:rPr>
      <w:fldChar w:fldCharType="end"/>
    </w:r>
  </w:p>
  <w:p w14:paraId="3E56A830" w14:textId="221814BB" w:rsidR="00663D9E" w:rsidRPr="00DC5876" w:rsidRDefault="00663D9E" w:rsidP="007106C6">
    <w:pPr>
      <w:pStyle w:val="Tex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D0F5" w14:textId="77777777" w:rsidR="005814CB" w:rsidRDefault="005814CB" w:rsidP="007671B2">
      <w:pPr>
        <w:spacing w:before="0" w:line="240" w:lineRule="auto"/>
      </w:pPr>
      <w:r>
        <w:separator/>
      </w:r>
    </w:p>
  </w:footnote>
  <w:footnote w:type="continuationSeparator" w:id="0">
    <w:p w14:paraId="36B8C80D" w14:textId="77777777" w:rsidR="005814CB" w:rsidRDefault="005814CB" w:rsidP="007671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B495" w14:textId="3B1A7D15" w:rsidR="00FF4325" w:rsidRPr="00BB7372" w:rsidRDefault="00663D9E" w:rsidP="00275867">
    <w:pPr>
      <w:pStyle w:val="Header"/>
    </w:pPr>
    <w:r w:rsidRPr="00BB7372">
      <w:t xml:space="preserve">Medicare/Medicaid Claims Processing – </w:t>
    </w:r>
    <w:r w:rsidR="00D2273B">
      <w:t>03</w:t>
    </w:r>
    <w:r w:rsidR="00275867">
      <w:t>/</w:t>
    </w:r>
    <w:r w:rsidR="00D2273B">
      <w:t>12</w:t>
    </w:r>
    <w:r w:rsidR="00275867">
      <w:t>/202</w:t>
    </w:r>
    <w:r w:rsidR="004343E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61B9E"/>
    <w:multiLevelType w:val="hybridMultilevel"/>
    <w:tmpl w:val="7312DE6C"/>
    <w:lvl w:ilvl="0" w:tplc="C65C4990">
      <w:start w:val="1"/>
      <w:numFmt w:val="decimal"/>
      <w:lvlText w:val="%1."/>
      <w:lvlJc w:val="left"/>
      <w:pPr>
        <w:ind w:left="97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53D28"/>
    <w:multiLevelType w:val="hybridMultilevel"/>
    <w:tmpl w:val="F7704B54"/>
    <w:lvl w:ilvl="0" w:tplc="EE0609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85C21"/>
    <w:multiLevelType w:val="hybridMultilevel"/>
    <w:tmpl w:val="6346D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6"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7" w15:restartNumberingAfterBreak="0">
    <w:nsid w:val="0E377F90"/>
    <w:multiLevelType w:val="hybridMultilevel"/>
    <w:tmpl w:val="F78E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405F0"/>
    <w:multiLevelType w:val="hybridMultilevel"/>
    <w:tmpl w:val="3DB4B762"/>
    <w:lvl w:ilvl="0" w:tplc="04090001">
      <w:start w:val="1"/>
      <w:numFmt w:val="bullet"/>
      <w:lvlText w:val=""/>
      <w:lvlJc w:val="left"/>
      <w:pPr>
        <w:ind w:left="979"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1" w15:restartNumberingAfterBreak="0">
    <w:nsid w:val="22B94CCE"/>
    <w:multiLevelType w:val="hybridMultilevel"/>
    <w:tmpl w:val="E302588A"/>
    <w:lvl w:ilvl="0" w:tplc="E0EC47FC">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15:restartNumberingAfterBreak="0">
    <w:nsid w:val="24BF75A1"/>
    <w:multiLevelType w:val="hybridMultilevel"/>
    <w:tmpl w:val="8B04A8F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7471E9"/>
    <w:multiLevelType w:val="hybridMultilevel"/>
    <w:tmpl w:val="A4EA1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450630"/>
    <w:multiLevelType w:val="hybridMultilevel"/>
    <w:tmpl w:val="338CCAEA"/>
    <w:lvl w:ilvl="0" w:tplc="C65C4990">
      <w:start w:val="1"/>
      <w:numFmt w:val="decimal"/>
      <w:lvlText w:val="%1."/>
      <w:lvlJc w:val="left"/>
      <w:pPr>
        <w:ind w:left="169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7"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8" w15:restartNumberingAfterBreak="0">
    <w:nsid w:val="3DFB7467"/>
    <w:multiLevelType w:val="hybridMultilevel"/>
    <w:tmpl w:val="8998EFD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20" w15:restartNumberingAfterBreak="0">
    <w:nsid w:val="44966B6B"/>
    <w:multiLevelType w:val="hybridMultilevel"/>
    <w:tmpl w:val="4FA4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2" w15:restartNumberingAfterBreak="0">
    <w:nsid w:val="47AB3A34"/>
    <w:multiLevelType w:val="hybridMultilevel"/>
    <w:tmpl w:val="58146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172CA6"/>
    <w:multiLevelType w:val="hybridMultilevel"/>
    <w:tmpl w:val="0C1CE75A"/>
    <w:lvl w:ilvl="0" w:tplc="2F0A1336">
      <w:numFmt w:val="bullet"/>
      <w:lvlText w:val="•"/>
      <w:lvlJc w:val="left"/>
      <w:pPr>
        <w:ind w:left="2419" w:hanging="360"/>
      </w:pPr>
      <w:rPr>
        <w:rFonts w:ascii="Tahoma" w:eastAsia="Times New Roman"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917F72"/>
    <w:multiLevelType w:val="hybridMultilevel"/>
    <w:tmpl w:val="3BCC8F24"/>
    <w:lvl w:ilvl="0" w:tplc="2F0A1336">
      <w:numFmt w:val="bullet"/>
      <w:lvlText w:val="•"/>
      <w:lvlJc w:val="left"/>
      <w:pPr>
        <w:ind w:left="979" w:hanging="360"/>
      </w:pPr>
      <w:rPr>
        <w:rFonts w:ascii="Tahoma" w:eastAsia="Times New Roman"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B727E9"/>
    <w:multiLevelType w:val="hybridMultilevel"/>
    <w:tmpl w:val="7AEAE0C0"/>
    <w:lvl w:ilvl="0" w:tplc="04090001">
      <w:start w:val="1"/>
      <w:numFmt w:val="bullet"/>
      <w:lvlText w:val=""/>
      <w:lvlJc w:val="left"/>
      <w:pPr>
        <w:ind w:left="979"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8"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9"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6E857D3"/>
    <w:multiLevelType w:val="hybridMultilevel"/>
    <w:tmpl w:val="12129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AE5515"/>
    <w:multiLevelType w:val="hybridMultilevel"/>
    <w:tmpl w:val="701C6564"/>
    <w:lvl w:ilvl="0" w:tplc="3B0EE0AA">
      <w:start w:val="1"/>
      <w:numFmt w:val="decimal"/>
      <w:lvlText w:val="%1."/>
      <w:lvlJc w:val="left"/>
      <w:pPr>
        <w:ind w:left="979"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2"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4"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5"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6" w15:restartNumberingAfterBreak="0">
    <w:nsid w:val="618751EE"/>
    <w:multiLevelType w:val="hybridMultilevel"/>
    <w:tmpl w:val="C5E8D4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682E7695"/>
    <w:multiLevelType w:val="hybridMultilevel"/>
    <w:tmpl w:val="E738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40"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41"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2"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4"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5" w15:restartNumberingAfterBreak="0">
    <w:nsid w:val="7E5A266B"/>
    <w:multiLevelType w:val="hybridMultilevel"/>
    <w:tmpl w:val="77E4CE26"/>
    <w:lvl w:ilvl="0" w:tplc="40AEA9B0">
      <w:numFmt w:val="bullet"/>
      <w:lvlText w:val="•"/>
      <w:lvlJc w:val="left"/>
      <w:pPr>
        <w:ind w:left="979" w:hanging="360"/>
      </w:pPr>
      <w:rPr>
        <w:rFonts w:ascii="Tahoma" w:eastAsia="Times New Roman"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46A3E"/>
    <w:multiLevelType w:val="hybridMultilevel"/>
    <w:tmpl w:val="54DE3114"/>
    <w:lvl w:ilvl="0" w:tplc="04090001">
      <w:start w:val="1"/>
      <w:numFmt w:val="bullet"/>
      <w:lvlText w:val=""/>
      <w:lvlJc w:val="left"/>
      <w:pPr>
        <w:ind w:left="979"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3131286">
    <w:abstractNumId w:val="3"/>
  </w:num>
  <w:num w:numId="2" w16cid:durableId="215050101">
    <w:abstractNumId w:val="11"/>
  </w:num>
  <w:num w:numId="3" w16cid:durableId="70859729">
    <w:abstractNumId w:val="12"/>
  </w:num>
  <w:num w:numId="4" w16cid:durableId="785735164">
    <w:abstractNumId w:val="4"/>
  </w:num>
  <w:num w:numId="5" w16cid:durableId="1867281868">
    <w:abstractNumId w:val="47"/>
  </w:num>
  <w:num w:numId="6" w16cid:durableId="176971855">
    <w:abstractNumId w:val="13"/>
  </w:num>
  <w:num w:numId="7" w16cid:durableId="1139300096">
    <w:abstractNumId w:val="7"/>
  </w:num>
  <w:num w:numId="8" w16cid:durableId="355467365">
    <w:abstractNumId w:val="18"/>
  </w:num>
  <w:num w:numId="9" w16cid:durableId="1531183971">
    <w:abstractNumId w:val="22"/>
  </w:num>
  <w:num w:numId="10" w16cid:durableId="1156072289">
    <w:abstractNumId w:val="24"/>
  </w:num>
  <w:num w:numId="11" w16cid:durableId="1453161913">
    <w:abstractNumId w:val="45"/>
  </w:num>
  <w:num w:numId="12" w16cid:durableId="232206687">
    <w:abstractNumId w:val="23"/>
  </w:num>
  <w:num w:numId="13" w16cid:durableId="943730958">
    <w:abstractNumId w:val="2"/>
  </w:num>
  <w:num w:numId="14" w16cid:durableId="1396197237">
    <w:abstractNumId w:val="14"/>
  </w:num>
  <w:num w:numId="15" w16cid:durableId="465047454">
    <w:abstractNumId w:val="31"/>
  </w:num>
  <w:num w:numId="16" w16cid:durableId="1851144079">
    <w:abstractNumId w:val="9"/>
  </w:num>
  <w:num w:numId="17" w16cid:durableId="45184844">
    <w:abstractNumId w:val="36"/>
  </w:num>
  <w:num w:numId="18" w16cid:durableId="896936824">
    <w:abstractNumId w:val="25"/>
  </w:num>
  <w:num w:numId="19" w16cid:durableId="20137949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3282287">
    <w:abstractNumId w:val="30"/>
  </w:num>
  <w:num w:numId="21" w16cid:durableId="1420906103">
    <w:abstractNumId w:val="1"/>
  </w:num>
  <w:num w:numId="22" w16cid:durableId="1210149540">
    <w:abstractNumId w:val="37"/>
  </w:num>
  <w:num w:numId="23" w16cid:durableId="1481190544">
    <w:abstractNumId w:val="20"/>
  </w:num>
  <w:num w:numId="24" w16cid:durableId="1706059249">
    <w:abstractNumId w:val="27"/>
  </w:num>
  <w:num w:numId="25" w16cid:durableId="1562935018">
    <w:abstractNumId w:val="10"/>
  </w:num>
  <w:num w:numId="26" w16cid:durableId="1217812452">
    <w:abstractNumId w:val="34"/>
  </w:num>
  <w:num w:numId="27" w16cid:durableId="1489587593">
    <w:abstractNumId w:val="16"/>
  </w:num>
  <w:num w:numId="28" w16cid:durableId="1184436609">
    <w:abstractNumId w:val="35"/>
  </w:num>
  <w:num w:numId="29" w16cid:durableId="1922521515">
    <w:abstractNumId w:val="19"/>
  </w:num>
  <w:num w:numId="30" w16cid:durableId="1665626593">
    <w:abstractNumId w:val="43"/>
  </w:num>
  <w:num w:numId="31" w16cid:durableId="1307055253">
    <w:abstractNumId w:val="33"/>
  </w:num>
  <w:num w:numId="32" w16cid:durableId="1645282151">
    <w:abstractNumId w:val="21"/>
  </w:num>
  <w:num w:numId="33" w16cid:durableId="1504854652">
    <w:abstractNumId w:val="6"/>
  </w:num>
  <w:num w:numId="34" w16cid:durableId="1329871257">
    <w:abstractNumId w:val="40"/>
  </w:num>
  <w:num w:numId="35" w16cid:durableId="2084906228">
    <w:abstractNumId w:val="5"/>
  </w:num>
  <w:num w:numId="36" w16cid:durableId="1897466216">
    <w:abstractNumId w:val="39"/>
  </w:num>
  <w:num w:numId="37" w16cid:durableId="1161002254">
    <w:abstractNumId w:val="44"/>
  </w:num>
  <w:num w:numId="38" w16cid:durableId="596409587">
    <w:abstractNumId w:val="28"/>
  </w:num>
  <w:num w:numId="39" w16cid:durableId="178087173">
    <w:abstractNumId w:val="17"/>
  </w:num>
  <w:num w:numId="40" w16cid:durableId="1941721278">
    <w:abstractNumId w:val="0"/>
  </w:num>
  <w:num w:numId="41" w16cid:durableId="1501196841">
    <w:abstractNumId w:val="32"/>
  </w:num>
  <w:num w:numId="42" w16cid:durableId="585268515">
    <w:abstractNumId w:val="46"/>
  </w:num>
  <w:num w:numId="43" w16cid:durableId="1539587631">
    <w:abstractNumId w:val="29"/>
  </w:num>
  <w:num w:numId="44" w16cid:durableId="306863134">
    <w:abstractNumId w:val="15"/>
  </w:num>
  <w:num w:numId="45" w16cid:durableId="1581404745">
    <w:abstractNumId w:val="8"/>
  </w:num>
  <w:num w:numId="46" w16cid:durableId="10382666">
    <w:abstractNumId w:val="38"/>
  </w:num>
  <w:num w:numId="47" w16cid:durableId="1343315691">
    <w:abstractNumId w:val="41"/>
  </w:num>
  <w:num w:numId="48" w16cid:durableId="1030103911">
    <w:abstractNumId w:val="26"/>
  </w:num>
  <w:num w:numId="49" w16cid:durableId="2228395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bp+WuDBmO2HYhkuRrcyqdBHLZ6Zhxr/xZnCLxUjgGUvZVWA3KQpdKjNbczF85MKeDfXybpCEvcod7Ac5eBkUw==" w:salt="La1tZE3klIdiSrCG0CRQb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3MLM0MTYyNTI0MDVU0lEKTi0uzszPAykwqwUAOX6uPSwAAAA="/>
  </w:docVars>
  <w:rsids>
    <w:rsidRoot w:val="007A6195"/>
    <w:rsid w:val="000000E5"/>
    <w:rsid w:val="000008FE"/>
    <w:rsid w:val="000015EE"/>
    <w:rsid w:val="0001747C"/>
    <w:rsid w:val="0002302C"/>
    <w:rsid w:val="00031E87"/>
    <w:rsid w:val="0003557F"/>
    <w:rsid w:val="000369FB"/>
    <w:rsid w:val="00044ECE"/>
    <w:rsid w:val="0004655C"/>
    <w:rsid w:val="00046EBE"/>
    <w:rsid w:val="00047185"/>
    <w:rsid w:val="0005310C"/>
    <w:rsid w:val="00067B27"/>
    <w:rsid w:val="000737AD"/>
    <w:rsid w:val="000766BF"/>
    <w:rsid w:val="000870A9"/>
    <w:rsid w:val="00091107"/>
    <w:rsid w:val="000974EA"/>
    <w:rsid w:val="000A5327"/>
    <w:rsid w:val="000B2DF2"/>
    <w:rsid w:val="000B3BA7"/>
    <w:rsid w:val="000B4C5B"/>
    <w:rsid w:val="000B5F64"/>
    <w:rsid w:val="000B6108"/>
    <w:rsid w:val="000B7C53"/>
    <w:rsid w:val="000D0ED5"/>
    <w:rsid w:val="000E4478"/>
    <w:rsid w:val="000E4C12"/>
    <w:rsid w:val="000E5501"/>
    <w:rsid w:val="000F020A"/>
    <w:rsid w:val="000F294F"/>
    <w:rsid w:val="000F78AA"/>
    <w:rsid w:val="00104762"/>
    <w:rsid w:val="00104DDF"/>
    <w:rsid w:val="00105BD9"/>
    <w:rsid w:val="00113DF3"/>
    <w:rsid w:val="00114532"/>
    <w:rsid w:val="00114CAD"/>
    <w:rsid w:val="00123536"/>
    <w:rsid w:val="001325F7"/>
    <w:rsid w:val="00142562"/>
    <w:rsid w:val="00143FA3"/>
    <w:rsid w:val="001601BD"/>
    <w:rsid w:val="00162587"/>
    <w:rsid w:val="001657DE"/>
    <w:rsid w:val="001659B8"/>
    <w:rsid w:val="0017015E"/>
    <w:rsid w:val="0018020F"/>
    <w:rsid w:val="001A567D"/>
    <w:rsid w:val="001A7F52"/>
    <w:rsid w:val="001B5A09"/>
    <w:rsid w:val="001C1DAB"/>
    <w:rsid w:val="001D09FE"/>
    <w:rsid w:val="001F22B2"/>
    <w:rsid w:val="001F2F6E"/>
    <w:rsid w:val="001F65BF"/>
    <w:rsid w:val="001F6998"/>
    <w:rsid w:val="002044EC"/>
    <w:rsid w:val="0021596C"/>
    <w:rsid w:val="00221310"/>
    <w:rsid w:val="00246193"/>
    <w:rsid w:val="00261038"/>
    <w:rsid w:val="00265E7A"/>
    <w:rsid w:val="002727A8"/>
    <w:rsid w:val="0027496B"/>
    <w:rsid w:val="00275867"/>
    <w:rsid w:val="002773F0"/>
    <w:rsid w:val="002840FA"/>
    <w:rsid w:val="002907F2"/>
    <w:rsid w:val="002A1C24"/>
    <w:rsid w:val="002A28AF"/>
    <w:rsid w:val="002A4F6A"/>
    <w:rsid w:val="002A7B9B"/>
    <w:rsid w:val="002B2ED5"/>
    <w:rsid w:val="002C1E0B"/>
    <w:rsid w:val="002C3D47"/>
    <w:rsid w:val="002D19C7"/>
    <w:rsid w:val="002D3C49"/>
    <w:rsid w:val="002F0080"/>
    <w:rsid w:val="002F29C1"/>
    <w:rsid w:val="002F5C2D"/>
    <w:rsid w:val="002F6ED2"/>
    <w:rsid w:val="00303A37"/>
    <w:rsid w:val="003056EC"/>
    <w:rsid w:val="003069E4"/>
    <w:rsid w:val="00313D2F"/>
    <w:rsid w:val="00323245"/>
    <w:rsid w:val="00324AB4"/>
    <w:rsid w:val="003426BE"/>
    <w:rsid w:val="003470B0"/>
    <w:rsid w:val="003512CC"/>
    <w:rsid w:val="003534D0"/>
    <w:rsid w:val="00353DB3"/>
    <w:rsid w:val="00361337"/>
    <w:rsid w:val="00366A51"/>
    <w:rsid w:val="00370A26"/>
    <w:rsid w:val="003718BC"/>
    <w:rsid w:val="0037270F"/>
    <w:rsid w:val="003732AB"/>
    <w:rsid w:val="003972C0"/>
    <w:rsid w:val="0039730D"/>
    <w:rsid w:val="003A37BD"/>
    <w:rsid w:val="003A724F"/>
    <w:rsid w:val="003B3461"/>
    <w:rsid w:val="003E3D7F"/>
    <w:rsid w:val="003E6E32"/>
    <w:rsid w:val="003E711B"/>
    <w:rsid w:val="003F0CD9"/>
    <w:rsid w:val="003F35F7"/>
    <w:rsid w:val="00404EF2"/>
    <w:rsid w:val="00406907"/>
    <w:rsid w:val="004071C2"/>
    <w:rsid w:val="00407900"/>
    <w:rsid w:val="004079DD"/>
    <w:rsid w:val="00415478"/>
    <w:rsid w:val="00420CD5"/>
    <w:rsid w:val="00424D94"/>
    <w:rsid w:val="00426054"/>
    <w:rsid w:val="00426A78"/>
    <w:rsid w:val="004324F6"/>
    <w:rsid w:val="004343E5"/>
    <w:rsid w:val="00453A86"/>
    <w:rsid w:val="00454B09"/>
    <w:rsid w:val="00464C6C"/>
    <w:rsid w:val="00465BC6"/>
    <w:rsid w:val="00467252"/>
    <w:rsid w:val="00473A95"/>
    <w:rsid w:val="004751A7"/>
    <w:rsid w:val="004753D1"/>
    <w:rsid w:val="004756C8"/>
    <w:rsid w:val="00476515"/>
    <w:rsid w:val="00481AB0"/>
    <w:rsid w:val="0048476B"/>
    <w:rsid w:val="004873B9"/>
    <w:rsid w:val="004914DA"/>
    <w:rsid w:val="00493CD6"/>
    <w:rsid w:val="004A0715"/>
    <w:rsid w:val="004A106E"/>
    <w:rsid w:val="004A1C05"/>
    <w:rsid w:val="004A41D1"/>
    <w:rsid w:val="004A44CB"/>
    <w:rsid w:val="004A7C74"/>
    <w:rsid w:val="004B0BA5"/>
    <w:rsid w:val="004B4DBA"/>
    <w:rsid w:val="004B7F61"/>
    <w:rsid w:val="004C1DF1"/>
    <w:rsid w:val="004C2A16"/>
    <w:rsid w:val="004C3921"/>
    <w:rsid w:val="004C3A4A"/>
    <w:rsid w:val="004D2CBD"/>
    <w:rsid w:val="004E7A39"/>
    <w:rsid w:val="004F038D"/>
    <w:rsid w:val="004F44FB"/>
    <w:rsid w:val="005035A7"/>
    <w:rsid w:val="00504432"/>
    <w:rsid w:val="005055E7"/>
    <w:rsid w:val="00512752"/>
    <w:rsid w:val="00517AAD"/>
    <w:rsid w:val="0052221D"/>
    <w:rsid w:val="00522C8E"/>
    <w:rsid w:val="00525832"/>
    <w:rsid w:val="00527FD9"/>
    <w:rsid w:val="005357FA"/>
    <w:rsid w:val="00537FC9"/>
    <w:rsid w:val="005415D9"/>
    <w:rsid w:val="00543BAC"/>
    <w:rsid w:val="005442F8"/>
    <w:rsid w:val="0055182E"/>
    <w:rsid w:val="00564A84"/>
    <w:rsid w:val="0056749E"/>
    <w:rsid w:val="00573F14"/>
    <w:rsid w:val="00575479"/>
    <w:rsid w:val="00575487"/>
    <w:rsid w:val="005754A7"/>
    <w:rsid w:val="00576C1E"/>
    <w:rsid w:val="005814CB"/>
    <w:rsid w:val="00587170"/>
    <w:rsid w:val="00590A9D"/>
    <w:rsid w:val="005A37C5"/>
    <w:rsid w:val="005B1FFF"/>
    <w:rsid w:val="005C4014"/>
    <w:rsid w:val="005C5998"/>
    <w:rsid w:val="005D5F61"/>
    <w:rsid w:val="005E2E46"/>
    <w:rsid w:val="005F36A5"/>
    <w:rsid w:val="005F3840"/>
    <w:rsid w:val="005F3FD8"/>
    <w:rsid w:val="00613D1E"/>
    <w:rsid w:val="0061576A"/>
    <w:rsid w:val="00631FF8"/>
    <w:rsid w:val="00633085"/>
    <w:rsid w:val="00635466"/>
    <w:rsid w:val="00642A71"/>
    <w:rsid w:val="00646BE6"/>
    <w:rsid w:val="00646C14"/>
    <w:rsid w:val="00646FA9"/>
    <w:rsid w:val="00647928"/>
    <w:rsid w:val="0065605C"/>
    <w:rsid w:val="00656487"/>
    <w:rsid w:val="006627FA"/>
    <w:rsid w:val="00663D9E"/>
    <w:rsid w:val="0066414B"/>
    <w:rsid w:val="0066679D"/>
    <w:rsid w:val="0067275B"/>
    <w:rsid w:val="00675180"/>
    <w:rsid w:val="00675204"/>
    <w:rsid w:val="00684325"/>
    <w:rsid w:val="00684546"/>
    <w:rsid w:val="00684C55"/>
    <w:rsid w:val="00693507"/>
    <w:rsid w:val="00694181"/>
    <w:rsid w:val="00695B4D"/>
    <w:rsid w:val="006A0432"/>
    <w:rsid w:val="006A308B"/>
    <w:rsid w:val="006A656E"/>
    <w:rsid w:val="006C3B4C"/>
    <w:rsid w:val="006D1B03"/>
    <w:rsid w:val="006D1D84"/>
    <w:rsid w:val="006D2CB1"/>
    <w:rsid w:val="006D50DB"/>
    <w:rsid w:val="006E2B99"/>
    <w:rsid w:val="006F26CC"/>
    <w:rsid w:val="006F2D1A"/>
    <w:rsid w:val="00700AF8"/>
    <w:rsid w:val="00701FCF"/>
    <w:rsid w:val="00703756"/>
    <w:rsid w:val="00703912"/>
    <w:rsid w:val="00710086"/>
    <w:rsid w:val="007106C6"/>
    <w:rsid w:val="007108BF"/>
    <w:rsid w:val="00711AE2"/>
    <w:rsid w:val="007172EC"/>
    <w:rsid w:val="007302CF"/>
    <w:rsid w:val="00734D5B"/>
    <w:rsid w:val="007379D2"/>
    <w:rsid w:val="007421A6"/>
    <w:rsid w:val="00742A1D"/>
    <w:rsid w:val="00754769"/>
    <w:rsid w:val="00756E3E"/>
    <w:rsid w:val="0076654F"/>
    <w:rsid w:val="007671B2"/>
    <w:rsid w:val="0078107D"/>
    <w:rsid w:val="00782717"/>
    <w:rsid w:val="007874FA"/>
    <w:rsid w:val="007933F9"/>
    <w:rsid w:val="00795A1B"/>
    <w:rsid w:val="007A0D6C"/>
    <w:rsid w:val="007A1788"/>
    <w:rsid w:val="007A6195"/>
    <w:rsid w:val="007B43DA"/>
    <w:rsid w:val="007C2BB3"/>
    <w:rsid w:val="007C30DD"/>
    <w:rsid w:val="007C4A5D"/>
    <w:rsid w:val="007D540B"/>
    <w:rsid w:val="007F310F"/>
    <w:rsid w:val="007F3E44"/>
    <w:rsid w:val="007F640E"/>
    <w:rsid w:val="00802A0E"/>
    <w:rsid w:val="0080710D"/>
    <w:rsid w:val="00807508"/>
    <w:rsid w:val="00811B67"/>
    <w:rsid w:val="00814E40"/>
    <w:rsid w:val="008209D8"/>
    <w:rsid w:val="00831406"/>
    <w:rsid w:val="00831B7A"/>
    <w:rsid w:val="00850F4B"/>
    <w:rsid w:val="00851866"/>
    <w:rsid w:val="00851E94"/>
    <w:rsid w:val="008530E1"/>
    <w:rsid w:val="0085515A"/>
    <w:rsid w:val="008557E7"/>
    <w:rsid w:val="00861E49"/>
    <w:rsid w:val="00864004"/>
    <w:rsid w:val="008669EA"/>
    <w:rsid w:val="00866C8A"/>
    <w:rsid w:val="0087090C"/>
    <w:rsid w:val="00874C71"/>
    <w:rsid w:val="00880C28"/>
    <w:rsid w:val="008911D3"/>
    <w:rsid w:val="008962AC"/>
    <w:rsid w:val="008A2710"/>
    <w:rsid w:val="008A7C58"/>
    <w:rsid w:val="008B7524"/>
    <w:rsid w:val="008C1314"/>
    <w:rsid w:val="008C43E4"/>
    <w:rsid w:val="008C47C8"/>
    <w:rsid w:val="008D1B52"/>
    <w:rsid w:val="008E192B"/>
    <w:rsid w:val="008E2A8B"/>
    <w:rsid w:val="008E36AC"/>
    <w:rsid w:val="008E3810"/>
    <w:rsid w:val="008E6F46"/>
    <w:rsid w:val="008F1862"/>
    <w:rsid w:val="009016C8"/>
    <w:rsid w:val="00902A40"/>
    <w:rsid w:val="009048FB"/>
    <w:rsid w:val="009127A8"/>
    <w:rsid w:val="00921736"/>
    <w:rsid w:val="00930C5B"/>
    <w:rsid w:val="0093195D"/>
    <w:rsid w:val="0093260B"/>
    <w:rsid w:val="009333F9"/>
    <w:rsid w:val="0093490A"/>
    <w:rsid w:val="009513FD"/>
    <w:rsid w:val="00951C89"/>
    <w:rsid w:val="00954F8A"/>
    <w:rsid w:val="009615A2"/>
    <w:rsid w:val="009625D2"/>
    <w:rsid w:val="00962E25"/>
    <w:rsid w:val="00962FEF"/>
    <w:rsid w:val="009643E1"/>
    <w:rsid w:val="00974AB7"/>
    <w:rsid w:val="00976571"/>
    <w:rsid w:val="009767A0"/>
    <w:rsid w:val="00977E1D"/>
    <w:rsid w:val="00983B04"/>
    <w:rsid w:val="009901B1"/>
    <w:rsid w:val="00992E3F"/>
    <w:rsid w:val="009A18F4"/>
    <w:rsid w:val="009B0036"/>
    <w:rsid w:val="009B638A"/>
    <w:rsid w:val="009C0EA6"/>
    <w:rsid w:val="009C38DA"/>
    <w:rsid w:val="009C5AAB"/>
    <w:rsid w:val="009D221D"/>
    <w:rsid w:val="009D251E"/>
    <w:rsid w:val="009D3DAD"/>
    <w:rsid w:val="009D4602"/>
    <w:rsid w:val="009E088B"/>
    <w:rsid w:val="009E59D4"/>
    <w:rsid w:val="009F049C"/>
    <w:rsid w:val="009F0A1E"/>
    <w:rsid w:val="009F27BA"/>
    <w:rsid w:val="009F327C"/>
    <w:rsid w:val="009F7B52"/>
    <w:rsid w:val="00A005D9"/>
    <w:rsid w:val="00A03970"/>
    <w:rsid w:val="00A079F4"/>
    <w:rsid w:val="00A238D5"/>
    <w:rsid w:val="00A33AD4"/>
    <w:rsid w:val="00A33C37"/>
    <w:rsid w:val="00A33CD1"/>
    <w:rsid w:val="00A400F4"/>
    <w:rsid w:val="00A4270F"/>
    <w:rsid w:val="00A45E13"/>
    <w:rsid w:val="00A471ED"/>
    <w:rsid w:val="00A51581"/>
    <w:rsid w:val="00A51AC3"/>
    <w:rsid w:val="00A546A4"/>
    <w:rsid w:val="00A5714A"/>
    <w:rsid w:val="00A62677"/>
    <w:rsid w:val="00A64500"/>
    <w:rsid w:val="00A741D6"/>
    <w:rsid w:val="00A77296"/>
    <w:rsid w:val="00A8021A"/>
    <w:rsid w:val="00A82A84"/>
    <w:rsid w:val="00A83190"/>
    <w:rsid w:val="00A91BA6"/>
    <w:rsid w:val="00A9536E"/>
    <w:rsid w:val="00A96006"/>
    <w:rsid w:val="00AA3DD0"/>
    <w:rsid w:val="00AA400E"/>
    <w:rsid w:val="00AB03D9"/>
    <w:rsid w:val="00AB103F"/>
    <w:rsid w:val="00AB3545"/>
    <w:rsid w:val="00AB3571"/>
    <w:rsid w:val="00AB6F01"/>
    <w:rsid w:val="00AC701E"/>
    <w:rsid w:val="00AC7C53"/>
    <w:rsid w:val="00AD3940"/>
    <w:rsid w:val="00AF7D98"/>
    <w:rsid w:val="00B06666"/>
    <w:rsid w:val="00B12931"/>
    <w:rsid w:val="00B13BAE"/>
    <w:rsid w:val="00B159F5"/>
    <w:rsid w:val="00B16B49"/>
    <w:rsid w:val="00B178EE"/>
    <w:rsid w:val="00B23E9F"/>
    <w:rsid w:val="00B24B67"/>
    <w:rsid w:val="00B354E9"/>
    <w:rsid w:val="00B40A79"/>
    <w:rsid w:val="00B461D3"/>
    <w:rsid w:val="00B519C3"/>
    <w:rsid w:val="00B51A27"/>
    <w:rsid w:val="00B5405E"/>
    <w:rsid w:val="00B553C8"/>
    <w:rsid w:val="00B57220"/>
    <w:rsid w:val="00B63026"/>
    <w:rsid w:val="00B71717"/>
    <w:rsid w:val="00B80C87"/>
    <w:rsid w:val="00B95333"/>
    <w:rsid w:val="00B95F0B"/>
    <w:rsid w:val="00BA213B"/>
    <w:rsid w:val="00BA565E"/>
    <w:rsid w:val="00BA6243"/>
    <w:rsid w:val="00BB6668"/>
    <w:rsid w:val="00BB7372"/>
    <w:rsid w:val="00BC24BB"/>
    <w:rsid w:val="00BD3E7B"/>
    <w:rsid w:val="00BD6B8C"/>
    <w:rsid w:val="00BE4434"/>
    <w:rsid w:val="00BE56BA"/>
    <w:rsid w:val="00BE5E58"/>
    <w:rsid w:val="00BF1E9B"/>
    <w:rsid w:val="00BF3615"/>
    <w:rsid w:val="00BF7478"/>
    <w:rsid w:val="00C01F51"/>
    <w:rsid w:val="00C05D35"/>
    <w:rsid w:val="00C107CD"/>
    <w:rsid w:val="00C14212"/>
    <w:rsid w:val="00C23BC9"/>
    <w:rsid w:val="00C261F8"/>
    <w:rsid w:val="00C27649"/>
    <w:rsid w:val="00C27AE3"/>
    <w:rsid w:val="00C35122"/>
    <w:rsid w:val="00C41360"/>
    <w:rsid w:val="00C444A4"/>
    <w:rsid w:val="00C47152"/>
    <w:rsid w:val="00C5043C"/>
    <w:rsid w:val="00C53D3C"/>
    <w:rsid w:val="00C656AC"/>
    <w:rsid w:val="00C65F55"/>
    <w:rsid w:val="00C663F6"/>
    <w:rsid w:val="00C7038D"/>
    <w:rsid w:val="00C72DA1"/>
    <w:rsid w:val="00C746A3"/>
    <w:rsid w:val="00C84872"/>
    <w:rsid w:val="00C9099D"/>
    <w:rsid w:val="00C91885"/>
    <w:rsid w:val="00C91D0E"/>
    <w:rsid w:val="00C94327"/>
    <w:rsid w:val="00C96A24"/>
    <w:rsid w:val="00CA4EC9"/>
    <w:rsid w:val="00CB1E69"/>
    <w:rsid w:val="00CB4EEE"/>
    <w:rsid w:val="00CC1919"/>
    <w:rsid w:val="00CC57D6"/>
    <w:rsid w:val="00CE292D"/>
    <w:rsid w:val="00CE2D03"/>
    <w:rsid w:val="00CE7F54"/>
    <w:rsid w:val="00CF5E06"/>
    <w:rsid w:val="00CF5E77"/>
    <w:rsid w:val="00CF72B8"/>
    <w:rsid w:val="00D00B77"/>
    <w:rsid w:val="00D06557"/>
    <w:rsid w:val="00D2273B"/>
    <w:rsid w:val="00D36B5B"/>
    <w:rsid w:val="00D42CD3"/>
    <w:rsid w:val="00D472BA"/>
    <w:rsid w:val="00D60A25"/>
    <w:rsid w:val="00D635FE"/>
    <w:rsid w:val="00D6435D"/>
    <w:rsid w:val="00D855DB"/>
    <w:rsid w:val="00D8636B"/>
    <w:rsid w:val="00D907E6"/>
    <w:rsid w:val="00D93956"/>
    <w:rsid w:val="00D94C1B"/>
    <w:rsid w:val="00D96CD7"/>
    <w:rsid w:val="00DA449B"/>
    <w:rsid w:val="00DB6DE8"/>
    <w:rsid w:val="00DC0B33"/>
    <w:rsid w:val="00DC5876"/>
    <w:rsid w:val="00DD27A6"/>
    <w:rsid w:val="00DD50B5"/>
    <w:rsid w:val="00DD5A2B"/>
    <w:rsid w:val="00DD77B6"/>
    <w:rsid w:val="00DF2EB5"/>
    <w:rsid w:val="00E01D1B"/>
    <w:rsid w:val="00E031D0"/>
    <w:rsid w:val="00E03F6B"/>
    <w:rsid w:val="00E124D5"/>
    <w:rsid w:val="00E21063"/>
    <w:rsid w:val="00E31BFA"/>
    <w:rsid w:val="00E330A1"/>
    <w:rsid w:val="00E350B6"/>
    <w:rsid w:val="00E3794D"/>
    <w:rsid w:val="00E41400"/>
    <w:rsid w:val="00E41646"/>
    <w:rsid w:val="00E4396B"/>
    <w:rsid w:val="00E51CBA"/>
    <w:rsid w:val="00E717B7"/>
    <w:rsid w:val="00E725F5"/>
    <w:rsid w:val="00E82B53"/>
    <w:rsid w:val="00E837AF"/>
    <w:rsid w:val="00E83926"/>
    <w:rsid w:val="00E93195"/>
    <w:rsid w:val="00E93CDB"/>
    <w:rsid w:val="00E94F07"/>
    <w:rsid w:val="00E95733"/>
    <w:rsid w:val="00EB0EC6"/>
    <w:rsid w:val="00EC0550"/>
    <w:rsid w:val="00EC28AF"/>
    <w:rsid w:val="00EC5BDD"/>
    <w:rsid w:val="00EC6C97"/>
    <w:rsid w:val="00EE1990"/>
    <w:rsid w:val="00EF1134"/>
    <w:rsid w:val="00F04D68"/>
    <w:rsid w:val="00F05490"/>
    <w:rsid w:val="00F1085E"/>
    <w:rsid w:val="00F1115D"/>
    <w:rsid w:val="00F17866"/>
    <w:rsid w:val="00F2096D"/>
    <w:rsid w:val="00F22869"/>
    <w:rsid w:val="00F23819"/>
    <w:rsid w:val="00F26874"/>
    <w:rsid w:val="00F31ABE"/>
    <w:rsid w:val="00F34E41"/>
    <w:rsid w:val="00F35A99"/>
    <w:rsid w:val="00F44EE5"/>
    <w:rsid w:val="00F5677D"/>
    <w:rsid w:val="00F61723"/>
    <w:rsid w:val="00F63DF5"/>
    <w:rsid w:val="00F66F89"/>
    <w:rsid w:val="00F672A8"/>
    <w:rsid w:val="00F73B01"/>
    <w:rsid w:val="00F7759A"/>
    <w:rsid w:val="00F80035"/>
    <w:rsid w:val="00F80990"/>
    <w:rsid w:val="00F87D1B"/>
    <w:rsid w:val="00F914ED"/>
    <w:rsid w:val="00F93677"/>
    <w:rsid w:val="00F94323"/>
    <w:rsid w:val="00F94B2F"/>
    <w:rsid w:val="00F95C1D"/>
    <w:rsid w:val="00F96907"/>
    <w:rsid w:val="00FA7436"/>
    <w:rsid w:val="00FB2A16"/>
    <w:rsid w:val="00FB73EE"/>
    <w:rsid w:val="00FC169C"/>
    <w:rsid w:val="00FD3E50"/>
    <w:rsid w:val="00FD66D5"/>
    <w:rsid w:val="00FE4C06"/>
    <w:rsid w:val="00FE77FB"/>
    <w:rsid w:val="00FF1211"/>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1ABB"/>
  <w15:docId w15:val="{06E1F020-F811-46E0-8B8C-25BB840D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5E13"/>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F80990"/>
    <w:pPr>
      <w:shd w:val="clear" w:color="auto" w:fill="E56300"/>
      <w:spacing w:before="5500" w:after="160" w:line="320" w:lineRule="atLeast"/>
      <w:jc w:val="center"/>
      <w:outlineLvl w:val="0"/>
    </w:pPr>
    <w:rPr>
      <w:rFonts w:ascii="Calibri" w:eastAsiaTheme="majorEastAsia" w:hAnsi="Calibri" w:cs="Calibri"/>
      <w:b/>
      <w:bCs/>
      <w:color w:val="FFFFFF" w:themeColor="background1"/>
      <w:kern w:val="2"/>
      <w:sz w:val="120"/>
      <w:szCs w:val="180"/>
      <w:lang w:eastAsia="zh-CN"/>
      <w14:ligatures w14:val="standardContextual"/>
    </w:rPr>
  </w:style>
  <w:style w:type="paragraph" w:styleId="Heading2">
    <w:name w:val="heading 2"/>
    <w:next w:val="Normal"/>
    <w:link w:val="Heading2Char"/>
    <w:autoRedefine/>
    <w:uiPriority w:val="9"/>
    <w:unhideWhenUsed/>
    <w:qFormat/>
    <w:rsid w:val="00A45E13"/>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A45E13"/>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A45E13"/>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A45E13"/>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A45E13"/>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A45E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E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E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45E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5E13"/>
  </w:style>
  <w:style w:type="paragraph" w:customStyle="1" w:styleId="Head1">
    <w:name w:val="Head 1"/>
    <w:basedOn w:val="Normal"/>
    <w:next w:val="Text1"/>
    <w:uiPriority w:val="99"/>
    <w:rsid w:val="007A6195"/>
    <w:pPr>
      <w:tabs>
        <w:tab w:val="left" w:pos="720"/>
      </w:tabs>
      <w:spacing w:before="480"/>
      <w:ind w:left="720" w:hanging="720"/>
      <w:jc w:val="left"/>
    </w:pPr>
    <w:rPr>
      <w:b/>
      <w:sz w:val="28"/>
    </w:rPr>
  </w:style>
  <w:style w:type="paragraph" w:customStyle="1" w:styleId="Head2">
    <w:name w:val="Head 2"/>
    <w:basedOn w:val="Normal"/>
    <w:next w:val="Text2"/>
    <w:uiPriority w:val="99"/>
    <w:rsid w:val="007A6195"/>
    <w:pPr>
      <w:tabs>
        <w:tab w:val="left" w:pos="1680"/>
      </w:tabs>
      <w:spacing w:before="240"/>
      <w:ind w:left="1685" w:hanging="965"/>
      <w:jc w:val="left"/>
    </w:pPr>
    <w:rPr>
      <w:b/>
    </w:rPr>
  </w:style>
  <w:style w:type="paragraph" w:customStyle="1" w:styleId="BL1">
    <w:name w:val="BL 1"/>
    <w:basedOn w:val="Normal"/>
    <w:uiPriority w:val="99"/>
    <w:rsid w:val="007A6195"/>
    <w:pPr>
      <w:tabs>
        <w:tab w:val="left" w:pos="900"/>
        <w:tab w:val="left" w:pos="1195"/>
        <w:tab w:val="left" w:pos="2400"/>
        <w:tab w:val="left" w:pos="3120"/>
      </w:tabs>
      <w:spacing w:before="100"/>
      <w:ind w:left="907" w:hanging="187"/>
    </w:pPr>
  </w:style>
  <w:style w:type="paragraph" w:customStyle="1" w:styleId="EOS">
    <w:name w:val="EOS"/>
    <w:basedOn w:val="Normal"/>
    <w:autoRedefine/>
    <w:uiPriority w:val="99"/>
    <w:rsid w:val="007A6195"/>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Text1">
    <w:name w:val="Text 1"/>
    <w:basedOn w:val="Normal"/>
    <w:uiPriority w:val="99"/>
    <w:rsid w:val="007A6195"/>
    <w:pPr>
      <w:tabs>
        <w:tab w:val="left" w:pos="720"/>
        <w:tab w:val="left" w:pos="1680"/>
        <w:tab w:val="left" w:pos="2400"/>
        <w:tab w:val="left" w:pos="3120"/>
      </w:tabs>
    </w:pPr>
  </w:style>
  <w:style w:type="paragraph" w:customStyle="1" w:styleId="Text2">
    <w:name w:val="Text 2"/>
    <w:basedOn w:val="Normal"/>
    <w:uiPriority w:val="99"/>
    <w:rsid w:val="007A6195"/>
    <w:pPr>
      <w:tabs>
        <w:tab w:val="left" w:pos="720"/>
        <w:tab w:val="left" w:pos="1680"/>
        <w:tab w:val="left" w:pos="2400"/>
        <w:tab w:val="left" w:pos="3120"/>
      </w:tabs>
      <w:ind w:left="720"/>
    </w:pPr>
  </w:style>
  <w:style w:type="character" w:customStyle="1" w:styleId="Itlc">
    <w:name w:val="Itlc"/>
    <w:uiPriority w:val="99"/>
    <w:rsid w:val="007A6195"/>
    <w:rPr>
      <w:i/>
      <w:color w:val="FF0000"/>
    </w:rPr>
  </w:style>
  <w:style w:type="paragraph" w:styleId="Footer">
    <w:name w:val="footer"/>
    <w:next w:val="Normal"/>
    <w:link w:val="FooterChar"/>
    <w:autoRedefine/>
    <w:uiPriority w:val="99"/>
    <w:unhideWhenUsed/>
    <w:qFormat/>
    <w:rsid w:val="00A45E13"/>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A45E13"/>
    <w:rPr>
      <w:rFonts w:ascii="Tahoma" w:eastAsiaTheme="minorEastAsia" w:hAnsi="Tahoma" w:cs="Tahoma"/>
      <w:color w:val="000000" w:themeColor="text1"/>
      <w:kern w:val="2"/>
      <w:sz w:val="20"/>
      <w:szCs w:val="20"/>
      <w:lang w:eastAsia="zh-CN"/>
      <w14:ligatures w14:val="standardContextual"/>
    </w:rPr>
  </w:style>
  <w:style w:type="paragraph" w:styleId="Header">
    <w:name w:val="header"/>
    <w:next w:val="Normal"/>
    <w:link w:val="HeaderChar"/>
    <w:autoRedefine/>
    <w:uiPriority w:val="99"/>
    <w:unhideWhenUsed/>
    <w:qFormat/>
    <w:rsid w:val="00A45E13"/>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A45E13"/>
    <w:rPr>
      <w:rFonts w:ascii="Tahoma" w:eastAsiaTheme="minorEastAsia" w:hAnsi="Tahoma" w:cs="Tahoma"/>
      <w:color w:val="000000" w:themeColor="text1"/>
      <w:kern w:val="2"/>
      <w:sz w:val="20"/>
      <w:szCs w:val="20"/>
      <w:lang w:eastAsia="zh-CN"/>
      <w14:ligatures w14:val="standardContextual"/>
    </w:rPr>
  </w:style>
  <w:style w:type="character" w:styleId="PageNumber">
    <w:name w:val="page number"/>
    <w:basedOn w:val="DefaultParagraphFont"/>
    <w:uiPriority w:val="99"/>
    <w:rsid w:val="007A6195"/>
    <w:rPr>
      <w:rFonts w:cs="Times New Roman"/>
    </w:rPr>
  </w:style>
  <w:style w:type="character" w:styleId="Hyperlink">
    <w:name w:val="Hyperlink"/>
    <w:basedOn w:val="DefaultParagraphFont"/>
    <w:uiPriority w:val="99"/>
    <w:unhideWhenUsed/>
    <w:qFormat/>
    <w:rsid w:val="00A45E13"/>
    <w:rPr>
      <w:rFonts w:ascii="Tahoma" w:hAnsi="Tahoma" w:cs="Tahoma"/>
      <w:b/>
      <w:bCs/>
      <w:iCs w:val="0"/>
      <w:color w:val="04427D"/>
      <w:sz w:val="23"/>
      <w:szCs w:val="23"/>
      <w:u w:val="single" w:color="04427D"/>
    </w:rPr>
  </w:style>
  <w:style w:type="paragraph" w:styleId="NoSpacing">
    <w:name w:val="No Spacing"/>
    <w:uiPriority w:val="1"/>
    <w:qFormat/>
    <w:rsid w:val="00A45E13"/>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BalloonText">
    <w:name w:val="Balloon Text"/>
    <w:basedOn w:val="Normal"/>
    <w:link w:val="BalloonTextChar"/>
    <w:uiPriority w:val="99"/>
    <w:semiHidden/>
    <w:unhideWhenUsed/>
    <w:rsid w:val="00A45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13"/>
    <w:rPr>
      <w:rFonts w:ascii="Segoe UI" w:eastAsiaTheme="minorEastAsia" w:hAnsi="Segoe UI" w:cs="Segoe UI"/>
      <w:color w:val="000000" w:themeColor="text1"/>
      <w:kern w:val="2"/>
      <w:sz w:val="18"/>
      <w:szCs w:val="18"/>
      <w:lang w:eastAsia="zh-CN"/>
      <w14:ligatures w14:val="standardContextual"/>
    </w:rPr>
  </w:style>
  <w:style w:type="character" w:customStyle="1" w:styleId="Heading2Char">
    <w:name w:val="Heading 2 Char"/>
    <w:basedOn w:val="DefaultParagraphFont"/>
    <w:link w:val="Heading2"/>
    <w:uiPriority w:val="9"/>
    <w:rsid w:val="00A45E13"/>
    <w:rPr>
      <w:rFonts w:ascii="Tahoma" w:eastAsiaTheme="majorEastAsia" w:hAnsi="Tahoma" w:cstheme="majorBidi"/>
      <w:b/>
      <w:bCs/>
      <w:color w:val="E56300"/>
      <w:kern w:val="2"/>
      <w:sz w:val="32"/>
      <w:szCs w:val="28"/>
      <w:lang w:eastAsia="zh-CN"/>
      <w14:ligatures w14:val="standardContextual"/>
    </w:rPr>
  </w:style>
  <w:style w:type="character" w:customStyle="1" w:styleId="Heading1Char">
    <w:name w:val="Heading 1 Char"/>
    <w:basedOn w:val="DefaultParagraphFont"/>
    <w:link w:val="Heading1"/>
    <w:uiPriority w:val="9"/>
    <w:rsid w:val="00F80990"/>
    <w:rPr>
      <w:rFonts w:ascii="Calibri" w:eastAsiaTheme="majorEastAsia" w:hAnsi="Calibri" w:cs="Calibri"/>
      <w:b/>
      <w:bCs/>
      <w:color w:val="FFFFFF" w:themeColor="background1"/>
      <w:kern w:val="2"/>
      <w:sz w:val="120"/>
      <w:szCs w:val="180"/>
      <w:shd w:val="clear" w:color="auto" w:fill="E56300"/>
      <w:lang w:eastAsia="zh-CN"/>
      <w14:ligatures w14:val="standardContextual"/>
    </w:rPr>
  </w:style>
  <w:style w:type="character" w:styleId="CommentReference">
    <w:name w:val="annotation reference"/>
    <w:basedOn w:val="DefaultParagraphFont"/>
    <w:uiPriority w:val="99"/>
    <w:semiHidden/>
    <w:unhideWhenUsed/>
    <w:rsid w:val="00A45E13"/>
    <w:rPr>
      <w:sz w:val="16"/>
      <w:szCs w:val="16"/>
    </w:rPr>
  </w:style>
  <w:style w:type="paragraph" w:styleId="CommentText">
    <w:name w:val="annotation text"/>
    <w:basedOn w:val="Normal"/>
    <w:link w:val="CommentTextChar"/>
    <w:uiPriority w:val="99"/>
    <w:unhideWhenUsed/>
    <w:rsid w:val="004753D1"/>
    <w:pPr>
      <w:spacing w:line="240" w:lineRule="auto"/>
    </w:pPr>
    <w:rPr>
      <w:sz w:val="20"/>
    </w:rPr>
  </w:style>
  <w:style w:type="character" w:customStyle="1" w:styleId="CommentTextChar">
    <w:name w:val="Comment Text Char"/>
    <w:basedOn w:val="DefaultParagraphFont"/>
    <w:link w:val="CommentText"/>
    <w:uiPriority w:val="99"/>
    <w:rsid w:val="004753D1"/>
    <w:rPr>
      <w:rFonts w:ascii="Times New Roman" w:eastAsia="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A45E13"/>
    <w:rPr>
      <w:b/>
      <w:bCs/>
      <w:sz w:val="20"/>
      <w:szCs w:val="20"/>
    </w:rPr>
  </w:style>
  <w:style w:type="character" w:customStyle="1" w:styleId="CommentSubjectChar">
    <w:name w:val="Comment Subject Char"/>
    <w:basedOn w:val="DefaultParagraphFont"/>
    <w:link w:val="CommentSubject"/>
    <w:uiPriority w:val="99"/>
    <w:semiHidden/>
    <w:rsid w:val="00A45E13"/>
    <w:rPr>
      <w:rFonts w:ascii="Tahoma" w:eastAsiaTheme="minorEastAsia" w:hAnsi="Tahoma" w:cs="Tahoma"/>
      <w:b/>
      <w:bCs/>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A45E13"/>
    <w:rPr>
      <w:rFonts w:ascii="Tahoma" w:hAnsi="Tahoma"/>
      <w:b/>
      <w:bCs/>
      <w:color w:val="04427D"/>
      <w:sz w:val="23"/>
      <w:szCs w:val="23"/>
      <w:u w:val="single" w:color="04427D"/>
    </w:rPr>
  </w:style>
  <w:style w:type="paragraph" w:styleId="NormalWeb">
    <w:name w:val="Normal (Web)"/>
    <w:basedOn w:val="Normal"/>
    <w:uiPriority w:val="99"/>
    <w:unhideWhenUsed/>
    <w:rsid w:val="00A45E13"/>
    <w:rPr>
      <w:rFonts w:ascii="Times New Roman" w:eastAsiaTheme="minorHAnsi" w:hAnsi="Times New Roman" w:cs="Times New Roman"/>
      <w:sz w:val="24"/>
      <w:szCs w:val="24"/>
    </w:rPr>
  </w:style>
  <w:style w:type="paragraph" w:styleId="Revision">
    <w:name w:val="Revision"/>
    <w:hidden/>
    <w:uiPriority w:val="99"/>
    <w:semiHidden/>
    <w:rsid w:val="00A45E13"/>
    <w:pPr>
      <w:spacing w:after="0" w:line="240" w:lineRule="auto"/>
    </w:pPr>
    <w:rPr>
      <w:rFonts w:ascii="Tahoma" w:eastAsia="Tahoma" w:hAnsi="Tahoma" w:cs="Tahoma"/>
    </w:rPr>
  </w:style>
  <w:style w:type="paragraph" w:styleId="ListParagraph">
    <w:name w:val="List Paragraph"/>
    <w:basedOn w:val="Normal"/>
    <w:uiPriority w:val="34"/>
    <w:rsid w:val="00F94B2F"/>
    <w:pPr>
      <w:ind w:left="720"/>
      <w:contextualSpacing/>
    </w:pPr>
  </w:style>
  <w:style w:type="paragraph" w:styleId="TOCHeading">
    <w:name w:val="TOC Heading"/>
    <w:next w:val="Normal"/>
    <w:autoRedefine/>
    <w:uiPriority w:val="39"/>
    <w:unhideWhenUsed/>
    <w:qFormat/>
    <w:rsid w:val="00A45E13"/>
    <w:pPr>
      <w:pageBreakBefore/>
      <w:spacing w:after="160" w:line="278" w:lineRule="auto"/>
      <w:jc w:val="center"/>
    </w:pPr>
    <w:rPr>
      <w:rFonts w:ascii="Tahoma" w:eastAsiaTheme="majorEastAsia" w:hAnsi="Tahoma" w:cs="Tahoma"/>
      <w:b/>
      <w:bCs/>
      <w:sz w:val="44"/>
      <w:szCs w:val="44"/>
    </w:rPr>
  </w:style>
  <w:style w:type="paragraph" w:styleId="TOC1">
    <w:name w:val="toc 1"/>
    <w:next w:val="Normal"/>
    <w:autoRedefine/>
    <w:uiPriority w:val="39"/>
    <w:unhideWhenUsed/>
    <w:qFormat/>
    <w:rsid w:val="00A45E13"/>
    <w:pPr>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A45E13"/>
    <w:pPr>
      <w:tabs>
        <w:tab w:val="left" w:pos="690"/>
        <w:tab w:val="right" w:leader="dot" w:pos="10070"/>
      </w:tabs>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A45E13"/>
    <w:pPr>
      <w:tabs>
        <w:tab w:val="right" w:leader="dot" w:pos="10070"/>
      </w:tabs>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character" w:customStyle="1" w:styleId="Heading4Char">
    <w:name w:val="Heading 4 Char"/>
    <w:basedOn w:val="DefaultParagraphFont"/>
    <w:link w:val="Heading4"/>
    <w:uiPriority w:val="9"/>
    <w:rsid w:val="00A45E13"/>
    <w:rPr>
      <w:rFonts w:ascii="Tahoma" w:eastAsiaTheme="majorEastAsia" w:hAnsi="Tahoma" w:cstheme="majorBidi"/>
      <w:b/>
      <w:iCs/>
      <w:color w:val="04427D"/>
      <w:kern w:val="2"/>
      <w:sz w:val="26"/>
      <w:szCs w:val="26"/>
      <w:lang w:eastAsia="zh-CN"/>
      <w14:ligatures w14:val="standardContextual"/>
    </w:rPr>
  </w:style>
  <w:style w:type="paragraph" w:styleId="BodyText">
    <w:name w:val="Body Text"/>
    <w:next w:val="Normal"/>
    <w:link w:val="BodyTextChar"/>
    <w:autoRedefine/>
    <w:uiPriority w:val="1"/>
    <w:qFormat/>
    <w:rsid w:val="00A45E13"/>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A45E13"/>
    <w:rPr>
      <w:rFonts w:ascii="Tahoma" w:eastAsiaTheme="minorEastAsia" w:hAnsi="Tahoma" w:cs="Tahoma"/>
      <w:color w:val="000000" w:themeColor="text1"/>
      <w:kern w:val="2"/>
      <w:sz w:val="23"/>
      <w:szCs w:val="23"/>
      <w:lang w:eastAsia="zh-CN"/>
      <w14:ligatures w14:val="standardContextual"/>
    </w:rPr>
  </w:style>
  <w:style w:type="character" w:customStyle="1" w:styleId="Revised">
    <w:name w:val="Revised"/>
    <w:uiPriority w:val="99"/>
    <w:rsid w:val="00527FD9"/>
    <w:rPr>
      <w:color w:val="008000"/>
    </w:rPr>
  </w:style>
  <w:style w:type="character" w:customStyle="1" w:styleId="Heading5Char">
    <w:name w:val="Heading 5 Char"/>
    <w:basedOn w:val="DefaultParagraphFont"/>
    <w:link w:val="Heading5"/>
    <w:uiPriority w:val="9"/>
    <w:rsid w:val="00A45E13"/>
    <w:rPr>
      <w:rFonts w:ascii="Tahoma" w:eastAsiaTheme="majorEastAsia" w:hAnsi="Tahoma" w:cstheme="majorBidi"/>
      <w:color w:val="04427D"/>
      <w:kern w:val="2"/>
      <w:sz w:val="26"/>
      <w:szCs w:val="23"/>
      <w:lang w:eastAsia="zh-CN"/>
      <w14:ligatures w14:val="standardContextual"/>
    </w:rPr>
  </w:style>
  <w:style w:type="character" w:styleId="Emphasis">
    <w:name w:val="Emphasis"/>
    <w:basedOn w:val="DefaultParagraphFont"/>
    <w:uiPriority w:val="20"/>
    <w:rsid w:val="006E2B99"/>
    <w:rPr>
      <w:i/>
      <w:iCs/>
    </w:rPr>
  </w:style>
  <w:style w:type="character" w:styleId="UnresolvedMention">
    <w:name w:val="Unresolved Mention"/>
    <w:basedOn w:val="DefaultParagraphFont"/>
    <w:uiPriority w:val="99"/>
    <w:semiHidden/>
    <w:unhideWhenUsed/>
    <w:rsid w:val="00A45E13"/>
    <w:rPr>
      <w:color w:val="605E5C"/>
      <w:shd w:val="clear" w:color="auto" w:fill="E1DFDD"/>
    </w:rPr>
  </w:style>
  <w:style w:type="paragraph" w:styleId="ListBullet">
    <w:name w:val="List Bullet"/>
    <w:basedOn w:val="Normal"/>
    <w:uiPriority w:val="99"/>
    <w:unhideWhenUsed/>
    <w:rsid w:val="00A45E13"/>
    <w:pPr>
      <w:numPr>
        <w:numId w:val="21"/>
      </w:numPr>
      <w:contextualSpacing/>
    </w:pPr>
  </w:style>
  <w:style w:type="character" w:customStyle="1" w:styleId="Heading3Char">
    <w:name w:val="Heading 3 Char"/>
    <w:basedOn w:val="DefaultParagraphFont"/>
    <w:link w:val="Heading3"/>
    <w:uiPriority w:val="9"/>
    <w:rsid w:val="00A45E13"/>
    <w:rPr>
      <w:rFonts w:ascii="Tahoma" w:eastAsiaTheme="majorEastAsia" w:hAnsi="Tahoma" w:cstheme="majorBidi"/>
      <w:b/>
      <w:color w:val="04427D"/>
      <w:kern w:val="2"/>
      <w:sz w:val="28"/>
      <w:szCs w:val="28"/>
      <w:lang w:eastAsia="zh-CN"/>
      <w14:ligatures w14:val="standardContextual"/>
    </w:rPr>
  </w:style>
  <w:style w:type="paragraph" w:customStyle="1" w:styleId="Introduction">
    <w:name w:val="Introduction"/>
    <w:next w:val="Normal"/>
    <w:autoRedefine/>
    <w:qFormat/>
    <w:rsid w:val="00A45E13"/>
    <w:pPr>
      <w:widowControl w:val="0"/>
      <w:autoSpaceDE w:val="0"/>
      <w:autoSpaceDN w:val="0"/>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Heading6Char">
    <w:name w:val="Heading 6 Char"/>
    <w:basedOn w:val="DefaultParagraphFont"/>
    <w:link w:val="Heading6"/>
    <w:uiPriority w:val="9"/>
    <w:semiHidden/>
    <w:rsid w:val="00A45E13"/>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A45E13"/>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A45E13"/>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A45E13"/>
    <w:rPr>
      <w:rFonts w:ascii="Tahoma" w:eastAsiaTheme="majorEastAsia" w:hAnsi="Tahoma" w:cstheme="majorBidi"/>
      <w:color w:val="272727" w:themeColor="text1" w:themeTint="D8"/>
      <w:kern w:val="2"/>
      <w:sz w:val="23"/>
      <w:szCs w:val="23"/>
      <w:lang w:eastAsia="zh-CN"/>
      <w14:ligatures w14:val="standardContextual"/>
    </w:rPr>
  </w:style>
  <w:style w:type="table" w:styleId="TableGrid">
    <w:name w:val="Table Grid"/>
    <w:basedOn w:val="TableNormal"/>
    <w:uiPriority w:val="59"/>
    <w:rsid w:val="00A45E1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A45E13"/>
    <w:pPr>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A45E13"/>
    <w:pPr>
      <w:numPr>
        <w:numId w:val="41"/>
      </w:num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A45E13"/>
    <w:pPr>
      <w:numPr>
        <w:numId w:val="40"/>
      </w:numPr>
      <w:contextualSpacing/>
    </w:pPr>
  </w:style>
  <w:style w:type="character" w:customStyle="1" w:styleId="BulletList1Char">
    <w:name w:val="Bullet List 1 Char"/>
    <w:basedOn w:val="DefaultParagraphFont"/>
    <w:link w:val="BulletList1"/>
    <w:rsid w:val="00A45E13"/>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A45E13"/>
    <w:pPr>
      <w:numPr>
        <w:numId w:val="42"/>
      </w:numPr>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A45E13"/>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A45E13"/>
    <w:pPr>
      <w:numPr>
        <w:numId w:val="43"/>
      </w:numPr>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A45E13"/>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A45E13"/>
    <w:pPr>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A45E13"/>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A45E13"/>
    <w:pPr>
      <w:ind w:left="360" w:hanging="360"/>
      <w:contextualSpacing/>
    </w:pPr>
  </w:style>
  <w:style w:type="paragraph" w:customStyle="1" w:styleId="BodyTextTableNumbers">
    <w:name w:val="Body Text (Table Numbers)"/>
    <w:next w:val="Normal"/>
    <w:autoRedefine/>
    <w:qFormat/>
    <w:rsid w:val="00A45E13"/>
    <w:pPr>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A45E1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45E13"/>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A45E13"/>
    <w:rPr>
      <w:vertAlign w:val="superscript"/>
    </w:rPr>
  </w:style>
  <w:style w:type="paragraph" w:customStyle="1" w:styleId="BodyTextTableBody">
    <w:name w:val="Body Text (Table Body)"/>
    <w:next w:val="Normal"/>
    <w:autoRedefine/>
    <w:qFormat/>
    <w:rsid w:val="00A45E13"/>
    <w:pPr>
      <w:widowControl w:val="0"/>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A45E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508631">
      <w:bodyDiv w:val="1"/>
      <w:marLeft w:val="0"/>
      <w:marRight w:val="0"/>
      <w:marTop w:val="0"/>
      <w:marBottom w:val="0"/>
      <w:divBdr>
        <w:top w:val="none" w:sz="0" w:space="0" w:color="auto"/>
        <w:left w:val="none" w:sz="0" w:space="0" w:color="auto"/>
        <w:bottom w:val="none" w:sz="0" w:space="0" w:color="auto"/>
        <w:right w:val="none" w:sz="0" w:space="0" w:color="auto"/>
      </w:divBdr>
    </w:div>
    <w:div w:id="1288704626">
      <w:bodyDiv w:val="1"/>
      <w:marLeft w:val="0"/>
      <w:marRight w:val="0"/>
      <w:marTop w:val="0"/>
      <w:marBottom w:val="0"/>
      <w:divBdr>
        <w:top w:val="none" w:sz="0" w:space="0" w:color="auto"/>
        <w:left w:val="none" w:sz="0" w:space="0" w:color="auto"/>
        <w:bottom w:val="none" w:sz="0" w:space="0" w:color="auto"/>
        <w:right w:val="none" w:sz="0" w:space="0" w:color="auto"/>
      </w:divBdr>
    </w:div>
    <w:div w:id="1459642978">
      <w:bodyDiv w:val="1"/>
      <w:marLeft w:val="0"/>
      <w:marRight w:val="0"/>
      <w:marTop w:val="0"/>
      <w:marBottom w:val="0"/>
      <w:divBdr>
        <w:top w:val="none" w:sz="0" w:space="0" w:color="auto"/>
        <w:left w:val="none" w:sz="0" w:space="0" w:color="auto"/>
        <w:bottom w:val="none" w:sz="0" w:space="0" w:color="auto"/>
        <w:right w:val="none" w:sz="0" w:space="0" w:color="auto"/>
      </w:divBdr>
    </w:div>
    <w:div w:id="1611161405">
      <w:bodyDiv w:val="1"/>
      <w:marLeft w:val="0"/>
      <w:marRight w:val="0"/>
      <w:marTop w:val="0"/>
      <w:marBottom w:val="0"/>
      <w:divBdr>
        <w:top w:val="none" w:sz="0" w:space="0" w:color="auto"/>
        <w:left w:val="none" w:sz="0" w:space="0" w:color="auto"/>
        <w:bottom w:val="none" w:sz="0" w:space="0" w:color="auto"/>
        <w:right w:val="none" w:sz="0" w:space="0" w:color="auto"/>
      </w:divBdr>
    </w:div>
    <w:div w:id="18166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dss.mo.gov" TargetMode="External"/><Relationship Id="rId18" Type="http://schemas.openxmlformats.org/officeDocument/2006/relationships/hyperlink" Target="https://wpc-edi.com/" TargetMode="External"/><Relationship Id="rId26" Type="http://schemas.openxmlformats.org/officeDocument/2006/relationships/hyperlink" Target="http://www.emomed.com/" TargetMode="External"/><Relationship Id="rId39" Type="http://schemas.openxmlformats.org/officeDocument/2006/relationships/hyperlink" Target="https://mydss.mo.gov/mhd/provider-manuals" TargetMode="External"/><Relationship Id="rId3" Type="http://schemas.openxmlformats.org/officeDocument/2006/relationships/styles" Target="styles.xml"/><Relationship Id="rId21" Type="http://schemas.openxmlformats.org/officeDocument/2006/relationships/hyperlink" Target="https://mydss.mo.gov/media/pdf/pharmacy-provider-manual" TargetMode="External"/><Relationship Id="rId34" Type="http://schemas.openxmlformats.org/officeDocument/2006/relationships/hyperlink" Target="https://mmac.mo.gov/wp-content/uploads/sites/11/2018/08/Self-Disclosure-Form-2018.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a.gov/medicare/sign-up" TargetMode="External"/><Relationship Id="rId17" Type="http://schemas.openxmlformats.org/officeDocument/2006/relationships/hyperlink" Target="https://www.emomed.com/" TargetMode="External"/><Relationship Id="rId25" Type="http://schemas.openxmlformats.org/officeDocument/2006/relationships/hyperlink" Target="http://www.emomed.com/" TargetMode="External"/><Relationship Id="rId33" Type="http://schemas.openxmlformats.org/officeDocument/2006/relationships/hyperlink" Target="http://www.emomed.com/" TargetMode="External"/><Relationship Id="rId38" Type="http://schemas.openxmlformats.org/officeDocument/2006/relationships/hyperlink" Target="https://mmac.mo.gov/providers/self-audits-self-disclosures/" TargetMode="External"/><Relationship Id="rId2" Type="http://schemas.openxmlformats.org/officeDocument/2006/relationships/numbering" Target="numbering.xml"/><Relationship Id="rId16" Type="http://schemas.openxmlformats.org/officeDocument/2006/relationships/hyperlink" Target="https://www.emomed.com/" TargetMode="External"/><Relationship Id="rId20" Type="http://schemas.openxmlformats.org/officeDocument/2006/relationships/hyperlink" Target="https://wpc-edi.com/" TargetMode="External"/><Relationship Id="rId29" Type="http://schemas.openxmlformats.org/officeDocument/2006/relationships/hyperlink" Target="https://revisor.mo.gov/main/OneSection.aspx?section=208.215" TargetMode="External"/><Relationship Id="rId41" Type="http://schemas.openxmlformats.org/officeDocument/2006/relationships/hyperlink" Target="https://mydss.mo.gov/mhd/provi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omed.com/" TargetMode="External"/><Relationship Id="rId32" Type="http://schemas.openxmlformats.org/officeDocument/2006/relationships/hyperlink" Target="https://www.sos.mo.gov/CMSImages/AdRules/csr/current/13csr/13c70-3.pdf" TargetMode="External"/><Relationship Id="rId37" Type="http://schemas.openxmlformats.org/officeDocument/2006/relationships/hyperlink" Target="mailto:MMAC.Financial@dss.mo.gov" TargetMode="External"/><Relationship Id="rId40" Type="http://schemas.openxmlformats.org/officeDocument/2006/relationships/hyperlink" Target="mailto:MHD.Education@dss.mo.gov" TargetMode="External"/><Relationship Id="rId5" Type="http://schemas.openxmlformats.org/officeDocument/2006/relationships/webSettings" Target="webSettings.xml"/><Relationship Id="rId15" Type="http://schemas.openxmlformats.org/officeDocument/2006/relationships/hyperlink" Target="http://www.emomed.com/" TargetMode="External"/><Relationship Id="rId23" Type="http://schemas.openxmlformats.org/officeDocument/2006/relationships/hyperlink" Target="https://wpc-edi.com/" TargetMode="External"/><Relationship Id="rId28" Type="http://schemas.openxmlformats.org/officeDocument/2006/relationships/hyperlink" Target="https://www.ecfr.gov/current/title-42/chapter-IV/subchapter-C/part-433/subpart-D" TargetMode="External"/><Relationship Id="rId36" Type="http://schemas.openxmlformats.org/officeDocument/2006/relationships/hyperlink" Target="https://mmac.mo.gov/wp-content/uploads/sites/11/2018/08/Self-Disclosure-Form-2018.pdf" TargetMode="External"/><Relationship Id="rId10" Type="http://schemas.openxmlformats.org/officeDocument/2006/relationships/footer" Target="footer1.xml"/><Relationship Id="rId19" Type="http://schemas.openxmlformats.org/officeDocument/2006/relationships/hyperlink" Target="https://wpc-edi.com/" TargetMode="External"/><Relationship Id="rId31" Type="http://schemas.openxmlformats.org/officeDocument/2006/relationships/hyperlink" Target="https://mydss.mo.gov/media/pdf/general-sections-manu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ydss.mo.gov/mhd/provider-manuals" TargetMode="External"/><Relationship Id="rId22" Type="http://schemas.openxmlformats.org/officeDocument/2006/relationships/hyperlink" Target="http://www.emomed.com/" TargetMode="External"/><Relationship Id="rId27" Type="http://schemas.openxmlformats.org/officeDocument/2006/relationships/hyperlink" Target="https://wpc-edi.com/" TargetMode="External"/><Relationship Id="rId30" Type="http://schemas.openxmlformats.org/officeDocument/2006/relationships/hyperlink" Target="http://www.emomed.com/" TargetMode="External"/><Relationship Id="rId35" Type="http://schemas.openxmlformats.org/officeDocument/2006/relationships/hyperlink" Target="mailto:MMAC.Financial@dss.mo.gov"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10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BF81-6692-42F6-8FFE-DC40D3BB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12</Pages>
  <Words>4165</Words>
  <Characters>23741</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MO HealthNet Medicare Medicaid Claims Processing Manual</vt:lpstr>
    </vt:vector>
  </TitlesOfParts>
  <Manager>Missouri Department of Social Services</Manager>
  <Company>State of Missouri</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Medicare Medicaid Claims Processing Manual</dc:title>
  <dc:subject>MO HealthNet Medicare Medicaid Claims Processing Manual</dc:subject>
  <dc:creator>MO HealthNet</dc:creator>
  <cp:keywords>MO HealthNet Medicare Medicaid Claims Processing Manual</cp:keywords>
  <dc:description>MO HealthNet Medicare Medicaid Claims Processing Manual</dc:description>
  <cp:lastModifiedBy>Peanick, Julie</cp:lastModifiedBy>
  <cp:revision>2</cp:revision>
  <cp:lastPrinted>2023-10-13T14:30:00Z</cp:lastPrinted>
  <dcterms:created xsi:type="dcterms:W3CDTF">2026-03-23T20:42:00Z</dcterms:created>
  <dcterms:modified xsi:type="dcterms:W3CDTF">2026-03-23T20:42:00Z</dcterms:modified>
</cp:coreProperties>
</file>