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BF37375" w:rsidR="004C5767" w:rsidRPr="008859E1" w:rsidRDefault="004C5767" w:rsidP="00D27533">
      <w:pPr>
        <w:pStyle w:val="tbody"/>
        <w:rPr>
          <w:b w:val="0"/>
          <w:bCs/>
        </w:rPr>
      </w:pPr>
      <w:r w:rsidRPr="00C02553">
        <w:t>Drug/Drug Class:</w:t>
      </w:r>
      <w:r w:rsidR="003B4820">
        <w:t xml:space="preserve"> </w:t>
      </w:r>
      <w:proofErr w:type="spellStart"/>
      <w:r w:rsidR="00DD419A" w:rsidRPr="00521732">
        <w:rPr>
          <w:b w:val="0"/>
          <w:bCs/>
        </w:rPr>
        <w:t>Rethymic</w:t>
      </w:r>
      <w:proofErr w:type="spellEnd"/>
      <w:r w:rsidR="00DD419A" w:rsidRPr="00521732">
        <w:rPr>
          <w:b w:val="0"/>
          <w:bCs/>
        </w:rPr>
        <w:t xml:space="preserve"> Clinical Edit</w:t>
      </w:r>
      <w:r w:rsidR="00DD419A">
        <w:t xml:space="preserve"> </w:t>
      </w:r>
    </w:p>
    <w:p w14:paraId="7AD7FFCE" w14:textId="2955CF0E" w:rsidR="004C5767" w:rsidRPr="00C02553" w:rsidRDefault="004C5767" w:rsidP="00D27533">
      <w:pPr>
        <w:pStyle w:val="tbody"/>
      </w:pPr>
      <w:r w:rsidRPr="00C02553">
        <w:t xml:space="preserve">First Implementation Date: </w:t>
      </w:r>
      <w:r w:rsidR="005349EC" w:rsidRPr="003A47C0">
        <w:rPr>
          <w:b w:val="0"/>
          <w:bCs/>
        </w:rPr>
        <w:t>TBD</w:t>
      </w:r>
    </w:p>
    <w:p w14:paraId="4B7D760D" w14:textId="1374197A" w:rsidR="004C5767" w:rsidRPr="00D232D9" w:rsidRDefault="00D95E68" w:rsidP="15EB50BA">
      <w:pPr>
        <w:pStyle w:val="tbody"/>
        <w:rPr>
          <w:b w:val="0"/>
        </w:rPr>
      </w:pPr>
      <w:r>
        <w:t>Proposed</w:t>
      </w:r>
      <w:r w:rsidR="004C5767">
        <w:t xml:space="preserve"> Date:</w:t>
      </w:r>
      <w:r w:rsidR="00065C22">
        <w:t xml:space="preserve"> </w:t>
      </w:r>
      <w:r w:rsidR="00320078">
        <w:rPr>
          <w:b w:val="0"/>
        </w:rPr>
        <w:t>April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680224E0" w:rsidR="004C5767" w:rsidRPr="00D27533" w:rsidRDefault="004C5767" w:rsidP="00D27533">
      <w:pPr>
        <w:pStyle w:val="tbody"/>
        <w:rPr>
          <w:b w:val="0"/>
          <w:bCs/>
          <w:spacing w:val="-3"/>
        </w:rPr>
      </w:pPr>
      <w:r w:rsidRPr="00C02553">
        <w:t xml:space="preserve">Criteria Status: </w:t>
      </w:r>
      <w:r w:rsidR="00566BE4" w:rsidRPr="00FB790E">
        <w:rPr>
          <w:b w:val="0"/>
          <w:bCs/>
          <w:spacing w:val="-3"/>
        </w:rPr>
        <w:t>New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5259A770" w:rsidR="00D47996" w:rsidRDefault="79EEA449" w:rsidP="00696E3A">
      <w:r>
        <w:t>Ensure appropriate utilization and control of</w:t>
      </w:r>
      <w:r w:rsidR="00D47996">
        <w:t xml:space="preserve"> </w:t>
      </w:r>
      <w:r w:rsidR="00D87323" w:rsidRPr="00D87323">
        <w:t>Rethymic</w:t>
      </w:r>
      <w:r w:rsidR="00C67972" w:rsidRPr="00C67972">
        <w:rPr>
          <w:vertAlign w:val="superscript"/>
        </w:rPr>
        <w:t>®</w:t>
      </w:r>
      <w:r w:rsidR="00D87323" w:rsidRPr="00D87323">
        <w:t xml:space="preserve"> (allogeneic processed thymus tissue-agdc)</w:t>
      </w:r>
      <w:r w:rsidR="007B5A58">
        <w:t>.</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FB790E">
        <w:rPr>
          <w:b/>
          <w:bCs/>
        </w:rPr>
        <w:t>Why Issue Selected:</w:t>
      </w:r>
    </w:p>
    <w:p w14:paraId="1FD203BE" w14:textId="39A589AF" w:rsidR="000512E2" w:rsidRDefault="000512E2" w:rsidP="000512E2">
      <w:pPr>
        <w:rPr>
          <w:b/>
        </w:rPr>
      </w:pPr>
      <w:r w:rsidRPr="002A5193">
        <w:t>Rethymic is a one-time tissue-based regenerative therapy administered via surgical implantation in quadricep muscles. The recommended dose range is 5,000 to 22,000 mm</w:t>
      </w:r>
      <w:r w:rsidRPr="00ED0699">
        <w:rPr>
          <w:vertAlign w:val="superscript"/>
        </w:rPr>
        <w:t>2</w:t>
      </w:r>
      <w:r w:rsidRPr="002A5193">
        <w:t xml:space="preserve"> of Rethymic/m</w:t>
      </w:r>
      <w:r w:rsidRPr="00ED0699">
        <w:rPr>
          <w:vertAlign w:val="superscript"/>
        </w:rPr>
        <w:t>2</w:t>
      </w:r>
      <w:r w:rsidRPr="002A5193">
        <w:t xml:space="preserve"> recipient </w:t>
      </w:r>
      <w:r>
        <w:t>body surface area (</w:t>
      </w:r>
      <w:r w:rsidRPr="002A5193">
        <w:t>BSA</w:t>
      </w:r>
      <w:r>
        <w:t>)</w:t>
      </w:r>
      <w:r w:rsidRPr="002A5193">
        <w:t xml:space="preserve">. </w:t>
      </w:r>
      <w:r w:rsidR="00CB1535" w:rsidRPr="003A0914">
        <w:rPr>
          <w:szCs w:val="20"/>
        </w:rPr>
        <w:t>Rethymic exhibits its therapeutic effect by migration of the recipient's bone marrow-derived T</w:t>
      </w:r>
      <w:r w:rsidR="00CB1535">
        <w:rPr>
          <w:szCs w:val="20"/>
        </w:rPr>
        <w:t>-</w:t>
      </w:r>
      <w:r w:rsidR="00CB1535" w:rsidRPr="003A0914">
        <w:rPr>
          <w:szCs w:val="20"/>
        </w:rPr>
        <w:t xml:space="preserve">cell progenitors into the thymic allograft where they are “educated” to produce immunocompetent T cells that are tolerant of both donor and recipient tissues while maintaining the ability to respond to foreign antigens. </w:t>
      </w:r>
      <w:r w:rsidRPr="007738E8">
        <w:t>Immunosuppressive therapy is recommended for patients receiving R</w:t>
      </w:r>
      <w:r>
        <w:t>ethymic</w:t>
      </w:r>
      <w:r w:rsidRPr="007738E8">
        <w:t xml:space="preserve"> based on disease phenotype and PHA levels.</w:t>
      </w:r>
    </w:p>
    <w:p w14:paraId="7ACECC9F" w14:textId="77777777" w:rsidR="00B56DCC" w:rsidRDefault="00B56DCC" w:rsidP="00696E3A"/>
    <w:p w14:paraId="1913381D" w14:textId="1F33312F" w:rsidR="0004310E" w:rsidRPr="0004310E" w:rsidRDefault="00BC11F2" w:rsidP="0004310E">
      <w:pPr>
        <w:rPr>
          <w:rFonts w:eastAsia="Arial"/>
          <w:szCs w:val="20"/>
        </w:rPr>
      </w:pPr>
      <w:r w:rsidRPr="0004310E">
        <w:rPr>
          <w:rFonts w:eastAsia="Arial"/>
          <w:szCs w:val="20"/>
        </w:rPr>
        <w:t xml:space="preserve">Rethymic is the first thymus tissue product approved in the United States. Rethymic provides a previously unmet need </w:t>
      </w:r>
      <w:r w:rsidR="009F740E" w:rsidRPr="0004310E">
        <w:rPr>
          <w:rFonts w:eastAsia="Arial"/>
          <w:szCs w:val="20"/>
        </w:rPr>
        <w:t>for</w:t>
      </w:r>
      <w:r w:rsidRPr="0004310E">
        <w:rPr>
          <w:rFonts w:eastAsia="Arial"/>
          <w:szCs w:val="20"/>
        </w:rPr>
        <w:t xml:space="preserve"> patients with congenital athymia and allows for survival past the estimated two-to three-year survival rate with supportive therapy alone</w:t>
      </w:r>
      <w:r w:rsidR="0004310E" w:rsidRPr="0004310E">
        <w:rPr>
          <w:rFonts w:eastAsia="Arial"/>
          <w:szCs w:val="20"/>
        </w:rPr>
        <w:t>. It takes at least 6 months after Rethymic implantation to reconstitute immune function, so patients must continue to take precautions to prevent infections.</w:t>
      </w:r>
      <w:r w:rsidR="004E6726">
        <w:rPr>
          <w:rFonts w:eastAsia="Arial"/>
          <w:szCs w:val="20"/>
        </w:rPr>
        <w:t xml:space="preserve"> </w:t>
      </w:r>
      <w:r w:rsidR="004E6726" w:rsidRPr="004E6726">
        <w:rPr>
          <w:rFonts w:eastAsia="Arial"/>
          <w:szCs w:val="20"/>
        </w:rPr>
        <w:t>Notably, Rethymic is only available to be administered at one medical center in Durham, North Carolina.</w:t>
      </w:r>
    </w:p>
    <w:p w14:paraId="1CA03669" w14:textId="115C6B5B" w:rsidR="00BC11F2" w:rsidRDefault="00BC11F2" w:rsidP="00BC11F2">
      <w:pPr>
        <w:rPr>
          <w:rFonts w:eastAsia="Arial"/>
          <w:szCs w:val="20"/>
        </w:rPr>
      </w:pPr>
    </w:p>
    <w:p w14:paraId="6145C9EA" w14:textId="0B13448C" w:rsidR="002630CE" w:rsidRDefault="002630CE" w:rsidP="002630CE">
      <w:r w:rsidRPr="000D1468">
        <w:t>Due to the high cost</w:t>
      </w:r>
      <w:r>
        <w:t xml:space="preserve"> </w:t>
      </w:r>
      <w:r w:rsidRPr="000D1468">
        <w:t xml:space="preserve">and specific approved indication, MO HealthNet will impose clinical criteria to ensure appropriate utilization of </w:t>
      </w:r>
      <w:proofErr w:type="spellStart"/>
      <w:r>
        <w:t>Rethymic</w:t>
      </w:r>
      <w:proofErr w:type="spellEnd"/>
      <w:r w:rsidRPr="000D1468">
        <w:t>. </w:t>
      </w:r>
    </w:p>
    <w:p w14:paraId="11B4D500" w14:textId="77777777" w:rsidR="002630CE" w:rsidRDefault="002630CE" w:rsidP="00BC11F2">
      <w:pPr>
        <w:rPr>
          <w:rFonts w:eastAsia="Arial"/>
          <w:szCs w:val="20"/>
        </w:rPr>
      </w:pPr>
    </w:p>
    <w:p w14:paraId="0F9BCC41" w14:textId="77777777" w:rsidR="00BC11F2" w:rsidRDefault="00BC11F2" w:rsidP="00BC11F2"/>
    <w:p w14:paraId="5B5260CF" w14:textId="47754E9B" w:rsidR="003D4704" w:rsidRPr="00AD17B7" w:rsidRDefault="003D4704" w:rsidP="003D4704">
      <w:r>
        <w:rPr>
          <w:b/>
          <w:bCs/>
        </w:rPr>
        <w:t xml:space="preserve">Program-Specific Information: </w:t>
      </w:r>
      <w:r>
        <w:t>Dat</w:t>
      </w:r>
      <w:r w:rsidR="00ED760F">
        <w:t>e</w:t>
      </w:r>
      <w:r>
        <w:t xml:space="preserve"> Range FFS </w:t>
      </w:r>
      <w:r w:rsidR="00C5484C" w:rsidRPr="00C5484C">
        <w:t>1-1-2025</w:t>
      </w:r>
      <w:r w:rsidRPr="00C5484C">
        <w:t xml:space="preserve"> to </w:t>
      </w:r>
      <w:r w:rsidR="00C5484C" w:rsidRPr="00C5484C">
        <w:t>12-31</w:t>
      </w:r>
      <w:r w:rsidRPr="00C5484C">
        <w:t>-2025</w:t>
      </w:r>
    </w:p>
    <w:tbl>
      <w:tblPr>
        <w:tblW w:w="7825" w:type="dxa"/>
        <w:jc w:val="center"/>
        <w:tblLayout w:type="fixed"/>
        <w:tblLook w:val="04A0" w:firstRow="1" w:lastRow="0" w:firstColumn="1" w:lastColumn="0" w:noHBand="0" w:noVBand="1"/>
      </w:tblPr>
      <w:tblGrid>
        <w:gridCol w:w="4135"/>
        <w:gridCol w:w="3690"/>
      </w:tblGrid>
      <w:tr w:rsidR="00F87625" w:rsidRPr="00902CF9" w14:paraId="7E639B47" w14:textId="77777777" w:rsidTr="0095454B">
        <w:trPr>
          <w:trHeight w:val="232"/>
          <w:jc w:val="center"/>
        </w:trPr>
        <w:tc>
          <w:tcPr>
            <w:tcW w:w="413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F87625" w:rsidRPr="00902CF9" w:rsidRDefault="00F87625" w:rsidP="001F3A35">
            <w:pPr>
              <w:jc w:val="center"/>
              <w:rPr>
                <w:rFonts w:cs="Arial"/>
                <w:b/>
                <w:bCs/>
                <w:spacing w:val="-3"/>
                <w:szCs w:val="20"/>
              </w:rPr>
            </w:pPr>
            <w:r w:rsidRPr="00902CF9">
              <w:rPr>
                <w:rFonts w:cs="Arial"/>
                <w:b/>
                <w:bCs/>
                <w:spacing w:val="-3"/>
                <w:szCs w:val="20"/>
              </w:rPr>
              <w:t>Drug</w:t>
            </w:r>
          </w:p>
        </w:tc>
        <w:tc>
          <w:tcPr>
            <w:tcW w:w="36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0B813906" w:rsidR="00F87625" w:rsidRPr="00902CF9" w:rsidRDefault="00230570" w:rsidP="001F3A35">
            <w:pPr>
              <w:jc w:val="center"/>
              <w:rPr>
                <w:rFonts w:cs="Arial"/>
                <w:b/>
                <w:bCs/>
                <w:spacing w:val="-3"/>
                <w:szCs w:val="20"/>
              </w:rPr>
            </w:pPr>
            <w:r>
              <w:rPr>
                <w:rFonts w:cs="Arial"/>
                <w:b/>
                <w:spacing w:val="-3"/>
                <w:szCs w:val="20"/>
              </w:rPr>
              <w:t>WAC (per treatment)</w:t>
            </w:r>
          </w:p>
        </w:tc>
      </w:tr>
      <w:tr w:rsidR="00F87625" w:rsidRPr="00902CF9" w14:paraId="29C2C6B5" w14:textId="77777777" w:rsidTr="0095454B">
        <w:trPr>
          <w:trHeight w:val="232"/>
          <w:jc w:val="center"/>
        </w:trPr>
        <w:tc>
          <w:tcPr>
            <w:tcW w:w="4135" w:type="dxa"/>
            <w:tcBorders>
              <w:top w:val="single" w:sz="4" w:space="0" w:color="auto"/>
              <w:left w:val="single" w:sz="4" w:space="0" w:color="auto"/>
              <w:bottom w:val="single" w:sz="4" w:space="0" w:color="auto"/>
              <w:right w:val="single" w:sz="4" w:space="0" w:color="auto"/>
            </w:tcBorders>
            <w:vAlign w:val="bottom"/>
          </w:tcPr>
          <w:p w14:paraId="4E48F17F" w14:textId="27F15E04" w:rsidR="00F87625" w:rsidRPr="00902CF9" w:rsidRDefault="00F87625" w:rsidP="00F87CCE">
            <w:pPr>
              <w:rPr>
                <w:rFonts w:cs="Arial"/>
                <w:szCs w:val="20"/>
              </w:rPr>
            </w:pPr>
            <w:r>
              <w:rPr>
                <w:rFonts w:cs="Arial"/>
                <w:szCs w:val="20"/>
              </w:rPr>
              <w:t>Rethymic</w:t>
            </w:r>
            <w:r w:rsidR="00230570">
              <w:rPr>
                <w:rFonts w:cs="Arial"/>
                <w:szCs w:val="20"/>
              </w:rPr>
              <w:t xml:space="preserve"> </w:t>
            </w:r>
          </w:p>
        </w:tc>
        <w:tc>
          <w:tcPr>
            <w:tcW w:w="3690" w:type="dxa"/>
            <w:tcBorders>
              <w:top w:val="single" w:sz="4" w:space="0" w:color="auto"/>
              <w:left w:val="single" w:sz="4" w:space="0" w:color="auto"/>
              <w:bottom w:val="single" w:sz="4" w:space="0" w:color="auto"/>
              <w:right w:val="single" w:sz="4" w:space="0" w:color="auto"/>
            </w:tcBorders>
            <w:vAlign w:val="bottom"/>
          </w:tcPr>
          <w:p w14:paraId="43EE586B" w14:textId="7B3610A8" w:rsidR="00F87625" w:rsidRPr="00902CF9" w:rsidRDefault="00F87625" w:rsidP="00230570">
            <w:pPr>
              <w:jc w:val="center"/>
              <w:rPr>
                <w:rFonts w:cs="Arial"/>
                <w:szCs w:val="20"/>
              </w:rPr>
            </w:pPr>
            <w:r>
              <w:rPr>
                <w:rFonts w:cs="Arial"/>
                <w:szCs w:val="20"/>
              </w:rPr>
              <w:t>$</w:t>
            </w:r>
            <w:r w:rsidR="00230570">
              <w:rPr>
                <w:rFonts w:cs="Arial"/>
                <w:szCs w:val="20"/>
              </w:rPr>
              <w:t>2,811,385.00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05CB19D" w:rsidR="0097028A" w:rsidRPr="0079438F" w:rsidRDefault="0097028A" w:rsidP="00696E3A">
      <w:pPr>
        <w:rPr>
          <w:b/>
        </w:rPr>
      </w:pPr>
      <w:r w:rsidRPr="00696E3A">
        <w:rPr>
          <w:b/>
          <w:bCs/>
        </w:rPr>
        <w:t>Drug class for review:</w:t>
      </w:r>
      <w:r w:rsidRPr="00C02553">
        <w:t xml:space="preserve"> </w:t>
      </w:r>
      <w:r w:rsidR="007F2FEC" w:rsidRPr="007F2FEC">
        <w:t>Rethymic</w:t>
      </w:r>
      <w:r w:rsidR="00C67972" w:rsidRPr="00C67972">
        <w:rPr>
          <w:vertAlign w:val="superscript"/>
        </w:rPr>
        <w:t>®</w:t>
      </w:r>
      <w:r w:rsidR="007F2FEC" w:rsidRPr="007F2FEC">
        <w:t xml:space="preserve"> (allogeneic processed thymus tissue-agdc)</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611A1789" w14:textId="77777777" w:rsidR="003E26F9" w:rsidRDefault="003E26F9" w:rsidP="003E26F9">
      <w:pPr>
        <w:pStyle w:val="ListParagraph"/>
      </w:pPr>
      <w:r>
        <w:t>Must meet all of the following:</w:t>
      </w:r>
    </w:p>
    <w:p w14:paraId="4105D616" w14:textId="77777777" w:rsidR="003E26F9" w:rsidRDefault="003E26F9" w:rsidP="003E26F9">
      <w:pPr>
        <w:pStyle w:val="ListParagraph"/>
        <w:numPr>
          <w:ilvl w:val="1"/>
          <w:numId w:val="6"/>
        </w:numPr>
      </w:pPr>
      <w:r>
        <w:t>Participant is aged &lt; 18 years;</w:t>
      </w:r>
    </w:p>
    <w:p w14:paraId="17F2D260" w14:textId="6BC466F2" w:rsidR="003E26F9" w:rsidRDefault="003E26F9" w:rsidP="003E26F9">
      <w:pPr>
        <w:pStyle w:val="ListParagraph"/>
        <w:numPr>
          <w:ilvl w:val="1"/>
          <w:numId w:val="6"/>
        </w:numPr>
      </w:pPr>
      <w:r>
        <w:t>Diagnosis of congenital athymia confirmed by a specialist (pediatric immunologist);</w:t>
      </w:r>
    </w:p>
    <w:p w14:paraId="597D722F" w14:textId="77777777" w:rsidR="003E26F9" w:rsidRDefault="003E26F9" w:rsidP="003E26F9">
      <w:pPr>
        <w:pStyle w:val="ListParagraph"/>
        <w:numPr>
          <w:ilvl w:val="1"/>
          <w:numId w:val="6"/>
        </w:numPr>
        <w:spacing w:before="60" w:after="60"/>
      </w:pPr>
      <w:r>
        <w:lastRenderedPageBreak/>
        <w:t>Prescribed by or in consultation with a pediatric immunologist, endocrinologist or other specialist in the treated disease state;</w:t>
      </w:r>
    </w:p>
    <w:p w14:paraId="3C924F97" w14:textId="77777777" w:rsidR="003E26F9" w:rsidRDefault="003E26F9" w:rsidP="003E26F9">
      <w:pPr>
        <w:pStyle w:val="ListParagraph"/>
        <w:numPr>
          <w:ilvl w:val="1"/>
          <w:numId w:val="6"/>
        </w:numPr>
        <w:spacing w:before="60" w:after="60"/>
      </w:pPr>
      <w:r>
        <w:t>Testing for anti-human leukocyte antigen (HLA) antibodies completed;</w:t>
      </w:r>
    </w:p>
    <w:p w14:paraId="54041784" w14:textId="77777777" w:rsidR="003E26F9" w:rsidRDefault="003E26F9" w:rsidP="003E26F9">
      <w:pPr>
        <w:pStyle w:val="ListParagraph"/>
        <w:numPr>
          <w:ilvl w:val="1"/>
          <w:numId w:val="6"/>
        </w:numPr>
        <w:spacing w:before="60" w:after="60"/>
      </w:pPr>
      <w:r>
        <w:t xml:space="preserve">If participant has received prior hematopoietic cell transplantation (HCT) or solid organ transplant must have HLA matching completed; </w:t>
      </w:r>
      <w:r w:rsidRPr="000D20F7">
        <w:rPr>
          <w:b/>
          <w:bCs/>
        </w:rPr>
        <w:t>AND</w:t>
      </w:r>
    </w:p>
    <w:p w14:paraId="3C06FD9E" w14:textId="77777777" w:rsidR="003E26F9" w:rsidRDefault="003E26F9" w:rsidP="003E26F9">
      <w:pPr>
        <w:pStyle w:val="ListParagraph"/>
        <w:numPr>
          <w:ilvl w:val="1"/>
          <w:numId w:val="6"/>
        </w:numPr>
        <w:spacing w:before="60" w:after="60"/>
      </w:pPr>
      <w:r>
        <w:t xml:space="preserve">Baseline T-cell proliferative response to phytohemagglutinin (PHA) completed;   </w:t>
      </w:r>
    </w:p>
    <w:p w14:paraId="1B509DCA" w14:textId="77777777" w:rsidR="00635DDB" w:rsidRPr="002C2C41" w:rsidRDefault="00635DDB" w:rsidP="003E26F9">
      <w:pPr>
        <w:ind w:left="360"/>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Therapy will deny with presence of one of the following:</w:t>
      </w:r>
    </w:p>
    <w:p w14:paraId="554590AB" w14:textId="1EC7C8D5" w:rsidR="00050AAD" w:rsidRDefault="00050AAD" w:rsidP="00050AAD">
      <w:pPr>
        <w:pStyle w:val="ListParagraph"/>
        <w:numPr>
          <w:ilvl w:val="1"/>
          <w:numId w:val="6"/>
        </w:numPr>
      </w:pPr>
      <w:r>
        <w:t xml:space="preserve">Presence of genetic variants </w:t>
      </w:r>
      <w:r w:rsidR="00BD50FA">
        <w:t>associated</w:t>
      </w:r>
      <w:r>
        <w:t xml:space="preserve"> with diagnosis of severe combined immunodeficiency (SCID); </w:t>
      </w:r>
    </w:p>
    <w:p w14:paraId="68CBC071" w14:textId="77777777" w:rsidR="00050AAD" w:rsidRDefault="00050AAD" w:rsidP="00050AAD">
      <w:pPr>
        <w:pStyle w:val="ListParagraph"/>
        <w:numPr>
          <w:ilvl w:val="1"/>
          <w:numId w:val="6"/>
        </w:numPr>
      </w:pPr>
      <w:r>
        <w:t xml:space="preserve">Presence of current cytomegalovirus or human immunodeficiency virus (HIV) infection; </w:t>
      </w:r>
      <w:r w:rsidRPr="000D20F7">
        <w:rPr>
          <w:b/>
          <w:bCs/>
        </w:rPr>
        <w:t>OR</w:t>
      </w:r>
    </w:p>
    <w:p w14:paraId="6BA2A476" w14:textId="4FB51C90" w:rsidR="00050AAD" w:rsidRDefault="00050AAD" w:rsidP="00050AAD">
      <w:pPr>
        <w:pStyle w:val="ListParagraph"/>
        <w:numPr>
          <w:ilvl w:val="1"/>
          <w:numId w:val="6"/>
        </w:numPr>
      </w:pPr>
      <w:r>
        <w:t xml:space="preserve">Therapy </w:t>
      </w:r>
      <w:r w:rsidR="00ED0699">
        <w:t>exceeds</w:t>
      </w:r>
      <w:r>
        <w:t xml:space="preserve"> 1 procedure per lifetime.</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29814963" w14:textId="77777777" w:rsidR="00CA11CA" w:rsidRPr="00CA11CA" w:rsidRDefault="00CA11CA" w:rsidP="00CA11CA">
      <w:pPr>
        <w:pStyle w:val="ListParagraph"/>
        <w:numPr>
          <w:ilvl w:val="0"/>
          <w:numId w:val="16"/>
        </w:numPr>
        <w:ind w:left="360"/>
        <w:rPr>
          <w:szCs w:val="20"/>
        </w:rPr>
      </w:pPr>
      <w:r w:rsidRPr="00CA11CA">
        <w:rPr>
          <w:szCs w:val="20"/>
        </w:rPr>
        <w:t>Rethymic [package insert] Marlborough, MA: Sumitomo Pharma America, Inc. October 2024.</w:t>
      </w:r>
    </w:p>
    <w:p w14:paraId="5FE91495" w14:textId="77777777" w:rsidR="00CA11CA" w:rsidRDefault="00CA11CA" w:rsidP="00CA11CA">
      <w:pPr>
        <w:pStyle w:val="Default"/>
        <w:numPr>
          <w:ilvl w:val="0"/>
          <w:numId w:val="16"/>
        </w:numPr>
        <w:ind w:left="360"/>
        <w:rPr>
          <w:sz w:val="20"/>
          <w:szCs w:val="20"/>
        </w:rPr>
      </w:pPr>
      <w:r w:rsidRPr="00F1661E">
        <w:rPr>
          <w:sz w:val="20"/>
          <w:szCs w:val="20"/>
        </w:rPr>
        <w:t>Kreins A, Bonfanti P, Davies EG. Current and future therapeutic approaches for thymic stromal cell defects. Front Immunol. 2021; 12: 655354. https://www.ncbi.nlm.nih.gov/pmc/articles/PMC8012524/. Accessed February 2026.</w:t>
      </w:r>
    </w:p>
    <w:p w14:paraId="0BC78C1F" w14:textId="77777777" w:rsidR="00CA11CA" w:rsidRDefault="00CA11CA" w:rsidP="00CA11CA">
      <w:pPr>
        <w:pStyle w:val="Default"/>
        <w:numPr>
          <w:ilvl w:val="0"/>
          <w:numId w:val="16"/>
        </w:numPr>
        <w:ind w:left="360"/>
        <w:rPr>
          <w:sz w:val="20"/>
          <w:szCs w:val="20"/>
        </w:rPr>
      </w:pPr>
      <w:r w:rsidRPr="00503433">
        <w:rPr>
          <w:sz w:val="20"/>
          <w:szCs w:val="20"/>
        </w:rPr>
        <w:t>Janda A, Sedlacek P, Hönig M. et al. Multicenter survey on the outcome of transplantation of hematopoietic cells in patients with the complete form of DiGeorge anomaly. Blood. 2010 Sep 30; 116(13):2229-36.</w:t>
      </w:r>
    </w:p>
    <w:p w14:paraId="01573BA3" w14:textId="77777777" w:rsidR="00CA11CA" w:rsidRDefault="00CA11CA" w:rsidP="00CA11CA">
      <w:pPr>
        <w:pStyle w:val="Default"/>
        <w:numPr>
          <w:ilvl w:val="0"/>
          <w:numId w:val="16"/>
        </w:numPr>
        <w:ind w:left="360"/>
        <w:rPr>
          <w:sz w:val="20"/>
          <w:szCs w:val="20"/>
        </w:rPr>
      </w:pPr>
      <w:r w:rsidRPr="00696E1A">
        <w:rPr>
          <w:sz w:val="20"/>
          <w:szCs w:val="20"/>
        </w:rPr>
        <w:t xml:space="preserve">Market L, Gupton S, McCarthy E. Experience with cultured thymus tissue in 105 children. The Journal of Allergy and Clinical Immunology. </w:t>
      </w:r>
      <w:hyperlink r:id="rId11" w:history="1">
        <w:r w:rsidRPr="005F21FA">
          <w:rPr>
            <w:rStyle w:val="Hyperlink"/>
            <w:sz w:val="20"/>
            <w:szCs w:val="20"/>
          </w:rPr>
          <w:t>https://www.jacionline.org/article/S0091-6749(21)01056-3/fulltext</w:t>
        </w:r>
      </w:hyperlink>
      <w:r w:rsidRPr="00696E1A">
        <w:rPr>
          <w:sz w:val="20"/>
          <w:szCs w:val="20"/>
        </w:rPr>
        <w:t>.</w:t>
      </w:r>
    </w:p>
    <w:p w14:paraId="0A977C70" w14:textId="77777777" w:rsidR="00CA11CA" w:rsidRPr="006612BB" w:rsidRDefault="00CA11CA" w:rsidP="00CA11CA">
      <w:pPr>
        <w:pStyle w:val="ListParagraph"/>
        <w:numPr>
          <w:ilvl w:val="0"/>
          <w:numId w:val="16"/>
        </w:numPr>
        <w:spacing w:after="200" w:line="276" w:lineRule="auto"/>
        <w:ind w:left="360"/>
        <w:rPr>
          <w:rFonts w:cs="Arial"/>
          <w:szCs w:val="20"/>
          <w:shd w:val="clear" w:color="auto" w:fill="FFFFFF"/>
        </w:rPr>
      </w:pPr>
      <w:r w:rsidRPr="00A9111F">
        <w:rPr>
          <w:rFonts w:cs="Arial"/>
          <w:szCs w:val="20"/>
          <w:shd w:val="clear" w:color="auto" w:fill="FFFFFF"/>
        </w:rPr>
        <w:t>IPD Analytics.</w:t>
      </w:r>
      <w:r w:rsidRPr="00A9111F">
        <w:rPr>
          <w:rFonts w:cs="Arial"/>
          <w:szCs w:val="20"/>
        </w:rPr>
        <w:t xml:space="preserve"> </w:t>
      </w:r>
      <w:r w:rsidRPr="00EB7F73">
        <w:rPr>
          <w:rFonts w:cs="Arial"/>
          <w:szCs w:val="20"/>
          <w:shd w:val="clear" w:color="auto" w:fill="FFFFFF"/>
        </w:rPr>
        <w:t>Rethymic</w:t>
      </w:r>
      <w:r w:rsidRPr="00A9111F">
        <w:rPr>
          <w:rFonts w:cs="Arial"/>
          <w:szCs w:val="20"/>
          <w:shd w:val="clear" w:color="auto" w:fill="FFFFFF"/>
        </w:rPr>
        <w:t xml:space="preserve"> (</w:t>
      </w:r>
      <w:r w:rsidRPr="00EB7F73">
        <w:rPr>
          <w:rFonts w:cs="Arial"/>
          <w:szCs w:val="20"/>
          <w:shd w:val="clear" w:color="auto" w:fill="FFFFFF"/>
        </w:rPr>
        <w:t>allogeneic processed thymus tissue–agdc)</w:t>
      </w:r>
      <w:r w:rsidRPr="00A9111F">
        <w:rPr>
          <w:rFonts w:cs="Arial"/>
          <w:szCs w:val="20"/>
          <w:shd w:val="clear" w:color="auto" w:fill="FFFFFF"/>
        </w:rPr>
        <w:t>)</w:t>
      </w:r>
      <w:r w:rsidRPr="00A9111F">
        <w:rPr>
          <w:rFonts w:cs="Arial"/>
          <w:color w:val="000000"/>
          <w:szCs w:val="20"/>
          <w:shd w:val="clear" w:color="auto" w:fill="FFFFFF"/>
        </w:rPr>
        <w:t xml:space="preserve"> New Drug Review</w:t>
      </w:r>
      <w:r w:rsidRPr="00A9111F">
        <w:rPr>
          <w:rFonts w:cs="Arial"/>
          <w:szCs w:val="20"/>
          <w:shd w:val="clear" w:color="auto" w:fill="FFFFFF"/>
        </w:rPr>
        <w:t xml:space="preserve">. </w:t>
      </w:r>
      <w:r>
        <w:rPr>
          <w:rFonts w:cs="Arial"/>
          <w:szCs w:val="20"/>
          <w:shd w:val="clear" w:color="auto" w:fill="FFFFFF"/>
        </w:rPr>
        <w:t xml:space="preserve">October </w:t>
      </w:r>
      <w:r w:rsidRPr="00A9111F">
        <w:rPr>
          <w:rFonts w:cs="Arial"/>
          <w:szCs w:val="20"/>
          <w:shd w:val="clear" w:color="auto" w:fill="FFFFFF"/>
        </w:rPr>
        <w:t>202</w:t>
      </w:r>
      <w:r>
        <w:rPr>
          <w:rFonts w:cs="Arial"/>
          <w:szCs w:val="20"/>
          <w:shd w:val="clear" w:color="auto" w:fill="FFFFFF"/>
        </w:rPr>
        <w:t>1</w:t>
      </w:r>
      <w:r w:rsidRPr="00A9111F">
        <w:rPr>
          <w:rFonts w:cs="Arial"/>
          <w:szCs w:val="20"/>
          <w:shd w:val="clear" w:color="auto" w:fill="FFFFFF"/>
        </w:rPr>
        <w:t>.</w:t>
      </w:r>
    </w:p>
    <w:p w14:paraId="3FA1E7DB" w14:textId="302F8154" w:rsidR="00777CA4" w:rsidRDefault="00777CA4" w:rsidP="00CA11CA"/>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507E" w14:textId="77777777" w:rsidR="007D4614" w:rsidRPr="00C02553" w:rsidRDefault="007D4614" w:rsidP="00AE77DB">
      <w:r w:rsidRPr="00C02553">
        <w:separator/>
      </w:r>
    </w:p>
  </w:endnote>
  <w:endnote w:type="continuationSeparator" w:id="0">
    <w:p w14:paraId="026E9978" w14:textId="77777777" w:rsidR="007D4614" w:rsidRPr="00C02553" w:rsidRDefault="007D4614" w:rsidP="00AE77DB">
      <w:r w:rsidRPr="00C02553">
        <w:continuationSeparator/>
      </w:r>
    </w:p>
  </w:endnote>
  <w:endnote w:type="continuationNotice" w:id="1">
    <w:p w14:paraId="3A98511A" w14:textId="77777777" w:rsidR="007D4614" w:rsidRPr="00C02553" w:rsidRDefault="007D4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1DDB" w14:textId="77777777" w:rsidR="007D4614" w:rsidRPr="00C02553" w:rsidRDefault="007D4614" w:rsidP="00AE77DB">
      <w:r w:rsidRPr="00C02553">
        <w:separator/>
      </w:r>
    </w:p>
  </w:footnote>
  <w:footnote w:type="continuationSeparator" w:id="0">
    <w:p w14:paraId="171A4B76" w14:textId="77777777" w:rsidR="007D4614" w:rsidRPr="00C02553" w:rsidRDefault="007D4614" w:rsidP="00AE77DB">
      <w:r w:rsidRPr="00C02553">
        <w:continuationSeparator/>
      </w:r>
    </w:p>
  </w:footnote>
  <w:footnote w:type="continuationNotice" w:id="1">
    <w:p w14:paraId="79999FCD" w14:textId="77777777" w:rsidR="007D4614" w:rsidRPr="00C02553" w:rsidRDefault="007D4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225B81">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225B81">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225B81">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74624"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xmlns:arto="http://schemas.microsoft.com/office/word/2006/arto"/>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8F145E9"/>
    <w:multiLevelType w:val="hybridMultilevel"/>
    <w:tmpl w:val="5CF485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505BD0"/>
    <w:multiLevelType w:val="multilevel"/>
    <w:tmpl w:val="E69A48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6"/>
  </w:num>
  <w:num w:numId="3" w16cid:durableId="1729067566">
    <w:abstractNumId w:val="4"/>
  </w:num>
  <w:num w:numId="4" w16cid:durableId="320159068">
    <w:abstractNumId w:val="10"/>
  </w:num>
  <w:num w:numId="5" w16cid:durableId="1769498754">
    <w:abstractNumId w:val="3"/>
  </w:num>
  <w:num w:numId="6" w16cid:durableId="1094596320">
    <w:abstractNumId w:val="14"/>
  </w:num>
  <w:num w:numId="7" w16cid:durableId="2110008555">
    <w:abstractNumId w:val="2"/>
  </w:num>
  <w:num w:numId="8" w16cid:durableId="489712751">
    <w:abstractNumId w:val="9"/>
  </w:num>
  <w:num w:numId="9" w16cid:durableId="1085147965">
    <w:abstractNumId w:val="12"/>
  </w:num>
  <w:num w:numId="10" w16cid:durableId="917518096">
    <w:abstractNumId w:val="11"/>
  </w:num>
  <w:num w:numId="11" w16cid:durableId="1894998475">
    <w:abstractNumId w:val="1"/>
  </w:num>
  <w:num w:numId="12" w16cid:durableId="1418215296">
    <w:abstractNumId w:val="15"/>
  </w:num>
  <w:num w:numId="13" w16cid:durableId="604729665">
    <w:abstractNumId w:val="7"/>
  </w:num>
  <w:num w:numId="14" w16cid:durableId="1805081292">
    <w:abstractNumId w:val="13"/>
  </w:num>
  <w:num w:numId="15" w16cid:durableId="1911186802">
    <w:abstractNumId w:val="8"/>
  </w:num>
  <w:num w:numId="16" w16cid:durableId="345444043">
    <w:abstractNumId w:val="6"/>
  </w:num>
  <w:num w:numId="17" w16cid:durableId="83226148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JQ/P/ulWX7GpM8jAZUdH4SjXWNVfjSc6duJrWPkjfZIkd8zTBAA0lB3bn6rz3f7BNmiYus7Itj8iNHAowP6XxQ==" w:salt="4TOAr3Y7YueD1fVl5AgPY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37573"/>
    <w:rsid w:val="00040AD3"/>
    <w:rsid w:val="0004310E"/>
    <w:rsid w:val="00050AAD"/>
    <w:rsid w:val="000512E2"/>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7A80"/>
    <w:rsid w:val="001808B8"/>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5B81"/>
    <w:rsid w:val="00226275"/>
    <w:rsid w:val="00230570"/>
    <w:rsid w:val="00246564"/>
    <w:rsid w:val="00246A3B"/>
    <w:rsid w:val="00250FBF"/>
    <w:rsid w:val="00255404"/>
    <w:rsid w:val="0025594F"/>
    <w:rsid w:val="002630CE"/>
    <w:rsid w:val="00270C5E"/>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05A5"/>
    <w:rsid w:val="00313701"/>
    <w:rsid w:val="00314430"/>
    <w:rsid w:val="00316188"/>
    <w:rsid w:val="003171AF"/>
    <w:rsid w:val="00317469"/>
    <w:rsid w:val="00320078"/>
    <w:rsid w:val="0032215C"/>
    <w:rsid w:val="00323D46"/>
    <w:rsid w:val="0032616B"/>
    <w:rsid w:val="00326687"/>
    <w:rsid w:val="003275F9"/>
    <w:rsid w:val="00330DD4"/>
    <w:rsid w:val="003345D2"/>
    <w:rsid w:val="003355AC"/>
    <w:rsid w:val="00343D6B"/>
    <w:rsid w:val="00346090"/>
    <w:rsid w:val="00347FB5"/>
    <w:rsid w:val="00355515"/>
    <w:rsid w:val="003608B5"/>
    <w:rsid w:val="003613AF"/>
    <w:rsid w:val="003878C1"/>
    <w:rsid w:val="00396C0B"/>
    <w:rsid w:val="003A0CA0"/>
    <w:rsid w:val="003A47C0"/>
    <w:rsid w:val="003A630F"/>
    <w:rsid w:val="003B3958"/>
    <w:rsid w:val="003B4820"/>
    <w:rsid w:val="003B5F4B"/>
    <w:rsid w:val="003B682F"/>
    <w:rsid w:val="003C53FC"/>
    <w:rsid w:val="003C7013"/>
    <w:rsid w:val="003D4704"/>
    <w:rsid w:val="003D641B"/>
    <w:rsid w:val="003E26F9"/>
    <w:rsid w:val="003F227C"/>
    <w:rsid w:val="004023CC"/>
    <w:rsid w:val="00407564"/>
    <w:rsid w:val="00411152"/>
    <w:rsid w:val="004156AA"/>
    <w:rsid w:val="004253A1"/>
    <w:rsid w:val="004313B6"/>
    <w:rsid w:val="00432729"/>
    <w:rsid w:val="00433339"/>
    <w:rsid w:val="00446BBC"/>
    <w:rsid w:val="004472C0"/>
    <w:rsid w:val="00450705"/>
    <w:rsid w:val="00451928"/>
    <w:rsid w:val="00454A0B"/>
    <w:rsid w:val="00460B5D"/>
    <w:rsid w:val="0046618B"/>
    <w:rsid w:val="0048608C"/>
    <w:rsid w:val="00496E57"/>
    <w:rsid w:val="004B3E10"/>
    <w:rsid w:val="004C0F5D"/>
    <w:rsid w:val="004C375A"/>
    <w:rsid w:val="004C4954"/>
    <w:rsid w:val="004C5767"/>
    <w:rsid w:val="004D0080"/>
    <w:rsid w:val="004D4271"/>
    <w:rsid w:val="004D5322"/>
    <w:rsid w:val="004D647C"/>
    <w:rsid w:val="004D78B0"/>
    <w:rsid w:val="004E611F"/>
    <w:rsid w:val="004E6726"/>
    <w:rsid w:val="004F2A79"/>
    <w:rsid w:val="004F4D37"/>
    <w:rsid w:val="00501A14"/>
    <w:rsid w:val="00501DE3"/>
    <w:rsid w:val="00503126"/>
    <w:rsid w:val="005058CB"/>
    <w:rsid w:val="0051044D"/>
    <w:rsid w:val="005139E4"/>
    <w:rsid w:val="00515075"/>
    <w:rsid w:val="00516D12"/>
    <w:rsid w:val="00520FE9"/>
    <w:rsid w:val="00521732"/>
    <w:rsid w:val="005233E7"/>
    <w:rsid w:val="00526C8D"/>
    <w:rsid w:val="005328B2"/>
    <w:rsid w:val="005349EC"/>
    <w:rsid w:val="00535BD5"/>
    <w:rsid w:val="00540977"/>
    <w:rsid w:val="00551668"/>
    <w:rsid w:val="00552F44"/>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590D"/>
    <w:rsid w:val="00646DFE"/>
    <w:rsid w:val="00650530"/>
    <w:rsid w:val="00650C96"/>
    <w:rsid w:val="00653788"/>
    <w:rsid w:val="0065477F"/>
    <w:rsid w:val="00656896"/>
    <w:rsid w:val="00661656"/>
    <w:rsid w:val="00661C5A"/>
    <w:rsid w:val="0066374F"/>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C67"/>
    <w:rsid w:val="00734418"/>
    <w:rsid w:val="00756363"/>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A58"/>
    <w:rsid w:val="007B5D30"/>
    <w:rsid w:val="007D2920"/>
    <w:rsid w:val="007D42DD"/>
    <w:rsid w:val="007D4614"/>
    <w:rsid w:val="007E6A37"/>
    <w:rsid w:val="007F0337"/>
    <w:rsid w:val="007F1774"/>
    <w:rsid w:val="007F2FEC"/>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2F3D"/>
    <w:rsid w:val="008F44C0"/>
    <w:rsid w:val="008F5999"/>
    <w:rsid w:val="00903AD6"/>
    <w:rsid w:val="00903E04"/>
    <w:rsid w:val="00904D7A"/>
    <w:rsid w:val="00915332"/>
    <w:rsid w:val="009204BB"/>
    <w:rsid w:val="00931668"/>
    <w:rsid w:val="00935918"/>
    <w:rsid w:val="00935EC3"/>
    <w:rsid w:val="00951097"/>
    <w:rsid w:val="00953C1E"/>
    <w:rsid w:val="0095454B"/>
    <w:rsid w:val="009575DF"/>
    <w:rsid w:val="0096210F"/>
    <w:rsid w:val="00962633"/>
    <w:rsid w:val="00963187"/>
    <w:rsid w:val="00963ACF"/>
    <w:rsid w:val="00963D1C"/>
    <w:rsid w:val="00964284"/>
    <w:rsid w:val="0097028A"/>
    <w:rsid w:val="00973BD6"/>
    <w:rsid w:val="00984549"/>
    <w:rsid w:val="00985D28"/>
    <w:rsid w:val="00991BF0"/>
    <w:rsid w:val="00992EA3"/>
    <w:rsid w:val="009966B4"/>
    <w:rsid w:val="009A0FB1"/>
    <w:rsid w:val="009A1FAC"/>
    <w:rsid w:val="009B001A"/>
    <w:rsid w:val="009B1A62"/>
    <w:rsid w:val="009C3CC7"/>
    <w:rsid w:val="009D2057"/>
    <w:rsid w:val="009D3D6C"/>
    <w:rsid w:val="009D5551"/>
    <w:rsid w:val="009D62DB"/>
    <w:rsid w:val="009E3B42"/>
    <w:rsid w:val="009F518A"/>
    <w:rsid w:val="009F740E"/>
    <w:rsid w:val="00A02AF6"/>
    <w:rsid w:val="00A05B60"/>
    <w:rsid w:val="00A13266"/>
    <w:rsid w:val="00A14FA6"/>
    <w:rsid w:val="00A15D64"/>
    <w:rsid w:val="00A20575"/>
    <w:rsid w:val="00A32452"/>
    <w:rsid w:val="00A325CC"/>
    <w:rsid w:val="00A32BBF"/>
    <w:rsid w:val="00A37444"/>
    <w:rsid w:val="00A4281A"/>
    <w:rsid w:val="00A459CF"/>
    <w:rsid w:val="00A5014D"/>
    <w:rsid w:val="00A53352"/>
    <w:rsid w:val="00A53E96"/>
    <w:rsid w:val="00A56F18"/>
    <w:rsid w:val="00A628F8"/>
    <w:rsid w:val="00A62BAA"/>
    <w:rsid w:val="00A66172"/>
    <w:rsid w:val="00A744C3"/>
    <w:rsid w:val="00AA70AB"/>
    <w:rsid w:val="00AB0B9F"/>
    <w:rsid w:val="00AB1713"/>
    <w:rsid w:val="00AB63BE"/>
    <w:rsid w:val="00AC1EBC"/>
    <w:rsid w:val="00AC2599"/>
    <w:rsid w:val="00AC2DE9"/>
    <w:rsid w:val="00AC3CD9"/>
    <w:rsid w:val="00AD2C5F"/>
    <w:rsid w:val="00AE1481"/>
    <w:rsid w:val="00AE27F9"/>
    <w:rsid w:val="00AE77DB"/>
    <w:rsid w:val="00AF361F"/>
    <w:rsid w:val="00AF7453"/>
    <w:rsid w:val="00B00FFF"/>
    <w:rsid w:val="00B06084"/>
    <w:rsid w:val="00B16735"/>
    <w:rsid w:val="00B17EDE"/>
    <w:rsid w:val="00B22585"/>
    <w:rsid w:val="00B33693"/>
    <w:rsid w:val="00B34C53"/>
    <w:rsid w:val="00B507A5"/>
    <w:rsid w:val="00B52475"/>
    <w:rsid w:val="00B526C8"/>
    <w:rsid w:val="00B535DA"/>
    <w:rsid w:val="00B56DCC"/>
    <w:rsid w:val="00B56F54"/>
    <w:rsid w:val="00B638C2"/>
    <w:rsid w:val="00B63F4B"/>
    <w:rsid w:val="00B758AB"/>
    <w:rsid w:val="00B76277"/>
    <w:rsid w:val="00B772AB"/>
    <w:rsid w:val="00B80395"/>
    <w:rsid w:val="00B80B56"/>
    <w:rsid w:val="00B81FDB"/>
    <w:rsid w:val="00B86372"/>
    <w:rsid w:val="00BA1C17"/>
    <w:rsid w:val="00BA1D65"/>
    <w:rsid w:val="00BB3B4D"/>
    <w:rsid w:val="00BC11F2"/>
    <w:rsid w:val="00BC351E"/>
    <w:rsid w:val="00BC3F77"/>
    <w:rsid w:val="00BC5635"/>
    <w:rsid w:val="00BC5675"/>
    <w:rsid w:val="00BD081C"/>
    <w:rsid w:val="00BD277B"/>
    <w:rsid w:val="00BD47CA"/>
    <w:rsid w:val="00BD50FA"/>
    <w:rsid w:val="00BD62C7"/>
    <w:rsid w:val="00BE020D"/>
    <w:rsid w:val="00BE354A"/>
    <w:rsid w:val="00BF5EEF"/>
    <w:rsid w:val="00C02553"/>
    <w:rsid w:val="00C03E2A"/>
    <w:rsid w:val="00C04EB6"/>
    <w:rsid w:val="00C056F9"/>
    <w:rsid w:val="00C07A7B"/>
    <w:rsid w:val="00C1018C"/>
    <w:rsid w:val="00C10238"/>
    <w:rsid w:val="00C1150E"/>
    <w:rsid w:val="00C14D52"/>
    <w:rsid w:val="00C2586C"/>
    <w:rsid w:val="00C26001"/>
    <w:rsid w:val="00C34E72"/>
    <w:rsid w:val="00C44D9D"/>
    <w:rsid w:val="00C5484C"/>
    <w:rsid w:val="00C56B1F"/>
    <w:rsid w:val="00C61B52"/>
    <w:rsid w:val="00C62745"/>
    <w:rsid w:val="00C654CA"/>
    <w:rsid w:val="00C67972"/>
    <w:rsid w:val="00C763BD"/>
    <w:rsid w:val="00C779A8"/>
    <w:rsid w:val="00C82E19"/>
    <w:rsid w:val="00C940CF"/>
    <w:rsid w:val="00C96873"/>
    <w:rsid w:val="00CA11CA"/>
    <w:rsid w:val="00CA1735"/>
    <w:rsid w:val="00CA207E"/>
    <w:rsid w:val="00CA3C4B"/>
    <w:rsid w:val="00CA7252"/>
    <w:rsid w:val="00CB1535"/>
    <w:rsid w:val="00CB2C5A"/>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61118"/>
    <w:rsid w:val="00D614F1"/>
    <w:rsid w:val="00D70D50"/>
    <w:rsid w:val="00D71917"/>
    <w:rsid w:val="00D763F1"/>
    <w:rsid w:val="00D87323"/>
    <w:rsid w:val="00D95E68"/>
    <w:rsid w:val="00DA3A0F"/>
    <w:rsid w:val="00DA4E62"/>
    <w:rsid w:val="00DA6990"/>
    <w:rsid w:val="00DB27BA"/>
    <w:rsid w:val="00DB3009"/>
    <w:rsid w:val="00DB337A"/>
    <w:rsid w:val="00DC034A"/>
    <w:rsid w:val="00DC51CB"/>
    <w:rsid w:val="00DD419A"/>
    <w:rsid w:val="00DD4819"/>
    <w:rsid w:val="00DD4B8A"/>
    <w:rsid w:val="00DD5403"/>
    <w:rsid w:val="00DE1388"/>
    <w:rsid w:val="00DE7501"/>
    <w:rsid w:val="00DF3146"/>
    <w:rsid w:val="00DF57C3"/>
    <w:rsid w:val="00E008D9"/>
    <w:rsid w:val="00E02FE0"/>
    <w:rsid w:val="00E07ABE"/>
    <w:rsid w:val="00E11A3F"/>
    <w:rsid w:val="00E12BFE"/>
    <w:rsid w:val="00E1386E"/>
    <w:rsid w:val="00E16B95"/>
    <w:rsid w:val="00E2369B"/>
    <w:rsid w:val="00E23EC0"/>
    <w:rsid w:val="00E354AA"/>
    <w:rsid w:val="00E43D54"/>
    <w:rsid w:val="00E442FB"/>
    <w:rsid w:val="00E529DB"/>
    <w:rsid w:val="00E53A5E"/>
    <w:rsid w:val="00E6466A"/>
    <w:rsid w:val="00E72094"/>
    <w:rsid w:val="00E72221"/>
    <w:rsid w:val="00E81B96"/>
    <w:rsid w:val="00E83428"/>
    <w:rsid w:val="00E84C58"/>
    <w:rsid w:val="00E873A5"/>
    <w:rsid w:val="00E90D11"/>
    <w:rsid w:val="00E915E5"/>
    <w:rsid w:val="00EB0367"/>
    <w:rsid w:val="00EB1753"/>
    <w:rsid w:val="00EB4FB9"/>
    <w:rsid w:val="00EB5BC8"/>
    <w:rsid w:val="00EC2738"/>
    <w:rsid w:val="00ED0699"/>
    <w:rsid w:val="00ED760F"/>
    <w:rsid w:val="00ED7B42"/>
    <w:rsid w:val="00EE13C9"/>
    <w:rsid w:val="00EE3EA5"/>
    <w:rsid w:val="00EE613F"/>
    <w:rsid w:val="00EE6BD1"/>
    <w:rsid w:val="00EF0262"/>
    <w:rsid w:val="00EF0828"/>
    <w:rsid w:val="00EF6F8B"/>
    <w:rsid w:val="00F03898"/>
    <w:rsid w:val="00F1527A"/>
    <w:rsid w:val="00F15E83"/>
    <w:rsid w:val="00F2696B"/>
    <w:rsid w:val="00F27821"/>
    <w:rsid w:val="00F4092A"/>
    <w:rsid w:val="00F41F69"/>
    <w:rsid w:val="00F43E41"/>
    <w:rsid w:val="00F4790C"/>
    <w:rsid w:val="00F50C4B"/>
    <w:rsid w:val="00F54C08"/>
    <w:rsid w:val="00F553A2"/>
    <w:rsid w:val="00F6068C"/>
    <w:rsid w:val="00F62F33"/>
    <w:rsid w:val="00F634C1"/>
    <w:rsid w:val="00F63A52"/>
    <w:rsid w:val="00F730BA"/>
    <w:rsid w:val="00F87625"/>
    <w:rsid w:val="00F87CCE"/>
    <w:rsid w:val="00F903BE"/>
    <w:rsid w:val="00F95D04"/>
    <w:rsid w:val="00FA0AF9"/>
    <w:rsid w:val="00FA16EC"/>
    <w:rsid w:val="00FA2811"/>
    <w:rsid w:val="00FA3B5D"/>
    <w:rsid w:val="00FA4837"/>
    <w:rsid w:val="00FB1D33"/>
    <w:rsid w:val="00FB5E96"/>
    <w:rsid w:val="00FB790E"/>
    <w:rsid w:val="00FC05A0"/>
    <w:rsid w:val="00FC6758"/>
    <w:rsid w:val="00FD34EA"/>
    <w:rsid w:val="00FD7C6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7C59CC6F-57E7-4DD4-8ECE-019109D2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paragraph" w:customStyle="1" w:styleId="Default">
    <w:name w:val="Default"/>
    <w:rsid w:val="00CA11C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763F1"/>
    <w:rPr>
      <w:sz w:val="16"/>
      <w:szCs w:val="16"/>
    </w:rPr>
  </w:style>
  <w:style w:type="paragraph" w:styleId="CommentSubject">
    <w:name w:val="annotation subject"/>
    <w:basedOn w:val="CommentText"/>
    <w:next w:val="CommentText"/>
    <w:link w:val="CommentSubjectChar"/>
    <w:uiPriority w:val="99"/>
    <w:semiHidden/>
    <w:unhideWhenUsed/>
    <w:rsid w:val="00D763F1"/>
    <w:rPr>
      <w:b/>
      <w:bCs/>
    </w:rPr>
  </w:style>
  <w:style w:type="character" w:customStyle="1" w:styleId="CommentTextChar">
    <w:name w:val="Comment Text Char"/>
    <w:basedOn w:val="DefaultParagraphFont"/>
    <w:link w:val="CommentText"/>
    <w:semiHidden/>
    <w:rsid w:val="00D763F1"/>
    <w:rPr>
      <w:rFonts w:ascii="Arial" w:hAnsi="Arial"/>
    </w:rPr>
  </w:style>
  <w:style w:type="character" w:customStyle="1" w:styleId="CommentSubjectChar">
    <w:name w:val="Comment Subject Char"/>
    <w:basedOn w:val="CommentTextChar"/>
    <w:link w:val="CommentSubject"/>
    <w:uiPriority w:val="99"/>
    <w:semiHidden/>
    <w:rsid w:val="00D763F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acionline.org/article/S0091-6749(21)01056-3/fulltex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0F9992BC-7C11-4A83-A97F-D2E41AE80BFC}">
  <ds:schemaRef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purl.org/dc/elements/1.1/"/>
    <ds:schemaRef ds:uri="http://schemas.microsoft.com/office/2006/metadata/properties"/>
    <ds:schemaRef ds:uri="http://schemas.microsoft.com/office/2006/documentManagement/types"/>
    <ds:schemaRef ds:uri="http://schemas.microsoft.com/office/infopath/2007/PartnerControls"/>
    <ds:schemaRef ds:uri="aba01ddc-ae9a-4c9e-819c-7140b4239cde"/>
    <ds:schemaRef ds:uri="http://www.w3.org/XML/1998/namespace"/>
  </ds:schemaRefs>
</ds:datastoreItem>
</file>

<file path=customXml/itemProps3.xml><?xml version="1.0" encoding="utf-8"?>
<ds:datastoreItem xmlns:ds="http://schemas.openxmlformats.org/officeDocument/2006/customXml" ds:itemID="{9EB89BB8-4962-46B5-90DC-5049B44AE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94</TotalTime>
  <Pages>2</Pages>
  <Words>519</Words>
  <Characters>3377</Characters>
  <Application>Microsoft Office Word</Application>
  <DocSecurity>10</DocSecurity>
  <Lines>28</Lines>
  <Paragraphs>7</Paragraphs>
  <ScaleCrop>false</ScaleCrop>
  <HeadingPairs>
    <vt:vector size="2" baseType="variant">
      <vt:variant>
        <vt:lpstr>Title</vt:lpstr>
      </vt:variant>
      <vt:variant>
        <vt:i4>1</vt:i4>
      </vt:variant>
    </vt:vector>
  </HeadingPairs>
  <TitlesOfParts>
    <vt:vector size="1" baseType="lpstr">
      <vt:lpstr>Rethymic CE</vt:lpstr>
    </vt:vector>
  </TitlesOfParts>
  <Company>DSS</Company>
  <LinksUpToDate>false</LinksUpToDate>
  <CharactersWithSpaces>3889</CharactersWithSpaces>
  <SharedDoc>false</SharedDoc>
  <HLinks>
    <vt:vector size="6" baseType="variant">
      <vt:variant>
        <vt:i4>5439556</vt:i4>
      </vt:variant>
      <vt:variant>
        <vt:i4>0</vt:i4>
      </vt:variant>
      <vt:variant>
        <vt:i4>0</vt:i4>
      </vt:variant>
      <vt:variant>
        <vt:i4>5</vt:i4>
      </vt:variant>
      <vt:variant>
        <vt:lpwstr>https://www.jacionline.org/article/S0091-6749(21)01056-3/fulltext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Rethymic CE</dc:title>
  <dc:subject/>
  <dc:creator>DMS</dc:creator>
  <cp:keywords/>
  <cp:lastModifiedBy>Heriford, Katherine</cp:lastModifiedBy>
  <cp:revision>58</cp:revision>
  <cp:lastPrinted>2018-10-31T21:17:00Z</cp:lastPrinted>
  <dcterms:created xsi:type="dcterms:W3CDTF">2025-11-19T18:39:00Z</dcterms:created>
  <dcterms:modified xsi:type="dcterms:W3CDTF">2026-03-30T22:09:00Z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