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155A632F" w:rsidR="004C5767" w:rsidRPr="008859E1" w:rsidRDefault="004C5767" w:rsidP="00D27533">
      <w:pPr>
        <w:pStyle w:val="tbody"/>
        <w:rPr>
          <w:b w:val="0"/>
          <w:bCs/>
        </w:rPr>
      </w:pPr>
      <w:r w:rsidRPr="00C02553">
        <w:t>Drug/Drug Class:</w:t>
      </w:r>
      <w:r w:rsidR="003B4820" w:rsidRPr="00573856">
        <w:rPr>
          <w:b w:val="0"/>
          <w:bCs/>
        </w:rPr>
        <w:t xml:space="preserve"> </w:t>
      </w:r>
      <w:bookmarkStart w:id="1" w:name="_Hlk42768392"/>
      <w:r w:rsidR="005336B8" w:rsidRPr="005336B8">
        <w:rPr>
          <w:b w:val="0"/>
          <w:bCs/>
        </w:rPr>
        <w:t>Somatostatin Analogs</w:t>
      </w:r>
      <w:bookmarkEnd w:id="1"/>
      <w:r w:rsidR="005336B8" w:rsidRPr="005336B8">
        <w:rPr>
          <w:b w:val="0"/>
          <w:bCs/>
        </w:rPr>
        <w:t xml:space="preserve"> </w:t>
      </w:r>
      <w:r w:rsidR="00CA4217" w:rsidRPr="00CA4217">
        <w:rPr>
          <w:b w:val="0"/>
          <w:bCs/>
        </w:rPr>
        <w:t>PDL Edit</w:t>
      </w:r>
    </w:p>
    <w:p w14:paraId="7AD7FFCE" w14:textId="2D693D73" w:rsidR="004C5767" w:rsidRPr="00C02553" w:rsidRDefault="004C5767" w:rsidP="00D27533">
      <w:pPr>
        <w:pStyle w:val="tbody"/>
      </w:pPr>
      <w:r w:rsidRPr="00C02553">
        <w:t>First Implementation Date:</w:t>
      </w:r>
      <w:r w:rsidRPr="00573856">
        <w:rPr>
          <w:b w:val="0"/>
          <w:bCs/>
        </w:rPr>
        <w:t xml:space="preserve"> </w:t>
      </w:r>
      <w:r w:rsidR="005336B8" w:rsidRPr="005336B8">
        <w:rPr>
          <w:b w:val="0"/>
          <w:bCs/>
        </w:rPr>
        <w:t>April 1, 2021</w:t>
      </w:r>
    </w:p>
    <w:p w14:paraId="4B7D760D" w14:textId="77F84E4D" w:rsidR="004C5767" w:rsidRPr="00057F84" w:rsidRDefault="00F41F69" w:rsidP="70E341D6">
      <w:pPr>
        <w:pStyle w:val="tbody"/>
        <w:rPr>
          <w:b w:val="0"/>
        </w:rPr>
      </w:pPr>
      <w:r>
        <w:t>Propo</w:t>
      </w:r>
      <w:r w:rsidR="004C5767">
        <w:t>sed Date:</w:t>
      </w:r>
      <w:r w:rsidR="00065C22">
        <w:t xml:space="preserve"> </w:t>
      </w:r>
      <w:r w:rsidR="00057F84">
        <w:rPr>
          <w:b w:val="0"/>
        </w:rPr>
        <w:t>January 20,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4B8BAE07" w:rsidR="004C5767" w:rsidRPr="00D27533" w:rsidRDefault="004C5767" w:rsidP="00D27533">
      <w:pPr>
        <w:pStyle w:val="tbody"/>
        <w:rPr>
          <w:b w:val="0"/>
          <w:bCs/>
          <w:spacing w:val="-3"/>
        </w:rPr>
      </w:pPr>
      <w:r w:rsidRPr="00C02553">
        <w:t xml:space="preserve">Criteria Status: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190AF2CB" w14:textId="77777777" w:rsidR="000677E7" w:rsidRPr="000677E7" w:rsidRDefault="000677E7" w:rsidP="000677E7">
      <w:r w:rsidRPr="000677E7">
        <w:t>Somatostatin, also known as growth inhibiting hormone, is a cyclic peptide hormone that is produced to the highest extent within the gastrointestinal tract, islets of Langerhans within the pancreas, and the nervous system. Somatostatin functions to inhibit the secretion of various hormones including growth hormone, prolactin, vasoactive intestinal peptide, glucagon, thyroid-stimulating hormone, and insulin. By binding to and activating five distinct G-protein coupled receptors (GPCR), somatostatin decreases intracellular cyclic AMP and calcium and increases outward potassium currents, the net effect of which is a decrease in hormone secretion within the target tissue.</w:t>
      </w:r>
    </w:p>
    <w:p w14:paraId="54112731" w14:textId="77777777" w:rsidR="000677E7" w:rsidRPr="000677E7" w:rsidRDefault="000677E7" w:rsidP="000677E7"/>
    <w:p w14:paraId="31196DA6" w14:textId="77777777" w:rsidR="000677E7" w:rsidRPr="000677E7" w:rsidRDefault="000677E7" w:rsidP="000677E7">
      <w:r w:rsidRPr="000677E7">
        <w:t>Somatostatin analogs which mimic the action of endogenous somatostatin have been available since the 1980’s and are now used to treat a variety of conditions. Octreotide has shown to have a higher affinity than natural somatostatin for the sst</w:t>
      </w:r>
      <w:r w:rsidRPr="000677E7">
        <w:rPr>
          <w:vertAlign w:val="subscript"/>
        </w:rPr>
        <w:t xml:space="preserve">2 </w:t>
      </w:r>
      <w:r w:rsidRPr="000677E7">
        <w:t xml:space="preserve">GPCR subtype which predominates in neuroendocrine tumors; this led to the approval of products such as </w:t>
      </w:r>
      <w:proofErr w:type="spellStart"/>
      <w:r w:rsidRPr="000677E7">
        <w:t>Sandostatin</w:t>
      </w:r>
      <w:proofErr w:type="spellEnd"/>
      <w:r w:rsidRPr="000677E7">
        <w:rPr>
          <w:vertAlign w:val="superscript"/>
        </w:rPr>
        <w:t>®</w:t>
      </w:r>
      <w:r w:rsidRPr="000677E7">
        <w:t xml:space="preserve">, </w:t>
      </w:r>
      <w:proofErr w:type="spellStart"/>
      <w:r w:rsidRPr="000677E7">
        <w:t>Sandostatin</w:t>
      </w:r>
      <w:proofErr w:type="spellEnd"/>
      <w:r w:rsidRPr="000677E7">
        <w:rPr>
          <w:vertAlign w:val="superscript"/>
        </w:rPr>
        <w:t>®</w:t>
      </w:r>
      <w:r w:rsidRPr="000677E7">
        <w:t xml:space="preserve"> LAR Depot, and </w:t>
      </w:r>
      <w:proofErr w:type="spellStart"/>
      <w:r w:rsidRPr="000677E7">
        <w:t>Somatuline</w:t>
      </w:r>
      <w:proofErr w:type="spellEnd"/>
      <w:r w:rsidRPr="000677E7">
        <w:rPr>
          <w:vertAlign w:val="superscript"/>
        </w:rPr>
        <w:t>®</w:t>
      </w:r>
      <w:r w:rsidRPr="000677E7">
        <w:t xml:space="preserve"> Depot for use in adult patients with severe diarrhea or flushing associated with metastatic carcinoid tumors and vasoactive intestinal peptide secreting tumors. Additional indications include the treatment of patients with </w:t>
      </w:r>
      <w:proofErr w:type="spellStart"/>
      <w:r w:rsidRPr="000677E7">
        <w:t>gastroenteropancreatic</w:t>
      </w:r>
      <w:proofErr w:type="spellEnd"/>
      <w:r w:rsidRPr="000677E7">
        <w:t xml:space="preserve"> neuroendocrine tumors as well as acromegaly, a disorder resulting from excess growth hormone production. Most recently, in June 2020, </w:t>
      </w:r>
      <w:proofErr w:type="spellStart"/>
      <w:r w:rsidRPr="000677E7">
        <w:t>Mycapssa</w:t>
      </w:r>
      <w:proofErr w:type="spellEnd"/>
      <w:r w:rsidRPr="000677E7">
        <w:rPr>
          <w:vertAlign w:val="superscript"/>
        </w:rPr>
        <w:t>®</w:t>
      </w:r>
      <w:r w:rsidRPr="000677E7">
        <w:t xml:space="preserve"> became the first FDA approved oral somatostatin analog that allows for patient self-administration. Whereas all other products are administered intravenously, intramuscularly, or subcutaneously. Prior to initiating any long-acting somatostatin products, patients must have responded to and tolerated prior treatment with octreotide (or </w:t>
      </w:r>
      <w:proofErr w:type="spellStart"/>
      <w:r w:rsidRPr="000677E7">
        <w:t>lanreotide</w:t>
      </w:r>
      <w:proofErr w:type="spellEnd"/>
      <w:r w:rsidRPr="000677E7">
        <w:t xml:space="preserve"> in the case of </w:t>
      </w:r>
      <w:proofErr w:type="spellStart"/>
      <w:r w:rsidRPr="000677E7">
        <w:t>Mycapssa</w:t>
      </w:r>
      <w:proofErr w:type="spellEnd"/>
      <w:r w:rsidRPr="000677E7">
        <w:t xml:space="preserve">) which requires three times daily injections for a minimum of two weeks.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53D05578" w14:textId="77777777" w:rsidR="000677E7" w:rsidRPr="000677E7" w:rsidRDefault="000677E7" w:rsidP="000677E7">
      <w:pPr>
        <w:numPr>
          <w:ilvl w:val="0"/>
          <w:numId w:val="21"/>
        </w:numPr>
      </w:pPr>
      <w:r w:rsidRPr="000677E7">
        <w:t xml:space="preserve">Octreotide (gen </w:t>
      </w:r>
      <w:proofErr w:type="spellStart"/>
      <w:r w:rsidRPr="000677E7">
        <w:t>Sandostatin</w:t>
      </w:r>
      <w:proofErr w:type="spellEnd"/>
      <w:r w:rsidRPr="000677E7">
        <w:rPr>
          <w:vertAlign w:val="superscript"/>
        </w:rPr>
        <w:t>®</w:t>
      </w:r>
      <w:r w:rsidRPr="000677E7">
        <w:t>)</w:t>
      </w:r>
    </w:p>
    <w:p w14:paraId="7A6BB1A2" w14:textId="77777777" w:rsidR="000677E7" w:rsidRPr="000677E7" w:rsidRDefault="000677E7" w:rsidP="000677E7">
      <w:pPr>
        <w:numPr>
          <w:ilvl w:val="0"/>
          <w:numId w:val="21"/>
        </w:numPr>
      </w:pPr>
      <w:proofErr w:type="spellStart"/>
      <w:r w:rsidRPr="000677E7">
        <w:t>Sandostatin</w:t>
      </w:r>
      <w:proofErr w:type="spellEnd"/>
      <w:r w:rsidRPr="000677E7">
        <w:rPr>
          <w:vertAlign w:val="superscript"/>
        </w:rPr>
        <w:t>®</w:t>
      </w:r>
      <w:r w:rsidRPr="000677E7">
        <w:t xml:space="preserve"> LAR Depot</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7AD76687" w14:textId="5B1071D7" w:rsidR="00EA01D7" w:rsidRPr="00FF301F" w:rsidRDefault="00FF301F" w:rsidP="00D82E3D">
      <w:pPr>
        <w:pStyle w:val="ListParagraph"/>
        <w:rPr>
          <w:b/>
          <w:bCs/>
          <w:color w:val="1F497D" w:themeColor="text2"/>
        </w:rPr>
      </w:pPr>
      <w:proofErr w:type="spellStart"/>
      <w:r w:rsidRPr="00FF301F">
        <w:rPr>
          <w:b/>
          <w:bCs/>
          <w:color w:val="1F497D" w:themeColor="text2"/>
        </w:rPr>
        <w:t>Bynfezia</w:t>
      </w:r>
      <w:proofErr w:type="spellEnd"/>
      <w:r w:rsidRPr="002F2F06">
        <w:rPr>
          <w:b/>
          <w:bCs/>
          <w:color w:val="1F497D" w:themeColor="text2"/>
          <w:vertAlign w:val="superscript"/>
        </w:rPr>
        <w:t>®</w:t>
      </w:r>
    </w:p>
    <w:p w14:paraId="220ACDDD" w14:textId="390473B3" w:rsidR="00D82E3D" w:rsidRDefault="00D82E3D" w:rsidP="00D82E3D">
      <w:pPr>
        <w:pStyle w:val="ListParagraph"/>
      </w:pPr>
      <w:proofErr w:type="spellStart"/>
      <w:r>
        <w:t>Lanreotide</w:t>
      </w:r>
      <w:proofErr w:type="spellEnd"/>
      <w:r>
        <w:t xml:space="preserve"> (gen </w:t>
      </w:r>
      <w:proofErr w:type="spellStart"/>
      <w:r>
        <w:t>Somatuline</w:t>
      </w:r>
      <w:proofErr w:type="spellEnd"/>
      <w:r>
        <w:rPr>
          <w:vertAlign w:val="superscript"/>
        </w:rPr>
        <w:t>®</w:t>
      </w:r>
      <w:r>
        <w:t xml:space="preserve"> Depot)</w:t>
      </w:r>
    </w:p>
    <w:p w14:paraId="138857E0" w14:textId="77777777" w:rsidR="00D82E3D" w:rsidRDefault="00D82E3D" w:rsidP="00D82E3D">
      <w:pPr>
        <w:pStyle w:val="ListParagraph"/>
      </w:pPr>
      <w:proofErr w:type="spellStart"/>
      <w:r>
        <w:t>Mycapssa</w:t>
      </w:r>
      <w:proofErr w:type="spellEnd"/>
      <w:r>
        <w:rPr>
          <w:vertAlign w:val="superscript"/>
        </w:rPr>
        <w:t>®</w:t>
      </w:r>
    </w:p>
    <w:p w14:paraId="709FF5E1" w14:textId="77777777" w:rsidR="00D82E3D" w:rsidRDefault="00D82E3D" w:rsidP="00D82E3D">
      <w:pPr>
        <w:pStyle w:val="ListParagraph"/>
      </w:pPr>
      <w:r>
        <w:t xml:space="preserve">Octreotide ER (gen </w:t>
      </w:r>
      <w:proofErr w:type="spellStart"/>
      <w:r>
        <w:t>Sandostatin</w:t>
      </w:r>
      <w:proofErr w:type="spellEnd"/>
      <w:r>
        <w:rPr>
          <w:vertAlign w:val="superscript"/>
        </w:rPr>
        <w:t>®</w:t>
      </w:r>
      <w:r>
        <w:t xml:space="preserve"> LAR)</w:t>
      </w:r>
    </w:p>
    <w:p w14:paraId="43A899D8" w14:textId="3CF7ADE1" w:rsidR="00D82E3D" w:rsidRDefault="00D82E3D" w:rsidP="00D82E3D">
      <w:pPr>
        <w:pStyle w:val="ListParagraph"/>
      </w:pPr>
      <w:proofErr w:type="spellStart"/>
      <w:r>
        <w:t>Sandostatin</w:t>
      </w:r>
      <w:proofErr w:type="spellEnd"/>
      <w:r>
        <w:rPr>
          <w:vertAlign w:val="superscript"/>
        </w:rPr>
        <w:t>®</w:t>
      </w:r>
    </w:p>
    <w:p w14:paraId="1BA89C32" w14:textId="7533A9B0" w:rsidR="00631BD3" w:rsidRDefault="00D82E3D" w:rsidP="00D82E3D">
      <w:pPr>
        <w:pStyle w:val="ListParagraph"/>
      </w:pPr>
      <w:proofErr w:type="spellStart"/>
      <w:r>
        <w:lastRenderedPageBreak/>
        <w:t>Somatuline</w:t>
      </w:r>
      <w:proofErr w:type="spellEnd"/>
      <w:r>
        <w:rPr>
          <w:vertAlign w:val="superscript"/>
        </w:rPr>
        <w:t>®</w:t>
      </w:r>
      <w:r>
        <w:t xml:space="preserve"> Depot </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4FFD0511" w:rsidR="0097028A" w:rsidRPr="0079438F" w:rsidRDefault="0097028A" w:rsidP="00696E3A">
      <w:pPr>
        <w:rPr>
          <w:b/>
        </w:rPr>
      </w:pPr>
      <w:r w:rsidRPr="00696E3A">
        <w:rPr>
          <w:b/>
          <w:bCs/>
        </w:rPr>
        <w:t>Drug class for review:</w:t>
      </w:r>
      <w:r w:rsidRPr="00C02553">
        <w:t xml:space="preserve"> </w:t>
      </w:r>
      <w:r w:rsidR="00F7227E" w:rsidRPr="00F7227E">
        <w:t>Somatostatin Analogs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7E0FF890" w14:textId="77777777" w:rsidR="00BA2B1A" w:rsidRPr="00BA2B1A" w:rsidRDefault="00BA2B1A" w:rsidP="00BA2B1A">
      <w:pPr>
        <w:numPr>
          <w:ilvl w:val="0"/>
          <w:numId w:val="16"/>
        </w:numPr>
        <w:rPr>
          <w:u w:val="single"/>
        </w:rPr>
      </w:pPr>
      <w:r w:rsidRPr="00BA2B1A">
        <w:t xml:space="preserve">Must meet </w:t>
      </w:r>
      <w:proofErr w:type="gramStart"/>
      <w:r w:rsidRPr="00BA2B1A">
        <w:t>all of</w:t>
      </w:r>
      <w:proofErr w:type="gramEnd"/>
      <w:r w:rsidRPr="00BA2B1A">
        <w:t xml:space="preserve"> the following: </w:t>
      </w:r>
    </w:p>
    <w:p w14:paraId="36F1E69C" w14:textId="77777777" w:rsidR="00F7227E" w:rsidRPr="00F7227E" w:rsidRDefault="00F7227E" w:rsidP="00F7227E">
      <w:pPr>
        <w:numPr>
          <w:ilvl w:val="1"/>
          <w:numId w:val="23"/>
        </w:numPr>
        <w:rPr>
          <w:bCs/>
        </w:rPr>
      </w:pPr>
      <w:proofErr w:type="gramStart"/>
      <w:r w:rsidRPr="00F7227E">
        <w:t>Participant</w:t>
      </w:r>
      <w:proofErr w:type="gramEnd"/>
      <w:r w:rsidRPr="00F7227E">
        <w:t xml:space="preserve"> aged 18 years or older; </w:t>
      </w:r>
      <w:r w:rsidRPr="00F7227E">
        <w:rPr>
          <w:b/>
          <w:bCs/>
        </w:rPr>
        <w:t>AND</w:t>
      </w:r>
    </w:p>
    <w:p w14:paraId="7928B6F9" w14:textId="77777777" w:rsidR="00F7227E" w:rsidRPr="00F7227E" w:rsidRDefault="00F7227E" w:rsidP="00F7227E">
      <w:pPr>
        <w:numPr>
          <w:ilvl w:val="1"/>
          <w:numId w:val="23"/>
        </w:numPr>
        <w:rPr>
          <w:bCs/>
        </w:rPr>
      </w:pPr>
      <w:r w:rsidRPr="00F7227E">
        <w:rPr>
          <w:bCs/>
        </w:rPr>
        <w:t>Must meet one of the following:</w:t>
      </w:r>
    </w:p>
    <w:p w14:paraId="2A007987" w14:textId="77777777" w:rsidR="00F7227E" w:rsidRPr="00F7227E" w:rsidRDefault="00F7227E" w:rsidP="00F7227E">
      <w:pPr>
        <w:numPr>
          <w:ilvl w:val="2"/>
          <w:numId w:val="23"/>
        </w:numPr>
        <w:rPr>
          <w:bCs/>
        </w:rPr>
      </w:pPr>
      <w:r w:rsidRPr="00F7227E">
        <w:t xml:space="preserve">Claim is for a preferred </w:t>
      </w:r>
      <w:proofErr w:type="gramStart"/>
      <w:r w:rsidRPr="00F7227E">
        <w:t>agent;</w:t>
      </w:r>
      <w:proofErr w:type="gramEnd"/>
    </w:p>
    <w:p w14:paraId="6F42E850" w14:textId="77777777" w:rsidR="00F7227E" w:rsidRPr="00F7227E" w:rsidRDefault="00F7227E" w:rsidP="00F7227E">
      <w:pPr>
        <w:numPr>
          <w:ilvl w:val="2"/>
          <w:numId w:val="23"/>
        </w:numPr>
        <w:rPr>
          <w:bCs/>
        </w:rPr>
      </w:pPr>
      <w:r w:rsidRPr="00F7227E">
        <w:rPr>
          <w:bCs/>
        </w:rPr>
        <w:t>D</w:t>
      </w:r>
      <w:r w:rsidRPr="00F7227E">
        <w:t xml:space="preserve">ocumented compliance on current therapy regimen; </w:t>
      </w:r>
      <w:r w:rsidRPr="00F7227E">
        <w:rPr>
          <w:b/>
          <w:bCs/>
        </w:rPr>
        <w:t xml:space="preserve">OR </w:t>
      </w:r>
    </w:p>
    <w:p w14:paraId="74D72EB5" w14:textId="77777777" w:rsidR="00F7227E" w:rsidRPr="00F7227E" w:rsidRDefault="00F7227E" w:rsidP="00F7227E">
      <w:pPr>
        <w:numPr>
          <w:ilvl w:val="2"/>
          <w:numId w:val="23"/>
        </w:numPr>
        <w:rPr>
          <w:bCs/>
        </w:rPr>
      </w:pPr>
      <w:r w:rsidRPr="00F7227E">
        <w:t xml:space="preserve">Failure to achieve desired therapeutic outcomes with trial on 2 or more preferred </w:t>
      </w:r>
      <w:proofErr w:type="gramStart"/>
      <w:r w:rsidRPr="00F7227E">
        <w:t>agents;</w:t>
      </w:r>
      <w:proofErr w:type="gramEnd"/>
    </w:p>
    <w:p w14:paraId="7E27DA73" w14:textId="77777777" w:rsidR="00F7227E" w:rsidRPr="00F7227E" w:rsidRDefault="00F7227E" w:rsidP="00F7227E">
      <w:pPr>
        <w:numPr>
          <w:ilvl w:val="3"/>
          <w:numId w:val="23"/>
        </w:numPr>
        <w:ind w:left="1440"/>
        <w:rPr>
          <w:bCs/>
        </w:rPr>
      </w:pPr>
      <w:r w:rsidRPr="00F7227E">
        <w:t xml:space="preserve">Documented trial period of preferred agents; </w:t>
      </w:r>
      <w:r w:rsidRPr="00F7227E">
        <w:rPr>
          <w:b/>
          <w:bCs/>
        </w:rPr>
        <w:t>OR</w:t>
      </w:r>
    </w:p>
    <w:p w14:paraId="59F461FD" w14:textId="77777777" w:rsidR="00F7227E" w:rsidRPr="00F7227E" w:rsidRDefault="00F7227E" w:rsidP="00F7227E">
      <w:pPr>
        <w:numPr>
          <w:ilvl w:val="3"/>
          <w:numId w:val="23"/>
        </w:numPr>
        <w:ind w:left="1440"/>
        <w:rPr>
          <w:bCs/>
        </w:rPr>
      </w:pPr>
      <w:r w:rsidRPr="00F7227E">
        <w:t xml:space="preserve">Documented ADE/ADR to preferred agents. </w:t>
      </w:r>
    </w:p>
    <w:p w14:paraId="0F601CA0" w14:textId="77777777" w:rsidR="00F7227E" w:rsidRPr="00F7227E" w:rsidRDefault="00F7227E" w:rsidP="00F7227E">
      <w:pPr>
        <w:numPr>
          <w:ilvl w:val="0"/>
          <w:numId w:val="24"/>
        </w:numPr>
      </w:pPr>
      <w:r w:rsidRPr="00F7227E">
        <w:t xml:space="preserve">Additional approval criteria for </w:t>
      </w:r>
      <w:proofErr w:type="spellStart"/>
      <w:r w:rsidRPr="00F7227E">
        <w:t>Somatuline</w:t>
      </w:r>
      <w:proofErr w:type="spellEnd"/>
      <w:r w:rsidRPr="00F7227E">
        <w:t xml:space="preserve"> Depot: </w:t>
      </w:r>
    </w:p>
    <w:p w14:paraId="7536E74F" w14:textId="77777777" w:rsidR="00F7227E" w:rsidRPr="00F7227E" w:rsidRDefault="00F7227E" w:rsidP="00F7227E">
      <w:pPr>
        <w:numPr>
          <w:ilvl w:val="1"/>
          <w:numId w:val="24"/>
        </w:numPr>
      </w:pPr>
      <w:r w:rsidRPr="00F7227E">
        <w:t>Clinical Consultant Review required.</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 xml:space="preserve">Therapy will deny </w:t>
      </w:r>
      <w:proofErr w:type="gramStart"/>
      <w:r w:rsidRPr="00C722C9">
        <w:t>with</w:t>
      </w:r>
      <w:proofErr w:type="gramEnd"/>
      <w:r w:rsidRPr="00C722C9">
        <w:t xml:space="preserve"> presence of one of the following:</w:t>
      </w:r>
    </w:p>
    <w:p w14:paraId="39DB9B82" w14:textId="77777777" w:rsidR="00D27E44" w:rsidRDefault="00D27E44" w:rsidP="00D27E44">
      <w:pPr>
        <w:numPr>
          <w:ilvl w:val="1"/>
          <w:numId w:val="6"/>
        </w:numPr>
        <w:rPr>
          <w:rFonts w:cs="Arial"/>
          <w:szCs w:val="20"/>
        </w:rPr>
      </w:pPr>
      <w:r>
        <w:rPr>
          <w:rFonts w:cs="Arial"/>
          <w:szCs w:val="20"/>
        </w:rPr>
        <w:t xml:space="preserve">Any approval criteria are not </w:t>
      </w:r>
      <w:proofErr w:type="gramStart"/>
      <w:r>
        <w:rPr>
          <w:rFonts w:cs="Arial"/>
          <w:szCs w:val="20"/>
        </w:rPr>
        <w:t>met;</w:t>
      </w:r>
      <w:proofErr w:type="gramEnd"/>
      <w:r>
        <w:rPr>
          <w:rFonts w:cs="Arial"/>
          <w:szCs w:val="20"/>
        </w:rPr>
        <w:t xml:space="preserve"> </w:t>
      </w:r>
      <w:r>
        <w:rPr>
          <w:rFonts w:cs="Arial"/>
          <w:b/>
          <w:bCs/>
          <w:szCs w:val="20"/>
        </w:rPr>
        <w:t>OR</w:t>
      </w:r>
    </w:p>
    <w:p w14:paraId="38E99322" w14:textId="77777777" w:rsidR="00D27E44" w:rsidRDefault="00D27E44" w:rsidP="00D27E44">
      <w:pPr>
        <w:numPr>
          <w:ilvl w:val="1"/>
          <w:numId w:val="6"/>
        </w:numPr>
        <w:rPr>
          <w:rFonts w:cs="Arial"/>
          <w:szCs w:val="20"/>
        </w:rPr>
      </w:pPr>
      <w:r>
        <w:rPr>
          <w:rFonts w:cs="Arial"/>
          <w:szCs w:val="20"/>
        </w:rPr>
        <w:t>Claim exceeds maximum dosing limitations for the following:</w:t>
      </w:r>
    </w:p>
    <w:tbl>
      <w:tblPr>
        <w:tblW w:w="828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2394"/>
        <w:gridCol w:w="2466"/>
      </w:tblGrid>
      <w:tr w:rsidR="00D27E44" w14:paraId="60BAD60D" w14:textId="77777777">
        <w:tc>
          <w:tcPr>
            <w:tcW w:w="3425"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14:paraId="73BE4F13" w14:textId="77777777" w:rsidR="00D27E44" w:rsidRPr="002F2F06" w:rsidRDefault="00D27E44">
            <w:pPr>
              <w:pStyle w:val="Heading7"/>
              <w:rPr>
                <w:rFonts w:ascii="Arial" w:hAnsi="Arial" w:cs="Arial"/>
                <w:b/>
                <w:bCs/>
                <w:i w:val="0"/>
                <w:iCs w:val="0"/>
                <w:szCs w:val="20"/>
              </w:rPr>
            </w:pPr>
            <w:r w:rsidRPr="002F2F06">
              <w:rPr>
                <w:rFonts w:ascii="Arial" w:hAnsi="Arial" w:cs="Arial"/>
                <w:b/>
                <w:bCs/>
                <w:i w:val="0"/>
                <w:iCs w:val="0"/>
                <w:color w:val="auto"/>
              </w:rPr>
              <w:t>Drug Description</w:t>
            </w:r>
          </w:p>
        </w:tc>
        <w:tc>
          <w:tcPr>
            <w:tcW w:w="239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bottom"/>
            <w:hideMark/>
          </w:tcPr>
          <w:p w14:paraId="66EC6FEE" w14:textId="77777777" w:rsidR="00D27E44" w:rsidRDefault="00D27E44">
            <w:pPr>
              <w:rPr>
                <w:rFonts w:cs="Arial"/>
                <w:b/>
                <w:szCs w:val="20"/>
              </w:rPr>
            </w:pPr>
            <w:r>
              <w:rPr>
                <w:rFonts w:cs="Arial"/>
                <w:b/>
                <w:szCs w:val="20"/>
              </w:rPr>
              <w:t>Generic Equivalent</w:t>
            </w:r>
          </w:p>
        </w:tc>
        <w:tc>
          <w:tcPr>
            <w:tcW w:w="246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bottom"/>
            <w:hideMark/>
          </w:tcPr>
          <w:p w14:paraId="178EEA2F" w14:textId="77777777" w:rsidR="00D27E44" w:rsidRDefault="00D27E44">
            <w:pPr>
              <w:rPr>
                <w:rFonts w:cs="Arial"/>
                <w:b/>
                <w:szCs w:val="20"/>
              </w:rPr>
            </w:pPr>
            <w:r>
              <w:rPr>
                <w:rFonts w:cs="Arial"/>
                <w:b/>
                <w:szCs w:val="20"/>
              </w:rPr>
              <w:t>Max Dosing Limitation</w:t>
            </w:r>
          </w:p>
        </w:tc>
      </w:tr>
      <w:tr w:rsidR="00D27E44" w14:paraId="3AB5AFB7" w14:textId="77777777">
        <w:tc>
          <w:tcPr>
            <w:tcW w:w="3425" w:type="dxa"/>
            <w:tcBorders>
              <w:top w:val="single" w:sz="4" w:space="0" w:color="auto"/>
              <w:left w:val="single" w:sz="4" w:space="0" w:color="auto"/>
              <w:bottom w:val="single" w:sz="4" w:space="0" w:color="auto"/>
              <w:right w:val="single" w:sz="4" w:space="0" w:color="auto"/>
            </w:tcBorders>
            <w:noWrap/>
            <w:vAlign w:val="bottom"/>
            <w:hideMark/>
          </w:tcPr>
          <w:p w14:paraId="7AB2ADC6" w14:textId="77777777" w:rsidR="00D27E44" w:rsidRDefault="00D27E44">
            <w:pPr>
              <w:rPr>
                <w:rFonts w:cs="Arial"/>
                <w:bCs/>
                <w:szCs w:val="20"/>
              </w:rPr>
            </w:pPr>
            <w:r>
              <w:rPr>
                <w:rFonts w:cs="Arial"/>
                <w:bCs/>
                <w:szCs w:val="20"/>
              </w:rPr>
              <w:t>MYCAPSSA 20 MG DR CAPSULE</w:t>
            </w:r>
          </w:p>
        </w:tc>
        <w:tc>
          <w:tcPr>
            <w:tcW w:w="2394" w:type="dxa"/>
            <w:tcBorders>
              <w:top w:val="single" w:sz="4" w:space="0" w:color="auto"/>
              <w:left w:val="single" w:sz="4" w:space="0" w:color="auto"/>
              <w:bottom w:val="single" w:sz="4" w:space="0" w:color="auto"/>
              <w:right w:val="single" w:sz="4" w:space="0" w:color="auto"/>
            </w:tcBorders>
            <w:vAlign w:val="bottom"/>
            <w:hideMark/>
          </w:tcPr>
          <w:p w14:paraId="33C18B34" w14:textId="77777777" w:rsidR="00D27E44" w:rsidRDefault="00D27E44">
            <w:pPr>
              <w:rPr>
                <w:rFonts w:cs="Arial"/>
                <w:bCs/>
                <w:szCs w:val="20"/>
              </w:rPr>
            </w:pPr>
            <w:r>
              <w:rPr>
                <w:rFonts w:cs="Arial"/>
                <w:bCs/>
                <w:szCs w:val="20"/>
              </w:rPr>
              <w:t>OCTREOTIDE</w:t>
            </w:r>
          </w:p>
        </w:tc>
        <w:tc>
          <w:tcPr>
            <w:tcW w:w="2466" w:type="dxa"/>
            <w:tcBorders>
              <w:top w:val="single" w:sz="4" w:space="0" w:color="auto"/>
              <w:left w:val="single" w:sz="4" w:space="0" w:color="auto"/>
              <w:bottom w:val="single" w:sz="4" w:space="0" w:color="auto"/>
              <w:right w:val="single" w:sz="4" w:space="0" w:color="auto"/>
            </w:tcBorders>
            <w:vAlign w:val="bottom"/>
            <w:hideMark/>
          </w:tcPr>
          <w:p w14:paraId="2306108D" w14:textId="77777777" w:rsidR="00D27E44" w:rsidRDefault="00D27E44">
            <w:pPr>
              <w:rPr>
                <w:rFonts w:cs="Arial"/>
                <w:bCs/>
                <w:szCs w:val="20"/>
              </w:rPr>
            </w:pPr>
            <w:r>
              <w:rPr>
                <w:rFonts w:cs="Arial"/>
                <w:bCs/>
                <w:szCs w:val="20"/>
              </w:rPr>
              <w:t>4 capsules per day</w:t>
            </w:r>
          </w:p>
        </w:tc>
      </w:tr>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2"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66CEB286" w14:textId="51EF409E" w:rsidR="00D27E44" w:rsidRDefault="00D27E44" w:rsidP="00D27E44">
      <w:pPr>
        <w:pStyle w:val="ListParagraph"/>
        <w:rPr>
          <w:szCs w:val="20"/>
        </w:rPr>
      </w:pPr>
      <w:proofErr w:type="spellStart"/>
      <w:r>
        <w:t>Mycapssa</w:t>
      </w:r>
      <w:proofErr w:type="spellEnd"/>
      <w:r>
        <w:t xml:space="preserve"> (octreotide) [package insert]. Scotland, UK: MW </w:t>
      </w:r>
      <w:proofErr w:type="spellStart"/>
      <w:r>
        <w:t>Encap</w:t>
      </w:r>
      <w:proofErr w:type="spellEnd"/>
      <w:r>
        <w:t xml:space="preserve"> Ltd; </w:t>
      </w:r>
      <w:r w:rsidR="00E70EA0">
        <w:t>August</w:t>
      </w:r>
      <w:r>
        <w:t xml:space="preserve"> 2024.</w:t>
      </w:r>
    </w:p>
    <w:p w14:paraId="22A3BA8A" w14:textId="77777777" w:rsidR="00D27E44" w:rsidRDefault="00D27E44" w:rsidP="00D27E44">
      <w:pPr>
        <w:pStyle w:val="ListParagraph"/>
      </w:pPr>
      <w:proofErr w:type="spellStart"/>
      <w:r>
        <w:t>Sandostatin</w:t>
      </w:r>
      <w:proofErr w:type="spellEnd"/>
      <w:r>
        <w:t xml:space="preserve"> LAR Depot (octreotide acetate) [package insert]. East Hanover, NJ: Novartis Pharmaceuticals Corporation; July 2024. </w:t>
      </w:r>
    </w:p>
    <w:p w14:paraId="7E37FD45" w14:textId="77777777" w:rsidR="00D27E44" w:rsidRDefault="00D27E44" w:rsidP="00D27E44">
      <w:pPr>
        <w:pStyle w:val="ListParagraph"/>
      </w:pPr>
      <w:proofErr w:type="spellStart"/>
      <w:r>
        <w:t>Somatuline</w:t>
      </w:r>
      <w:proofErr w:type="spellEnd"/>
      <w:r>
        <w:rPr>
          <w:vertAlign w:val="superscript"/>
        </w:rPr>
        <w:t xml:space="preserve"> </w:t>
      </w:r>
      <w:r>
        <w:t>Depot (</w:t>
      </w:r>
      <w:proofErr w:type="spellStart"/>
      <w:r>
        <w:t>lanreotide</w:t>
      </w:r>
      <w:proofErr w:type="spellEnd"/>
      <w:r>
        <w:t xml:space="preserve">) [package insert]. Cambridge, MA: Ipsen Biopharmaceuticals, Inc; July 2024. </w:t>
      </w:r>
    </w:p>
    <w:p w14:paraId="44FC48A9" w14:textId="77777777" w:rsidR="00D27E44" w:rsidRDefault="00D27E44" w:rsidP="00D27E44">
      <w:pPr>
        <w:pStyle w:val="ListParagraph"/>
      </w:pPr>
      <w:r>
        <w:t>Evidence-Based Medicine and Fiscal Analysis: “Therapeutic Class Review: ENDOCRINE AND METABOLIC AGENTS: Somatostatin Agents”, Gainwell Technologies; Last updated November 22, 2024.</w:t>
      </w:r>
    </w:p>
    <w:p w14:paraId="1D7C5A55" w14:textId="77777777" w:rsidR="00D27E44" w:rsidRDefault="00D27E44" w:rsidP="00D27E44">
      <w:pPr>
        <w:pStyle w:val="ListParagraph"/>
      </w:pPr>
      <w:r>
        <w:t>Evidence-Based Medicine Analysis: “Somatostatin Agents”, UMKC-DIC; September 2024.</w:t>
      </w:r>
    </w:p>
    <w:p w14:paraId="46A227AD" w14:textId="3732BD46" w:rsidR="00D27E44" w:rsidRDefault="00D27E44" w:rsidP="00D27E44">
      <w:pPr>
        <w:pStyle w:val="ListParagraph"/>
        <w:rPr>
          <w:szCs w:val="20"/>
        </w:rPr>
      </w:pPr>
      <w:proofErr w:type="spellStart"/>
      <w:r>
        <w:t>O’toole</w:t>
      </w:r>
      <w:proofErr w:type="spellEnd"/>
      <w:r>
        <w:t xml:space="preserve">, Timothy J, Sharma, Sandeep. Physiology, Somatostatin. </w:t>
      </w:r>
      <w:proofErr w:type="spellStart"/>
      <w:r>
        <w:t>StatPearls</w:t>
      </w:r>
      <w:proofErr w:type="spellEnd"/>
      <w:r>
        <w:t xml:space="preserve"> Publishing. </w:t>
      </w:r>
      <w:r w:rsidRPr="009E56A5">
        <w:t>https://www.ncbi.nlm.nih.gov/books/NBK538327/</w:t>
      </w:r>
      <w:r>
        <w:t xml:space="preserve">.  Last updated July 24, 2023. </w:t>
      </w:r>
    </w:p>
    <w:p w14:paraId="55D8E58C" w14:textId="5D30DB69" w:rsidR="00D27E44" w:rsidRDefault="00D27E44" w:rsidP="00D27E44">
      <w:pPr>
        <w:pStyle w:val="ListParagraph"/>
      </w:pPr>
      <w:r>
        <w:t xml:space="preserve">USPDI, Micromedex; 2025. </w:t>
      </w:r>
    </w:p>
    <w:p w14:paraId="3FA1E7DB" w14:textId="56B79275" w:rsidR="00777CA4" w:rsidRDefault="00D27E44" w:rsidP="00D27E44">
      <w:pPr>
        <w:pStyle w:val="ListParagraph"/>
      </w:pPr>
      <w:r>
        <w:t xml:space="preserve">Facts and Comparisons </w:t>
      </w:r>
      <w:proofErr w:type="spellStart"/>
      <w:r>
        <w:t>eAnswers</w:t>
      </w:r>
      <w:proofErr w:type="spellEnd"/>
      <w:r>
        <w:t xml:space="preserve"> (online); 2025 Clinical Drug Information, LLC</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E686" w14:textId="77777777" w:rsidR="00EB78ED" w:rsidRPr="00C02553" w:rsidRDefault="00EB78ED" w:rsidP="00AE77DB">
      <w:r w:rsidRPr="00C02553">
        <w:separator/>
      </w:r>
    </w:p>
  </w:endnote>
  <w:endnote w:type="continuationSeparator" w:id="0">
    <w:p w14:paraId="6DACC9EB" w14:textId="77777777" w:rsidR="00EB78ED" w:rsidRPr="00C02553" w:rsidRDefault="00EB78ED" w:rsidP="00AE77DB">
      <w:r w:rsidRPr="00C02553">
        <w:continuationSeparator/>
      </w:r>
    </w:p>
  </w:endnote>
  <w:endnote w:type="continuationNotice" w:id="1">
    <w:p w14:paraId="43AC9584" w14:textId="77777777" w:rsidR="00EB78ED" w:rsidRPr="00C02553" w:rsidRDefault="00EB7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C84CA" w14:textId="77777777" w:rsidR="00EB78ED" w:rsidRPr="00C02553" w:rsidRDefault="00EB78ED" w:rsidP="00AE77DB">
      <w:r w:rsidRPr="00C02553">
        <w:separator/>
      </w:r>
    </w:p>
  </w:footnote>
  <w:footnote w:type="continuationSeparator" w:id="0">
    <w:p w14:paraId="41AA9FC3" w14:textId="77777777" w:rsidR="00EB78ED" w:rsidRPr="00C02553" w:rsidRDefault="00EB78ED" w:rsidP="00AE77DB">
      <w:r w:rsidRPr="00C02553">
        <w:continuationSeparator/>
      </w:r>
    </w:p>
  </w:footnote>
  <w:footnote w:type="continuationNotice" w:id="1">
    <w:p w14:paraId="5CB7E570" w14:textId="77777777" w:rsidR="00EB78ED" w:rsidRPr="00C02553" w:rsidRDefault="00EB7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000000">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000000">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000000">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AA0605E"/>
    <w:multiLevelType w:val="hybridMultilevel"/>
    <w:tmpl w:val="9A3EC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DAD4D24"/>
    <w:multiLevelType w:val="hybridMultilevel"/>
    <w:tmpl w:val="3104B13A"/>
    <w:lvl w:ilvl="0" w:tplc="E91A3DF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810"/>
        </w:tabs>
        <w:ind w:left="810" w:hanging="360"/>
      </w:pPr>
      <w:rPr>
        <w:rFonts w:ascii="Courier New" w:hAnsi="Courier New" w:cs="Times New Roman" w:hint="default"/>
      </w:rPr>
    </w:lvl>
    <w:lvl w:ilvl="2" w:tplc="04090005">
      <w:start w:val="1"/>
      <w:numFmt w:val="bullet"/>
      <w:lvlText w:val=""/>
      <w:lvlJc w:val="left"/>
      <w:pPr>
        <w:ind w:left="117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13CE9"/>
    <w:multiLevelType w:val="hybridMultilevel"/>
    <w:tmpl w:val="C804CDA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D5745"/>
    <w:multiLevelType w:val="hybridMultilevel"/>
    <w:tmpl w:val="8FFA08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C5E2D0F"/>
    <w:multiLevelType w:val="hybridMultilevel"/>
    <w:tmpl w:val="9A948848"/>
    <w:lvl w:ilvl="0" w:tplc="D30618B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D86D73"/>
    <w:multiLevelType w:val="hybridMultilevel"/>
    <w:tmpl w:val="648497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D1867B9"/>
    <w:multiLevelType w:val="hybridMultilevel"/>
    <w:tmpl w:val="FB709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FDD2022"/>
    <w:multiLevelType w:val="hybridMultilevel"/>
    <w:tmpl w:val="C688C4E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F57588"/>
    <w:multiLevelType w:val="hybridMultilevel"/>
    <w:tmpl w:val="6712A7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A7B225C"/>
    <w:multiLevelType w:val="hybridMultilevel"/>
    <w:tmpl w:val="CB8E7C2E"/>
    <w:lvl w:ilvl="0" w:tplc="7D64F30E">
      <w:start w:val="1"/>
      <w:numFmt w:val="bullet"/>
      <w:lvlText w:val=""/>
      <w:lvlJc w:val="left"/>
      <w:pPr>
        <w:tabs>
          <w:tab w:val="num" w:pos="360"/>
        </w:tabs>
        <w:ind w:left="360" w:hanging="360"/>
      </w:pPr>
      <w:rPr>
        <w:rFonts w:ascii="Symbol" w:hAnsi="Symbol" w:hint="default"/>
        <w:color w:val="auto"/>
      </w:rPr>
    </w:lvl>
    <w:lvl w:ilvl="1" w:tplc="8DF6B638">
      <w:start w:val="1"/>
      <w:numFmt w:val="bullet"/>
      <w:lvlText w:val="o"/>
      <w:lvlJc w:val="left"/>
      <w:pPr>
        <w:tabs>
          <w:tab w:val="num" w:pos="720"/>
        </w:tabs>
        <w:ind w:left="720" w:hanging="360"/>
      </w:pPr>
      <w:rPr>
        <w:rFonts w:ascii="Courier New" w:hAnsi="Courier New" w:cs="Courier New" w:hint="default"/>
        <w:color w:val="auto"/>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367994657">
    <w:abstractNumId w:val="0"/>
  </w:num>
  <w:num w:numId="2" w16cid:durableId="517891239">
    <w:abstractNumId w:val="24"/>
  </w:num>
  <w:num w:numId="3" w16cid:durableId="1729067566">
    <w:abstractNumId w:val="4"/>
  </w:num>
  <w:num w:numId="4" w16cid:durableId="320159068">
    <w:abstractNumId w:val="10"/>
  </w:num>
  <w:num w:numId="5" w16cid:durableId="1769498754">
    <w:abstractNumId w:val="3"/>
  </w:num>
  <w:num w:numId="6" w16cid:durableId="1094596320">
    <w:abstractNumId w:val="22"/>
  </w:num>
  <w:num w:numId="7" w16cid:durableId="2110008555">
    <w:abstractNumId w:val="2"/>
  </w:num>
  <w:num w:numId="8" w16cid:durableId="489712751">
    <w:abstractNumId w:val="9"/>
  </w:num>
  <w:num w:numId="9" w16cid:durableId="1085147965">
    <w:abstractNumId w:val="15"/>
  </w:num>
  <w:num w:numId="10" w16cid:durableId="917518096">
    <w:abstractNumId w:val="11"/>
  </w:num>
  <w:num w:numId="11" w16cid:durableId="1894998475">
    <w:abstractNumId w:val="1"/>
  </w:num>
  <w:num w:numId="12" w16cid:durableId="1418215296">
    <w:abstractNumId w:val="23"/>
  </w:num>
  <w:num w:numId="13" w16cid:durableId="604729665">
    <w:abstractNumId w:val="7"/>
  </w:num>
  <w:num w:numId="14" w16cid:durableId="1805081292">
    <w:abstractNumId w:val="20"/>
  </w:num>
  <w:num w:numId="15" w16cid:durableId="126511728">
    <w:abstractNumId w:val="13"/>
  </w:num>
  <w:num w:numId="16" w16cid:durableId="1051615005">
    <w:abstractNumId w:val="21"/>
  </w:num>
  <w:num w:numId="17" w16cid:durableId="2143838528">
    <w:abstractNumId w:val="6"/>
  </w:num>
  <w:num w:numId="18" w16cid:durableId="1715693297">
    <w:abstractNumId w:val="17"/>
  </w:num>
  <w:num w:numId="19" w16cid:durableId="489754927">
    <w:abstractNumId w:val="25"/>
  </w:num>
  <w:num w:numId="20" w16cid:durableId="4894411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6691228">
    <w:abstractNumId w:val="14"/>
  </w:num>
  <w:num w:numId="22" w16cid:durableId="1740129025">
    <w:abstractNumId w:val="5"/>
  </w:num>
  <w:num w:numId="23" w16cid:durableId="1521699047">
    <w:abstractNumId w:val="12"/>
  </w:num>
  <w:num w:numId="24" w16cid:durableId="1799760413">
    <w:abstractNumId w:val="16"/>
  </w:num>
  <w:num w:numId="25" w16cid:durableId="1091662044">
    <w:abstractNumId w:val="18"/>
  </w:num>
  <w:num w:numId="26" w16cid:durableId="25914856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677E7"/>
    <w:rsid w:val="00074464"/>
    <w:rsid w:val="00076030"/>
    <w:rsid w:val="00082590"/>
    <w:rsid w:val="000913C3"/>
    <w:rsid w:val="000953B9"/>
    <w:rsid w:val="000A413B"/>
    <w:rsid w:val="000A6279"/>
    <w:rsid w:val="000A7B42"/>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4DBE"/>
    <w:rsid w:val="00152C8B"/>
    <w:rsid w:val="0015636A"/>
    <w:rsid w:val="00172053"/>
    <w:rsid w:val="00177A80"/>
    <w:rsid w:val="0018056A"/>
    <w:rsid w:val="001A50CB"/>
    <w:rsid w:val="001A74B7"/>
    <w:rsid w:val="001B2D47"/>
    <w:rsid w:val="001C0250"/>
    <w:rsid w:val="001C6DA4"/>
    <w:rsid w:val="001C73B1"/>
    <w:rsid w:val="001D1E7D"/>
    <w:rsid w:val="001D6567"/>
    <w:rsid w:val="001E2CCB"/>
    <w:rsid w:val="001E4CBA"/>
    <w:rsid w:val="001E523C"/>
    <w:rsid w:val="001E61DF"/>
    <w:rsid w:val="001F15E0"/>
    <w:rsid w:val="001F2B9F"/>
    <w:rsid w:val="001F5954"/>
    <w:rsid w:val="001F7873"/>
    <w:rsid w:val="00202DD3"/>
    <w:rsid w:val="00206E7D"/>
    <w:rsid w:val="00217E14"/>
    <w:rsid w:val="00217EFD"/>
    <w:rsid w:val="00222134"/>
    <w:rsid w:val="0022233F"/>
    <w:rsid w:val="00226275"/>
    <w:rsid w:val="00246564"/>
    <w:rsid w:val="00246A3B"/>
    <w:rsid w:val="00255404"/>
    <w:rsid w:val="0025594F"/>
    <w:rsid w:val="002702F2"/>
    <w:rsid w:val="00270C5E"/>
    <w:rsid w:val="00290A03"/>
    <w:rsid w:val="0029159A"/>
    <w:rsid w:val="00291600"/>
    <w:rsid w:val="002A02F4"/>
    <w:rsid w:val="002C2C41"/>
    <w:rsid w:val="002C62E7"/>
    <w:rsid w:val="002D2F94"/>
    <w:rsid w:val="002E05E2"/>
    <w:rsid w:val="002E2DD6"/>
    <w:rsid w:val="002E3F28"/>
    <w:rsid w:val="002F0E52"/>
    <w:rsid w:val="002F2274"/>
    <w:rsid w:val="002F2405"/>
    <w:rsid w:val="002F2F06"/>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878C1"/>
    <w:rsid w:val="00396C0B"/>
    <w:rsid w:val="003A630F"/>
    <w:rsid w:val="003B3958"/>
    <w:rsid w:val="003B4820"/>
    <w:rsid w:val="003B5F4B"/>
    <w:rsid w:val="003B682F"/>
    <w:rsid w:val="003C53FC"/>
    <w:rsid w:val="003C7013"/>
    <w:rsid w:val="003D641B"/>
    <w:rsid w:val="003F227C"/>
    <w:rsid w:val="00400F88"/>
    <w:rsid w:val="004023CC"/>
    <w:rsid w:val="00407564"/>
    <w:rsid w:val="00411152"/>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1F1"/>
    <w:rsid w:val="005233E7"/>
    <w:rsid w:val="005328B2"/>
    <w:rsid w:val="005336B8"/>
    <w:rsid w:val="00534644"/>
    <w:rsid w:val="00535BD5"/>
    <w:rsid w:val="00540977"/>
    <w:rsid w:val="00541A75"/>
    <w:rsid w:val="00551668"/>
    <w:rsid w:val="005572D5"/>
    <w:rsid w:val="00566BE4"/>
    <w:rsid w:val="00570D21"/>
    <w:rsid w:val="00573856"/>
    <w:rsid w:val="00576113"/>
    <w:rsid w:val="00590652"/>
    <w:rsid w:val="0059235F"/>
    <w:rsid w:val="00596936"/>
    <w:rsid w:val="005A2F1E"/>
    <w:rsid w:val="005A4232"/>
    <w:rsid w:val="005C3616"/>
    <w:rsid w:val="005D36B2"/>
    <w:rsid w:val="005D52E7"/>
    <w:rsid w:val="005D78B5"/>
    <w:rsid w:val="005E3572"/>
    <w:rsid w:val="005E45E4"/>
    <w:rsid w:val="005F0A81"/>
    <w:rsid w:val="005F0FCF"/>
    <w:rsid w:val="0060042F"/>
    <w:rsid w:val="006008BC"/>
    <w:rsid w:val="00602CFD"/>
    <w:rsid w:val="00606B55"/>
    <w:rsid w:val="00612A7B"/>
    <w:rsid w:val="00616353"/>
    <w:rsid w:val="00616E5E"/>
    <w:rsid w:val="006173A4"/>
    <w:rsid w:val="00617E50"/>
    <w:rsid w:val="006205AD"/>
    <w:rsid w:val="00625C3A"/>
    <w:rsid w:val="00631BD3"/>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96FD1"/>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87ACC"/>
    <w:rsid w:val="00896264"/>
    <w:rsid w:val="008A5D88"/>
    <w:rsid w:val="008B2851"/>
    <w:rsid w:val="008C000E"/>
    <w:rsid w:val="008D0F2F"/>
    <w:rsid w:val="008D237F"/>
    <w:rsid w:val="008D3FD8"/>
    <w:rsid w:val="008D6B05"/>
    <w:rsid w:val="008E7D2D"/>
    <w:rsid w:val="008F44C0"/>
    <w:rsid w:val="008F5999"/>
    <w:rsid w:val="00903AD6"/>
    <w:rsid w:val="00904D7A"/>
    <w:rsid w:val="00915332"/>
    <w:rsid w:val="009204BB"/>
    <w:rsid w:val="00935918"/>
    <w:rsid w:val="00935EC3"/>
    <w:rsid w:val="00951097"/>
    <w:rsid w:val="00953C1E"/>
    <w:rsid w:val="0095694B"/>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9E56A5"/>
    <w:rsid w:val="009F616F"/>
    <w:rsid w:val="009F6B67"/>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D2C5F"/>
    <w:rsid w:val="00AE1481"/>
    <w:rsid w:val="00AE27F9"/>
    <w:rsid w:val="00AE77DB"/>
    <w:rsid w:val="00AF7453"/>
    <w:rsid w:val="00B00FFF"/>
    <w:rsid w:val="00B06084"/>
    <w:rsid w:val="00B16735"/>
    <w:rsid w:val="00B17EDE"/>
    <w:rsid w:val="00B22585"/>
    <w:rsid w:val="00B22CB3"/>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A217D"/>
    <w:rsid w:val="00BA2B1A"/>
    <w:rsid w:val="00BB181D"/>
    <w:rsid w:val="00BB3B4D"/>
    <w:rsid w:val="00BC351E"/>
    <w:rsid w:val="00BC3F77"/>
    <w:rsid w:val="00BC5635"/>
    <w:rsid w:val="00BC5675"/>
    <w:rsid w:val="00BD081C"/>
    <w:rsid w:val="00BD277B"/>
    <w:rsid w:val="00BD47CA"/>
    <w:rsid w:val="00BD62C7"/>
    <w:rsid w:val="00BE020D"/>
    <w:rsid w:val="00BE1F25"/>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4217"/>
    <w:rsid w:val="00CA7252"/>
    <w:rsid w:val="00CB2C5A"/>
    <w:rsid w:val="00CE0C1C"/>
    <w:rsid w:val="00CE34AF"/>
    <w:rsid w:val="00CF00A4"/>
    <w:rsid w:val="00CF25FB"/>
    <w:rsid w:val="00CF614C"/>
    <w:rsid w:val="00D02F34"/>
    <w:rsid w:val="00D13D87"/>
    <w:rsid w:val="00D16590"/>
    <w:rsid w:val="00D20720"/>
    <w:rsid w:val="00D250D9"/>
    <w:rsid w:val="00D27533"/>
    <w:rsid w:val="00D27E44"/>
    <w:rsid w:val="00D33F52"/>
    <w:rsid w:val="00D42DA3"/>
    <w:rsid w:val="00D4546D"/>
    <w:rsid w:val="00D47996"/>
    <w:rsid w:val="00D61118"/>
    <w:rsid w:val="00D614F1"/>
    <w:rsid w:val="00D70D50"/>
    <w:rsid w:val="00D71917"/>
    <w:rsid w:val="00D82E3D"/>
    <w:rsid w:val="00D85039"/>
    <w:rsid w:val="00DA3A0F"/>
    <w:rsid w:val="00DA4E62"/>
    <w:rsid w:val="00DA6990"/>
    <w:rsid w:val="00DB27BA"/>
    <w:rsid w:val="00DB337A"/>
    <w:rsid w:val="00DC51CB"/>
    <w:rsid w:val="00DC52AB"/>
    <w:rsid w:val="00DD4819"/>
    <w:rsid w:val="00DD4B8A"/>
    <w:rsid w:val="00DD5403"/>
    <w:rsid w:val="00DE1388"/>
    <w:rsid w:val="00DE7501"/>
    <w:rsid w:val="00DF3146"/>
    <w:rsid w:val="00DF57C3"/>
    <w:rsid w:val="00E008D9"/>
    <w:rsid w:val="00E02FE0"/>
    <w:rsid w:val="00E07ABE"/>
    <w:rsid w:val="00E10AD5"/>
    <w:rsid w:val="00E11A3F"/>
    <w:rsid w:val="00E1386E"/>
    <w:rsid w:val="00E2369B"/>
    <w:rsid w:val="00E23EC0"/>
    <w:rsid w:val="00E24E65"/>
    <w:rsid w:val="00E354AA"/>
    <w:rsid w:val="00E43D54"/>
    <w:rsid w:val="00E442FB"/>
    <w:rsid w:val="00E529DB"/>
    <w:rsid w:val="00E53A5E"/>
    <w:rsid w:val="00E6466A"/>
    <w:rsid w:val="00E70EA0"/>
    <w:rsid w:val="00E72221"/>
    <w:rsid w:val="00E83428"/>
    <w:rsid w:val="00E84C58"/>
    <w:rsid w:val="00E873A5"/>
    <w:rsid w:val="00E90D11"/>
    <w:rsid w:val="00E915E5"/>
    <w:rsid w:val="00EA01D7"/>
    <w:rsid w:val="00EB0367"/>
    <w:rsid w:val="00EB4FB9"/>
    <w:rsid w:val="00EB5BC8"/>
    <w:rsid w:val="00EB78ED"/>
    <w:rsid w:val="00EC2738"/>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65BD5"/>
    <w:rsid w:val="00F7227E"/>
    <w:rsid w:val="00F730BA"/>
    <w:rsid w:val="00F903BE"/>
    <w:rsid w:val="00F95D04"/>
    <w:rsid w:val="00FA16EC"/>
    <w:rsid w:val="00FA2811"/>
    <w:rsid w:val="00FA4837"/>
    <w:rsid w:val="00FB1D33"/>
    <w:rsid w:val="00FB5E96"/>
    <w:rsid w:val="00FC05A0"/>
    <w:rsid w:val="00FC6758"/>
    <w:rsid w:val="00FD34EA"/>
    <w:rsid w:val="00FE3F3E"/>
    <w:rsid w:val="00FE4D52"/>
    <w:rsid w:val="00FE5AEE"/>
    <w:rsid w:val="00FF106B"/>
    <w:rsid w:val="00FF301F"/>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7">
    <w:name w:val="heading 7"/>
    <w:basedOn w:val="Normal"/>
    <w:next w:val="Normal"/>
    <w:link w:val="Heading7Char"/>
    <w:uiPriority w:val="9"/>
    <w:semiHidden/>
    <w:unhideWhenUsed/>
    <w:qFormat/>
    <w:rsid w:val="00D27E4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FollowedHyperlink">
    <w:name w:val="FollowedHyperlink"/>
    <w:basedOn w:val="DefaultParagraphFont"/>
    <w:uiPriority w:val="99"/>
    <w:semiHidden/>
    <w:unhideWhenUsed/>
    <w:rsid w:val="00E10AD5"/>
    <w:rPr>
      <w:color w:val="800080" w:themeColor="followedHyperlink"/>
      <w:u w:val="single"/>
    </w:rPr>
  </w:style>
  <w:style w:type="character" w:customStyle="1" w:styleId="Heading7Char">
    <w:name w:val="Heading 7 Char"/>
    <w:basedOn w:val="DefaultParagraphFont"/>
    <w:link w:val="Heading7"/>
    <w:uiPriority w:val="9"/>
    <w:semiHidden/>
    <w:rsid w:val="00D27E44"/>
    <w:rPr>
      <w:rFonts w:asciiTheme="majorHAnsi" w:eastAsiaTheme="majorEastAsia" w:hAnsiTheme="majorHAnsi" w:cstheme="majorBidi"/>
      <w:i/>
      <w:iCs/>
      <w:color w:val="243F60" w:themeColor="accent1" w:themeShade="7F"/>
      <w:szCs w:val="24"/>
    </w:rPr>
  </w:style>
  <w:style w:type="character" w:styleId="CommentReference">
    <w:name w:val="annotation reference"/>
    <w:basedOn w:val="DefaultParagraphFont"/>
    <w:uiPriority w:val="99"/>
    <w:semiHidden/>
    <w:unhideWhenUsed/>
    <w:rsid w:val="00D85039"/>
    <w:rPr>
      <w:sz w:val="16"/>
      <w:szCs w:val="16"/>
    </w:rPr>
  </w:style>
  <w:style w:type="paragraph" w:styleId="CommentSubject">
    <w:name w:val="annotation subject"/>
    <w:basedOn w:val="CommentText"/>
    <w:next w:val="CommentText"/>
    <w:link w:val="CommentSubjectChar"/>
    <w:uiPriority w:val="99"/>
    <w:semiHidden/>
    <w:unhideWhenUsed/>
    <w:rsid w:val="00D85039"/>
    <w:rPr>
      <w:b/>
      <w:bCs/>
    </w:rPr>
  </w:style>
  <w:style w:type="character" w:customStyle="1" w:styleId="CommentTextChar">
    <w:name w:val="Comment Text Char"/>
    <w:basedOn w:val="DefaultParagraphFont"/>
    <w:link w:val="CommentText"/>
    <w:semiHidden/>
    <w:rsid w:val="00D85039"/>
    <w:rPr>
      <w:rFonts w:ascii="Arial" w:hAnsi="Arial"/>
    </w:rPr>
  </w:style>
  <w:style w:type="character" w:customStyle="1" w:styleId="CommentSubjectChar">
    <w:name w:val="Comment Subject Char"/>
    <w:basedOn w:val="CommentTextChar"/>
    <w:link w:val="CommentSubject"/>
    <w:uiPriority w:val="99"/>
    <w:semiHidden/>
    <w:rsid w:val="00D85039"/>
    <w:rPr>
      <w:rFonts w:ascii="Arial" w:hAnsi="Arial"/>
      <w:b/>
      <w:bCs/>
    </w:rPr>
  </w:style>
  <w:style w:type="paragraph" w:styleId="Revision">
    <w:name w:val="Revision"/>
    <w:hidden/>
    <w:uiPriority w:val="99"/>
    <w:semiHidden/>
    <w:rsid w:val="00BA217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customXml/itemProps2.xml><?xml version="1.0" encoding="utf-8"?>
<ds:datastoreItem xmlns:ds="http://schemas.openxmlformats.org/officeDocument/2006/customXml" ds:itemID="{94EF63EB-97CC-4288-B96F-CB7FE2F1F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35</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Fibromyalgia Agents PDL Edit</vt:lpstr>
    </vt:vector>
  </TitlesOfParts>
  <Company>DSS</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Somatostatin Analogs PDL Edit</dc:title>
  <dc:creator>DMS</dc:creator>
  <cp:lastModifiedBy>Morsches, Phuonglinh</cp:lastModifiedBy>
  <cp:revision>22</cp:revision>
  <cp:lastPrinted>2018-10-31T20:17:00Z</cp:lastPrinted>
  <dcterms:created xsi:type="dcterms:W3CDTF">2025-12-03T02:01:00Z</dcterms:created>
  <dcterms:modified xsi:type="dcterms:W3CDTF">2025-12-17T04:04:00Z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