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3E5EA9E" w:rsidR="004C5767" w:rsidRPr="008859E1" w:rsidRDefault="004C5767" w:rsidP="00D27533">
      <w:pPr>
        <w:pStyle w:val="tbody"/>
        <w:rPr>
          <w:b w:val="0"/>
          <w:bCs/>
        </w:rPr>
      </w:pPr>
      <w:r w:rsidRPr="00C02553">
        <w:t>Drug/Drug Class:</w:t>
      </w:r>
      <w:r w:rsidR="003B4820">
        <w:t xml:space="preserve"> </w:t>
      </w:r>
      <w:r w:rsidR="001155CC" w:rsidRPr="001155CC">
        <w:rPr>
          <w:b w:val="0"/>
          <w:bCs/>
        </w:rPr>
        <w:t>Journavx Clinical Edit</w:t>
      </w:r>
    </w:p>
    <w:p w14:paraId="7AD7FFCE" w14:textId="378A9599" w:rsidR="004C5767" w:rsidRPr="00C02553" w:rsidRDefault="004C5767" w:rsidP="00D27533">
      <w:pPr>
        <w:pStyle w:val="tbody"/>
      </w:pPr>
      <w:r w:rsidRPr="00C02553">
        <w:t xml:space="preserve">First Implementation Date: </w:t>
      </w:r>
      <w:r w:rsidR="00E2492E" w:rsidRPr="00E2492E">
        <w:rPr>
          <w:b w:val="0"/>
          <w:bCs/>
        </w:rPr>
        <w:t>November 13, 2025</w:t>
      </w:r>
    </w:p>
    <w:p w14:paraId="4B7D760D" w14:textId="3A865B8F" w:rsidR="004C5767" w:rsidRPr="00D232D9" w:rsidRDefault="00E2492E" w:rsidP="00D27533">
      <w:pPr>
        <w:pStyle w:val="tbody"/>
        <w:rPr>
          <w:b w:val="0"/>
          <w:bCs/>
        </w:rPr>
      </w:pPr>
      <w:r>
        <w:t>Proposed</w:t>
      </w:r>
      <w:r w:rsidR="004C5767" w:rsidRPr="00C02553">
        <w:t xml:space="preserve"> Date:</w:t>
      </w:r>
      <w:r w:rsidR="00065C22">
        <w:t xml:space="preserve"> </w:t>
      </w:r>
      <w:r w:rsidR="00D232D9" w:rsidRPr="000C1822">
        <w:rPr>
          <w:b w:val="0"/>
          <w:bCs/>
        </w:rPr>
        <w:t xml:space="preserve">January </w:t>
      </w:r>
      <w:r w:rsidR="000C1822" w:rsidRPr="000C1822">
        <w:rPr>
          <w:b w:val="0"/>
          <w:bCs/>
        </w:rPr>
        <w:t>20</w:t>
      </w:r>
      <w:r w:rsidR="00D232D9" w:rsidRPr="000C1822">
        <w:rPr>
          <w:b w:val="0"/>
          <w:bCs/>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00305651" w:rsidR="004C5767" w:rsidRPr="00D27533" w:rsidRDefault="004C5767" w:rsidP="00D27533">
      <w:pPr>
        <w:pStyle w:val="tbody"/>
        <w:rPr>
          <w:b w:val="0"/>
          <w:bCs/>
          <w:spacing w:val="-3"/>
        </w:rPr>
      </w:pPr>
      <w:r w:rsidRPr="00C02553">
        <w:t xml:space="preserve">Criteria Status: </w:t>
      </w:r>
      <w:r w:rsidR="00566BE4" w:rsidRPr="00F31844">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21A8F687" w14:textId="4523CB7B" w:rsidR="005D4F0F" w:rsidRPr="00442B16" w:rsidRDefault="00442B16" w:rsidP="00696E3A">
      <w:r w:rsidRPr="00442B16">
        <w:t>Ensure appropriate utilization and control of Journavx</w:t>
      </w:r>
      <w:r w:rsidR="00CE38CD">
        <w:rPr>
          <w:vertAlign w:val="superscript"/>
        </w:rPr>
        <w:t>®</w:t>
      </w:r>
      <w:r w:rsidRPr="00442B16">
        <w:t xml:space="preserve"> (suzetrigine).</w:t>
      </w:r>
    </w:p>
    <w:p w14:paraId="75FC84D0" w14:textId="77777777" w:rsidR="006C7BE1" w:rsidRDefault="006C7BE1" w:rsidP="00696E3A">
      <w:pPr>
        <w:rPr>
          <w:b/>
          <w:bCs/>
        </w:rPr>
      </w:pPr>
    </w:p>
    <w:p w14:paraId="3A9BE506" w14:textId="2DCEEA3A" w:rsidR="00E23EC0" w:rsidRPr="00696E3A" w:rsidRDefault="00E23EC0" w:rsidP="00696E3A">
      <w:pPr>
        <w:rPr>
          <w:b/>
          <w:bCs/>
        </w:rPr>
      </w:pPr>
      <w:r w:rsidRPr="00696E3A">
        <w:rPr>
          <w:b/>
          <w:bCs/>
        </w:rPr>
        <w:t>Why Issue Selected:</w:t>
      </w:r>
    </w:p>
    <w:p w14:paraId="2099155C" w14:textId="52D54B33" w:rsidR="0027795D" w:rsidRDefault="0027795D" w:rsidP="0027795D">
      <w:pPr>
        <w:pStyle w:val="CommentText"/>
        <w:contextualSpacing/>
        <w:rPr>
          <w:rFonts w:cs="Arial"/>
          <w:bCs/>
          <w:spacing w:val="-3"/>
        </w:rPr>
      </w:pPr>
      <w:r w:rsidRPr="00032266">
        <w:rPr>
          <w:rFonts w:cs="Arial"/>
          <w:bCs/>
          <w:spacing w:val="-3"/>
        </w:rPr>
        <w:t xml:space="preserve">On </w:t>
      </w:r>
      <w:r w:rsidRPr="00B365E6">
        <w:rPr>
          <w:rFonts w:cs="Arial"/>
          <w:bCs/>
          <w:spacing w:val="-3"/>
        </w:rPr>
        <w:t>January 30, 2025</w:t>
      </w:r>
      <w:r w:rsidRPr="00032266">
        <w:rPr>
          <w:rFonts w:cs="Arial"/>
          <w:bCs/>
          <w:spacing w:val="-3"/>
        </w:rPr>
        <w:t xml:space="preserve">, the U.S. Food and Drug Administration (FDA) approved </w:t>
      </w:r>
      <w:r w:rsidRPr="00DD1B5A">
        <w:rPr>
          <w:bCs/>
        </w:rPr>
        <w:t>Journavx</w:t>
      </w:r>
      <w:r w:rsidR="00CE38CD">
        <w:rPr>
          <w:bCs/>
          <w:vertAlign w:val="superscript"/>
        </w:rPr>
        <w:t>®</w:t>
      </w:r>
      <w:r w:rsidRPr="00DD1B5A">
        <w:rPr>
          <w:bCs/>
        </w:rPr>
        <w:t xml:space="preserve"> (suzetrigine)</w:t>
      </w:r>
      <w:r>
        <w:rPr>
          <w:bCs/>
        </w:rPr>
        <w:t xml:space="preserve">, </w:t>
      </w:r>
      <w:r w:rsidRPr="000829C2">
        <w:rPr>
          <w:rFonts w:cs="Arial"/>
          <w:bCs/>
          <w:spacing w:val="-3"/>
        </w:rPr>
        <w:t>a first-in-class non-opioid analgesic, to treat moderate to severe acute pain in adults. Journavx reduces pain by targeting a pain-signaling pathway involving sodium channels in the peripheral nervous system, before pain signals reach the brain.</w:t>
      </w:r>
      <w:r>
        <w:rPr>
          <w:rFonts w:cs="Arial"/>
          <w:bCs/>
          <w:spacing w:val="-3"/>
        </w:rPr>
        <w:t xml:space="preserve"> Journavx should be used </w:t>
      </w:r>
      <w:r w:rsidRPr="006902AD">
        <w:rPr>
          <w:rFonts w:cs="Arial"/>
          <w:bCs/>
          <w:spacing w:val="-3"/>
        </w:rPr>
        <w:t>for the shortest duration, consistent with individual patient treatment goals</w:t>
      </w:r>
      <w:r>
        <w:rPr>
          <w:rFonts w:cs="Arial"/>
          <w:bCs/>
          <w:spacing w:val="-3"/>
        </w:rPr>
        <w:t xml:space="preserve">, and </w:t>
      </w:r>
      <w:r w:rsidRPr="006902AD">
        <w:rPr>
          <w:rFonts w:cs="Arial"/>
          <w:bCs/>
          <w:spacing w:val="-3"/>
        </w:rPr>
        <w:t xml:space="preserve">has not been </w:t>
      </w:r>
      <w:r>
        <w:rPr>
          <w:rFonts w:cs="Arial"/>
          <w:bCs/>
          <w:spacing w:val="-3"/>
        </w:rPr>
        <w:t>shown to be effective</w:t>
      </w:r>
      <w:r w:rsidRPr="006902AD">
        <w:rPr>
          <w:rFonts w:cs="Arial"/>
          <w:bCs/>
          <w:spacing w:val="-3"/>
        </w:rPr>
        <w:t xml:space="preserve"> beyond 14 days</w:t>
      </w:r>
      <w:r>
        <w:rPr>
          <w:rFonts w:cs="Arial"/>
          <w:bCs/>
          <w:spacing w:val="-3"/>
        </w:rPr>
        <w:t xml:space="preserve"> of therapy.</w:t>
      </w:r>
    </w:p>
    <w:p w14:paraId="2BD5326E" w14:textId="77777777" w:rsidR="0027795D" w:rsidRDefault="0027795D" w:rsidP="0027795D">
      <w:pPr>
        <w:pStyle w:val="CommentText"/>
        <w:contextualSpacing/>
        <w:rPr>
          <w:rFonts w:cs="Arial"/>
          <w:bCs/>
          <w:spacing w:val="-3"/>
        </w:rPr>
      </w:pPr>
    </w:p>
    <w:p w14:paraId="2CFC6ECB" w14:textId="77777777" w:rsidR="0027795D" w:rsidRPr="00032266" w:rsidRDefault="0027795D" w:rsidP="0027795D">
      <w:pPr>
        <w:pStyle w:val="CommentText"/>
        <w:contextualSpacing/>
        <w:rPr>
          <w:rFonts w:cs="Arial"/>
          <w:bCs/>
          <w:spacing w:val="-3"/>
        </w:rPr>
      </w:pPr>
      <w:r w:rsidRPr="00C444C3">
        <w:rPr>
          <w:rFonts w:cs="Arial"/>
          <w:bCs/>
          <w:spacing w:val="-3"/>
        </w:rPr>
        <w:t>The most common adverse reactio</w:t>
      </w:r>
      <w:r>
        <w:rPr>
          <w:rFonts w:cs="Arial"/>
          <w:bCs/>
          <w:spacing w:val="-3"/>
        </w:rPr>
        <w:t>ns associated with</w:t>
      </w:r>
      <w:r w:rsidRPr="00C444C3">
        <w:rPr>
          <w:rFonts w:cs="Arial"/>
          <w:bCs/>
          <w:spacing w:val="-3"/>
        </w:rPr>
        <w:t xml:space="preserve"> Journavx </w:t>
      </w:r>
      <w:r>
        <w:rPr>
          <w:rFonts w:cs="Arial"/>
          <w:bCs/>
          <w:spacing w:val="-3"/>
        </w:rPr>
        <w:t>include</w:t>
      </w:r>
      <w:r w:rsidRPr="00C444C3">
        <w:rPr>
          <w:rFonts w:cs="Arial"/>
          <w:bCs/>
          <w:spacing w:val="-3"/>
        </w:rPr>
        <w:t xml:space="preserve"> itching, muscle spasms, increased blood level of creatine phosphokinase, and rash. Journavx is contraindicated for concomitant use with strong CYP3A inhibitors. Additionally, patients should avoid food or drink containing grapefruit when taking Journavx.</w:t>
      </w:r>
      <w:r>
        <w:rPr>
          <w:rFonts w:cs="Arial"/>
          <w:bCs/>
          <w:spacing w:val="-3"/>
        </w:rPr>
        <w:t xml:space="preserve"> </w:t>
      </w:r>
    </w:p>
    <w:p w14:paraId="6B332A80" w14:textId="77777777" w:rsidR="0027795D" w:rsidRPr="00032266" w:rsidRDefault="0027795D" w:rsidP="0027795D">
      <w:pPr>
        <w:pStyle w:val="CommentText"/>
        <w:contextualSpacing/>
        <w:rPr>
          <w:rFonts w:cs="Arial"/>
          <w:bCs/>
          <w:spacing w:val="-3"/>
          <w:sz w:val="18"/>
          <w:szCs w:val="18"/>
        </w:rPr>
      </w:pPr>
    </w:p>
    <w:p w14:paraId="7ACECC9F" w14:textId="579F64B8" w:rsidR="00B56DCC" w:rsidRDefault="0027795D" w:rsidP="0027795D">
      <w:r w:rsidRPr="00032266">
        <w:rPr>
          <w:rFonts w:cs="Arial"/>
          <w:bCs/>
          <w:spacing w:val="-3"/>
        </w:rPr>
        <w:t xml:space="preserve">Due to the high cost and specific approved indication, MO HealthNet will impose clinical criteria to ensure appropriate utilization of </w:t>
      </w:r>
      <w:r>
        <w:rPr>
          <w:rFonts w:cs="Arial"/>
          <w:bCs/>
          <w:spacing w:val="-3"/>
        </w:rPr>
        <w:t>Journavx</w:t>
      </w:r>
      <w:r w:rsidR="003C76BC">
        <w:rPr>
          <w:rFonts w:cs="Arial"/>
          <w:bCs/>
          <w:spacing w:val="-3"/>
        </w:rPr>
        <w:t>.</w:t>
      </w:r>
    </w:p>
    <w:p w14:paraId="164988C7" w14:textId="77777777" w:rsidR="006C7BE1" w:rsidRDefault="006C7BE1" w:rsidP="003D4704">
      <w:pPr>
        <w:rPr>
          <w:b/>
          <w:bCs/>
        </w:rPr>
      </w:pPr>
    </w:p>
    <w:p w14:paraId="473DB73A" w14:textId="53C4B6A9" w:rsidR="002C0E23" w:rsidRPr="002C0E23" w:rsidRDefault="003D4704" w:rsidP="003D4704">
      <w:r>
        <w:rPr>
          <w:b/>
          <w:bCs/>
        </w:rPr>
        <w:t xml:space="preserve">Program-Specific Information: </w:t>
      </w:r>
      <w:r w:rsidR="002C0E23" w:rsidRPr="00D72801">
        <w:rPr>
          <w:b/>
          <w:bCs/>
        </w:rPr>
        <w:t>Dat</w:t>
      </w:r>
      <w:r w:rsidR="004C35FC" w:rsidRPr="00D72801">
        <w:rPr>
          <w:b/>
          <w:bCs/>
        </w:rPr>
        <w:t>e</w:t>
      </w:r>
      <w:r w:rsidR="002C0E23" w:rsidRPr="00D72801">
        <w:rPr>
          <w:b/>
          <w:bCs/>
        </w:rPr>
        <w:t xml:space="preserve"> Range FFS 10-1-2024 to 9-30-2025</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963"/>
        <w:gridCol w:w="1466"/>
        <w:gridCol w:w="1895"/>
      </w:tblGrid>
      <w:tr w:rsidR="000E7D23" w:rsidRPr="00902CF9" w14:paraId="7E639B47" w14:textId="4D02003C" w:rsidTr="000927D1">
        <w:trPr>
          <w:trHeight w:val="232"/>
        </w:trPr>
        <w:tc>
          <w:tcPr>
            <w:tcW w:w="3506" w:type="dxa"/>
            <w:shd w:val="clear" w:color="auto" w:fill="FABF8F" w:themeFill="accent6" w:themeFillTint="99"/>
            <w:vAlign w:val="center"/>
          </w:tcPr>
          <w:p w14:paraId="0258BA66" w14:textId="350FE733" w:rsidR="000E7D23" w:rsidRPr="00902CF9" w:rsidRDefault="000E7D23" w:rsidP="000E7D23">
            <w:pPr>
              <w:jc w:val="center"/>
              <w:rPr>
                <w:rFonts w:cs="Arial"/>
                <w:b/>
                <w:bCs/>
                <w:spacing w:val="-3"/>
                <w:szCs w:val="20"/>
              </w:rPr>
            </w:pPr>
            <w:r w:rsidRPr="00FC4D2D">
              <w:rPr>
                <w:rFonts w:cs="Arial"/>
                <w:b/>
                <w:bCs/>
                <w:spacing w:val="-3"/>
                <w:szCs w:val="20"/>
              </w:rPr>
              <w:t>Drug</w:t>
            </w:r>
          </w:p>
        </w:tc>
        <w:tc>
          <w:tcPr>
            <w:tcW w:w="963" w:type="dxa"/>
            <w:shd w:val="clear" w:color="auto" w:fill="FABF8F" w:themeFill="accent6" w:themeFillTint="99"/>
            <w:vAlign w:val="center"/>
          </w:tcPr>
          <w:p w14:paraId="20F37C53" w14:textId="66252B4C" w:rsidR="000E7D23" w:rsidRPr="00902CF9" w:rsidRDefault="000E7D23" w:rsidP="000E7D23">
            <w:pPr>
              <w:jc w:val="center"/>
              <w:rPr>
                <w:rFonts w:cs="Arial"/>
                <w:b/>
                <w:bCs/>
                <w:spacing w:val="-3"/>
                <w:szCs w:val="20"/>
              </w:rPr>
            </w:pPr>
            <w:r>
              <w:rPr>
                <w:rFonts w:cs="Arial"/>
                <w:b/>
                <w:spacing w:val="-3"/>
                <w:szCs w:val="20"/>
              </w:rPr>
              <w:t>Claims</w:t>
            </w:r>
          </w:p>
        </w:tc>
        <w:tc>
          <w:tcPr>
            <w:tcW w:w="1466" w:type="dxa"/>
            <w:shd w:val="clear" w:color="auto" w:fill="FABF8F" w:themeFill="accent6" w:themeFillTint="99"/>
            <w:vAlign w:val="center"/>
          </w:tcPr>
          <w:p w14:paraId="37F54882" w14:textId="3B223C07" w:rsidR="000E7D23" w:rsidRPr="00902CF9" w:rsidRDefault="000E7D23" w:rsidP="000E7D23">
            <w:pPr>
              <w:jc w:val="center"/>
              <w:rPr>
                <w:rFonts w:cs="Arial"/>
                <w:b/>
                <w:bCs/>
                <w:spacing w:val="-3"/>
                <w:szCs w:val="20"/>
              </w:rPr>
            </w:pPr>
            <w:r>
              <w:rPr>
                <w:rFonts w:cs="Arial"/>
                <w:b/>
                <w:spacing w:val="-3"/>
                <w:szCs w:val="20"/>
              </w:rPr>
              <w:t>Cost per tablet (WAC)</w:t>
            </w:r>
          </w:p>
        </w:tc>
        <w:tc>
          <w:tcPr>
            <w:tcW w:w="1895" w:type="dxa"/>
            <w:shd w:val="clear" w:color="auto" w:fill="FABF8F" w:themeFill="accent6" w:themeFillTint="99"/>
            <w:vAlign w:val="center"/>
          </w:tcPr>
          <w:p w14:paraId="60CFE02D" w14:textId="3AD2B574" w:rsidR="000E7D23" w:rsidRPr="002C0E23" w:rsidRDefault="000E7D23" w:rsidP="000E7D23">
            <w:pPr>
              <w:jc w:val="center"/>
              <w:rPr>
                <w:rFonts w:cs="Arial"/>
                <w:b/>
                <w:bCs/>
                <w:spacing w:val="-3"/>
                <w:szCs w:val="20"/>
              </w:rPr>
            </w:pPr>
            <w:r>
              <w:rPr>
                <w:rFonts w:cs="Arial"/>
                <w:b/>
                <w:spacing w:val="-3"/>
                <w:szCs w:val="20"/>
              </w:rPr>
              <w:t>Cost per 14-day supply (WAC)</w:t>
            </w:r>
          </w:p>
        </w:tc>
      </w:tr>
      <w:tr w:rsidR="000E7D23" w:rsidRPr="00902CF9" w14:paraId="29C2C6B5" w14:textId="720880E5" w:rsidTr="000927D1">
        <w:trPr>
          <w:trHeight w:val="232"/>
        </w:trPr>
        <w:tc>
          <w:tcPr>
            <w:tcW w:w="3506" w:type="dxa"/>
            <w:vAlign w:val="center"/>
          </w:tcPr>
          <w:p w14:paraId="4E48F17F" w14:textId="64341B2A" w:rsidR="000E7D23" w:rsidRPr="00902CF9" w:rsidRDefault="000E7D23" w:rsidP="000E7D23">
            <w:pPr>
              <w:rPr>
                <w:rFonts w:cs="Arial"/>
                <w:szCs w:val="20"/>
              </w:rPr>
            </w:pPr>
            <w:r w:rsidRPr="00E225E6">
              <w:rPr>
                <w:rFonts w:cs="Arial"/>
                <w:spacing w:val="-3"/>
                <w:szCs w:val="20"/>
              </w:rPr>
              <w:t>JOURNAVX 50 MG TABLE</w:t>
            </w:r>
            <w:r>
              <w:rPr>
                <w:rFonts w:cs="Arial"/>
                <w:spacing w:val="-3"/>
                <w:szCs w:val="20"/>
              </w:rPr>
              <w:t>T</w:t>
            </w:r>
          </w:p>
        </w:tc>
        <w:tc>
          <w:tcPr>
            <w:tcW w:w="963" w:type="dxa"/>
            <w:vAlign w:val="bottom"/>
          </w:tcPr>
          <w:p w14:paraId="5F6574F8" w14:textId="59622802" w:rsidR="000E7D23" w:rsidRPr="00902CF9" w:rsidRDefault="000E7D23" w:rsidP="000E7D23">
            <w:pPr>
              <w:jc w:val="center"/>
              <w:rPr>
                <w:rFonts w:cs="Arial"/>
                <w:szCs w:val="20"/>
              </w:rPr>
            </w:pPr>
            <w:r>
              <w:rPr>
                <w:rFonts w:cs="Arial"/>
                <w:szCs w:val="20"/>
              </w:rPr>
              <w:t>6</w:t>
            </w:r>
          </w:p>
        </w:tc>
        <w:tc>
          <w:tcPr>
            <w:tcW w:w="1466" w:type="dxa"/>
            <w:vAlign w:val="center"/>
          </w:tcPr>
          <w:p w14:paraId="52453425" w14:textId="36CA0625" w:rsidR="000E7D23" w:rsidRPr="00902CF9" w:rsidRDefault="000E7D23" w:rsidP="000E7D23">
            <w:pPr>
              <w:jc w:val="center"/>
              <w:rPr>
                <w:rFonts w:cs="Arial"/>
                <w:szCs w:val="20"/>
              </w:rPr>
            </w:pPr>
            <w:r>
              <w:rPr>
                <w:rFonts w:cs="Arial"/>
                <w:szCs w:val="20"/>
              </w:rPr>
              <w:t>$15.50</w:t>
            </w:r>
          </w:p>
        </w:tc>
        <w:tc>
          <w:tcPr>
            <w:tcW w:w="1895" w:type="dxa"/>
            <w:vAlign w:val="center"/>
          </w:tcPr>
          <w:p w14:paraId="4B45D7FD" w14:textId="251075D7" w:rsidR="000E7D23" w:rsidRDefault="000E7D23" w:rsidP="000E7D23">
            <w:pPr>
              <w:jc w:val="center"/>
              <w:rPr>
                <w:rFonts w:cs="Arial"/>
                <w:spacing w:val="-3"/>
                <w:szCs w:val="20"/>
              </w:rPr>
            </w:pPr>
            <w:r>
              <w:rPr>
                <w:rFonts w:cs="Arial"/>
                <w:spacing w:val="-3"/>
                <w:szCs w:val="20"/>
              </w:rPr>
              <w:t>$449.50</w:t>
            </w:r>
          </w:p>
        </w:tc>
      </w:tr>
    </w:tbl>
    <w:p w14:paraId="17D40F38" w14:textId="74988DC6" w:rsidR="00A336CF" w:rsidRPr="0043305D" w:rsidRDefault="00A336CF">
      <w:pPr>
        <w:rPr>
          <w:rFonts w:cs="Arial"/>
          <w:b/>
          <w:color w:val="595959"/>
          <w:szCs w:val="20"/>
        </w:rPr>
      </w:pPr>
    </w:p>
    <w:p w14:paraId="6413C027" w14:textId="65C6D486" w:rsidR="00AE77DB" w:rsidRPr="00C02553" w:rsidRDefault="00AE77DB" w:rsidP="00E354AA">
      <w:pPr>
        <w:pStyle w:val="Heading1"/>
        <w:rPr>
          <w:lang w:val="en-US"/>
        </w:rPr>
      </w:pPr>
      <w:r w:rsidRPr="00C02553">
        <w:rPr>
          <w:lang w:val="en-US"/>
        </w:rPr>
        <w:t xml:space="preserve">Setting &amp; Population </w:t>
      </w:r>
    </w:p>
    <w:p w14:paraId="04B7FBFB" w14:textId="14E75F30" w:rsidR="0097028A" w:rsidRPr="0079438F" w:rsidRDefault="0097028A" w:rsidP="00696E3A">
      <w:pPr>
        <w:rPr>
          <w:b/>
        </w:rPr>
      </w:pPr>
      <w:r w:rsidRPr="00696E3A">
        <w:rPr>
          <w:b/>
          <w:bCs/>
        </w:rPr>
        <w:t>Drug class for review:</w:t>
      </w:r>
      <w:r w:rsidRPr="00C02553">
        <w:t xml:space="preserve"> </w:t>
      </w:r>
      <w:r w:rsidR="00BA1BC2" w:rsidRPr="00BA1BC2">
        <w:t>Journavx</w:t>
      </w:r>
      <w:r w:rsidR="00D11F0E">
        <w:rPr>
          <w:vertAlign w:val="superscript"/>
        </w:rPr>
        <w:t>®</w:t>
      </w:r>
      <w:r w:rsidR="00BA1BC2" w:rsidRPr="00BA1BC2">
        <w:t xml:space="preserve"> (suzetrigine)</w:t>
      </w:r>
    </w:p>
    <w:p w14:paraId="26CFE8A0" w14:textId="5348AC82" w:rsidR="008524BA" w:rsidRDefault="0097028A" w:rsidP="00696E3A">
      <w:pPr>
        <w:rPr>
          <w:rFonts w:cs="Arial"/>
          <w:b/>
        </w:rPr>
      </w:pPr>
      <w:r w:rsidRPr="00696E3A">
        <w:rPr>
          <w:b/>
          <w:bCs/>
        </w:rPr>
        <w:t>Age range:</w:t>
      </w:r>
      <w:r w:rsidRPr="00C02553">
        <w:t xml:space="preserve"> </w:t>
      </w:r>
      <w:r w:rsidR="00127150" w:rsidRPr="00127150">
        <w:rPr>
          <w:rFonts w:cs="Arial"/>
        </w:rPr>
        <w:t>All appropriate MO HealthNet participants aged 18 years and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15F9AC55" w14:textId="77777777" w:rsidR="008073D8" w:rsidRPr="00A9746A" w:rsidRDefault="008073D8" w:rsidP="00394435">
      <w:pPr>
        <w:pStyle w:val="ListParagraph"/>
      </w:pPr>
      <w:r w:rsidRPr="00A9746A">
        <w:t>Must meet all of the following:</w:t>
      </w:r>
    </w:p>
    <w:p w14:paraId="2654EB9B" w14:textId="77777777" w:rsidR="008073D8" w:rsidRPr="00A9746A" w:rsidRDefault="008073D8" w:rsidP="00394435">
      <w:pPr>
        <w:pStyle w:val="ListParagraph"/>
        <w:numPr>
          <w:ilvl w:val="1"/>
          <w:numId w:val="6"/>
        </w:numPr>
      </w:pPr>
      <w:r w:rsidRPr="00A9746A">
        <w:t>Documented diagnosis of moderate to severe acute post-operative pain.</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0DDE1471" w14:textId="77777777" w:rsidR="00DF76BD" w:rsidRPr="00394435" w:rsidRDefault="00DF76BD" w:rsidP="00394435">
      <w:pPr>
        <w:pStyle w:val="ListParagraph"/>
      </w:pPr>
      <w:r w:rsidRPr="00394435">
        <w:t>Therapy will deny with presence of one of the following:</w:t>
      </w:r>
    </w:p>
    <w:p w14:paraId="1BC2F66A" w14:textId="77777777" w:rsidR="00DF76BD" w:rsidRPr="00394435" w:rsidRDefault="00DF76BD" w:rsidP="00394435">
      <w:pPr>
        <w:pStyle w:val="ListParagraph"/>
        <w:numPr>
          <w:ilvl w:val="1"/>
          <w:numId w:val="6"/>
        </w:numPr>
      </w:pPr>
      <w:r w:rsidRPr="00394435">
        <w:t>Any approval criteria are not met;</w:t>
      </w:r>
    </w:p>
    <w:p w14:paraId="2173FF4D" w14:textId="77777777" w:rsidR="00DF76BD" w:rsidRPr="00394435" w:rsidRDefault="00DF76BD" w:rsidP="00394435">
      <w:pPr>
        <w:pStyle w:val="ListParagraph"/>
        <w:numPr>
          <w:ilvl w:val="1"/>
          <w:numId w:val="6"/>
        </w:numPr>
      </w:pPr>
      <w:r w:rsidRPr="00394435">
        <w:lastRenderedPageBreak/>
        <w:t>Documented diagnosis of chronic pain in absence of acute post-operative pain;</w:t>
      </w:r>
    </w:p>
    <w:p w14:paraId="7A15E8B0" w14:textId="77777777" w:rsidR="00DF76BD" w:rsidRPr="00394435" w:rsidRDefault="00DF76BD" w:rsidP="00394435">
      <w:pPr>
        <w:pStyle w:val="ListParagraph"/>
        <w:numPr>
          <w:ilvl w:val="1"/>
          <w:numId w:val="6"/>
        </w:numPr>
      </w:pPr>
      <w:r w:rsidRPr="00394435">
        <w:t>Participant history exceeds 1 course of therapy (maximum of 14 days) every 6 months;</w:t>
      </w:r>
    </w:p>
    <w:p w14:paraId="358C9F39" w14:textId="77777777" w:rsidR="00DF76BD" w:rsidRPr="00880470" w:rsidRDefault="00DF76BD" w:rsidP="00394435">
      <w:pPr>
        <w:pStyle w:val="ListParagraph"/>
        <w:numPr>
          <w:ilvl w:val="1"/>
          <w:numId w:val="6"/>
        </w:numPr>
      </w:pPr>
      <w:r w:rsidRPr="00394435">
        <w:t xml:space="preserve">Participant demonstrates concurrent use with opioids; </w:t>
      </w:r>
      <w:r w:rsidRPr="00880470">
        <w:t>OR</w:t>
      </w:r>
    </w:p>
    <w:p w14:paraId="6EC52E23" w14:textId="77777777" w:rsidR="00DF76BD" w:rsidRPr="00880470" w:rsidRDefault="00DF76BD" w:rsidP="00394435">
      <w:pPr>
        <w:pStyle w:val="ListParagraph"/>
        <w:numPr>
          <w:ilvl w:val="1"/>
          <w:numId w:val="6"/>
        </w:numPr>
      </w:pPr>
      <w:r w:rsidRPr="00880470">
        <w:t>Claim exceeds maximum dosing limitation for the following:</w:t>
      </w:r>
    </w:p>
    <w:tbl>
      <w:tblPr>
        <w:tblW w:w="78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340"/>
        <w:gridCol w:w="2610"/>
      </w:tblGrid>
      <w:tr w:rsidR="00DF76BD" w:rsidRPr="003A4F5B" w14:paraId="5D89C840" w14:textId="77777777" w:rsidTr="00880470">
        <w:tc>
          <w:tcPr>
            <w:tcW w:w="2880" w:type="dxa"/>
            <w:tcBorders>
              <w:bottom w:val="single" w:sz="4" w:space="0" w:color="auto"/>
            </w:tcBorders>
            <w:shd w:val="clear" w:color="auto" w:fill="FABF8F" w:themeFill="accent6" w:themeFillTint="99"/>
            <w:vAlign w:val="center"/>
          </w:tcPr>
          <w:p w14:paraId="1D87EC27" w14:textId="77777777" w:rsidR="00DF76BD" w:rsidRPr="00D93ABE" w:rsidRDefault="00DF76BD" w:rsidP="00C04BEC">
            <w:pPr>
              <w:rPr>
                <w:rFonts w:cs="Arial"/>
                <w:b/>
                <w:bCs/>
                <w:szCs w:val="20"/>
              </w:rPr>
            </w:pPr>
            <w:r w:rsidRPr="00D93ABE">
              <w:rPr>
                <w:rFonts w:cs="Arial"/>
                <w:b/>
                <w:bCs/>
                <w:szCs w:val="20"/>
              </w:rPr>
              <w:t>Drug Description</w:t>
            </w:r>
          </w:p>
        </w:tc>
        <w:tc>
          <w:tcPr>
            <w:tcW w:w="2340" w:type="dxa"/>
            <w:tcBorders>
              <w:bottom w:val="single" w:sz="4" w:space="0" w:color="auto"/>
            </w:tcBorders>
            <w:shd w:val="clear" w:color="auto" w:fill="FABF8F" w:themeFill="accent6" w:themeFillTint="99"/>
            <w:vAlign w:val="center"/>
          </w:tcPr>
          <w:p w14:paraId="027B5C54" w14:textId="77777777" w:rsidR="00DF76BD" w:rsidRPr="00D93ABE" w:rsidRDefault="00DF76BD" w:rsidP="00C04BEC">
            <w:pPr>
              <w:rPr>
                <w:rFonts w:cs="Arial"/>
                <w:b/>
                <w:bCs/>
                <w:szCs w:val="20"/>
              </w:rPr>
            </w:pPr>
            <w:r w:rsidRPr="00D93ABE">
              <w:rPr>
                <w:rFonts w:cs="Arial"/>
                <w:b/>
                <w:bCs/>
                <w:szCs w:val="20"/>
              </w:rPr>
              <w:t>Generic Equivalent</w:t>
            </w:r>
          </w:p>
        </w:tc>
        <w:tc>
          <w:tcPr>
            <w:tcW w:w="2610" w:type="dxa"/>
            <w:shd w:val="clear" w:color="auto" w:fill="FABF8F" w:themeFill="accent6" w:themeFillTint="99"/>
            <w:vAlign w:val="center"/>
          </w:tcPr>
          <w:p w14:paraId="5191B2EB" w14:textId="77777777" w:rsidR="00DF76BD" w:rsidRPr="00D93ABE" w:rsidRDefault="00DF76BD" w:rsidP="00C04BEC">
            <w:pPr>
              <w:rPr>
                <w:rFonts w:cs="Arial"/>
                <w:b/>
                <w:bCs/>
                <w:szCs w:val="20"/>
              </w:rPr>
            </w:pPr>
            <w:r w:rsidRPr="00D93ABE">
              <w:rPr>
                <w:rFonts w:cs="Arial"/>
                <w:b/>
                <w:bCs/>
                <w:szCs w:val="20"/>
              </w:rPr>
              <w:t>Max Dosing Limitation</w:t>
            </w:r>
          </w:p>
        </w:tc>
      </w:tr>
      <w:tr w:rsidR="00DF76BD" w:rsidRPr="003A4F5B" w14:paraId="6FAF703C" w14:textId="77777777" w:rsidTr="00880470">
        <w:trPr>
          <w:trHeight w:val="233"/>
        </w:trPr>
        <w:tc>
          <w:tcPr>
            <w:tcW w:w="2880" w:type="dxa"/>
            <w:tcBorders>
              <w:top w:val="single" w:sz="4" w:space="0" w:color="auto"/>
              <w:left w:val="single" w:sz="4" w:space="0" w:color="auto"/>
              <w:bottom w:val="single" w:sz="4" w:space="0" w:color="auto"/>
              <w:right w:val="single" w:sz="4" w:space="0" w:color="auto"/>
            </w:tcBorders>
            <w:vAlign w:val="center"/>
          </w:tcPr>
          <w:p w14:paraId="09D418CB" w14:textId="77777777" w:rsidR="00DF76BD" w:rsidRPr="003A4F5B" w:rsidRDefault="00DF76BD" w:rsidP="00C04BEC">
            <w:pPr>
              <w:contextualSpacing/>
              <w:rPr>
                <w:rFonts w:cs="Arial"/>
                <w:szCs w:val="20"/>
              </w:rPr>
            </w:pPr>
            <w:r>
              <w:rPr>
                <w:rFonts w:cs="Arial"/>
                <w:szCs w:val="20"/>
              </w:rPr>
              <w:t>JOURNAVX 50 MG TABLET</w:t>
            </w:r>
          </w:p>
        </w:tc>
        <w:tc>
          <w:tcPr>
            <w:tcW w:w="2340" w:type="dxa"/>
            <w:tcBorders>
              <w:top w:val="single" w:sz="4" w:space="0" w:color="auto"/>
              <w:left w:val="single" w:sz="4" w:space="0" w:color="auto"/>
              <w:bottom w:val="single" w:sz="4" w:space="0" w:color="auto"/>
              <w:right w:val="single" w:sz="4" w:space="0" w:color="auto"/>
            </w:tcBorders>
            <w:vAlign w:val="center"/>
          </w:tcPr>
          <w:p w14:paraId="28C7D98C" w14:textId="77777777" w:rsidR="00DF76BD" w:rsidRPr="003A4F5B" w:rsidRDefault="00DF76BD" w:rsidP="00C04BEC">
            <w:pPr>
              <w:rPr>
                <w:rFonts w:cs="Arial"/>
                <w:szCs w:val="20"/>
              </w:rPr>
            </w:pPr>
            <w:r>
              <w:rPr>
                <w:rFonts w:cs="Arial"/>
                <w:szCs w:val="20"/>
              </w:rPr>
              <w:t>SUZETRIGINE</w:t>
            </w:r>
          </w:p>
        </w:tc>
        <w:tc>
          <w:tcPr>
            <w:tcW w:w="2610" w:type="dxa"/>
            <w:tcBorders>
              <w:top w:val="single" w:sz="4" w:space="0" w:color="auto"/>
              <w:left w:val="single" w:sz="4" w:space="0" w:color="auto"/>
              <w:bottom w:val="single" w:sz="4" w:space="0" w:color="auto"/>
              <w:right w:val="single" w:sz="4" w:space="0" w:color="auto"/>
            </w:tcBorders>
            <w:vAlign w:val="bottom"/>
          </w:tcPr>
          <w:p w14:paraId="15F1935F" w14:textId="77777777" w:rsidR="00DF76BD" w:rsidRPr="003A4F5B" w:rsidRDefault="00DF76BD" w:rsidP="00C04BEC">
            <w:pPr>
              <w:rPr>
                <w:rFonts w:cs="Arial"/>
                <w:szCs w:val="20"/>
              </w:rPr>
            </w:pPr>
            <w:r>
              <w:rPr>
                <w:rFonts w:cs="Arial"/>
              </w:rPr>
              <w:t>30 tablets per 14 days</w:t>
            </w:r>
            <w:r w:rsidRPr="003A4F5B">
              <w:rPr>
                <w:rFonts w:cs="Arial"/>
              </w:rPr>
              <w:t xml:space="preserve"> </w:t>
            </w:r>
          </w:p>
        </w:tc>
      </w:tr>
    </w:tbl>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472A466F" w:rsidR="00343D6B" w:rsidRPr="00C02553" w:rsidRDefault="00343D6B" w:rsidP="00696E3A">
      <w:r w:rsidRPr="00696E3A">
        <w:rPr>
          <w:b/>
          <w:bCs/>
        </w:rPr>
        <w:t>Default Approval Period:</w:t>
      </w:r>
      <w:r w:rsidR="00973BD6">
        <w:t xml:space="preserve"> </w:t>
      </w:r>
      <w:r w:rsidR="009B00AC" w:rsidRPr="009B00AC">
        <w:t>One 14-day course</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5B5504C9" w14:textId="63AB445E" w:rsidR="007C710C" w:rsidRDefault="007C710C" w:rsidP="007C710C">
      <w:pPr>
        <w:pStyle w:val="ListParagraph"/>
      </w:pPr>
      <w:r>
        <w:t>Journavx (suzetrigine). [Package Insert]. Boston, MA: Vertex Pharmaceuticals. January 2025.</w:t>
      </w:r>
    </w:p>
    <w:p w14:paraId="67A5843C" w14:textId="54945CB5" w:rsidR="007C710C" w:rsidRDefault="007C710C" w:rsidP="007C710C">
      <w:pPr>
        <w:pStyle w:val="ListParagraph"/>
      </w:pPr>
      <w:r>
        <w:t xml:space="preserve">Press Release: Vertex Announces FDA Approval of JOURNAVX™ (suzetrigine), a First-in-Class Treatment for Adults With Moderate-to-Severe Acute Pain. Published January 30, 2025. Accessed </w:t>
      </w:r>
      <w:r w:rsidR="00CD5A7F">
        <w:t>November</w:t>
      </w:r>
      <w:r>
        <w:t xml:space="preserve"> 1</w:t>
      </w:r>
      <w:r w:rsidR="00CD5A7F">
        <w:t>9</w:t>
      </w:r>
      <w:r>
        <w:t>, 2025.</w:t>
      </w:r>
    </w:p>
    <w:p w14:paraId="53CEDD3E" w14:textId="77777777" w:rsidR="007C710C" w:rsidRDefault="007C710C" w:rsidP="007C710C">
      <w:pPr>
        <w:pStyle w:val="ListParagraph"/>
      </w:pPr>
      <w:r>
        <w:t>UpToDate: Nonopioid pharmacotherapy for acute pain in adults. Last Updated February 24, 2025. Accessed June 18, 2025.</w:t>
      </w:r>
    </w:p>
    <w:sectPr w:rsidR="007C710C"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F529" w14:textId="77777777" w:rsidR="00F307E6" w:rsidRPr="00C02553" w:rsidRDefault="00F307E6" w:rsidP="00AE77DB">
      <w:r w:rsidRPr="00C02553">
        <w:separator/>
      </w:r>
    </w:p>
  </w:endnote>
  <w:endnote w:type="continuationSeparator" w:id="0">
    <w:p w14:paraId="1ADD2E13" w14:textId="77777777" w:rsidR="00F307E6" w:rsidRPr="00C02553" w:rsidRDefault="00F307E6" w:rsidP="00AE77DB">
      <w:r w:rsidRPr="00C02553">
        <w:continuationSeparator/>
      </w:r>
    </w:p>
  </w:endnote>
  <w:endnote w:type="continuationNotice" w:id="1">
    <w:p w14:paraId="73E8F7BE" w14:textId="77777777" w:rsidR="00F307E6" w:rsidRPr="00C02553" w:rsidRDefault="00F30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91E3" w14:textId="77777777" w:rsidR="00F307E6" w:rsidRPr="00C02553" w:rsidRDefault="00F307E6" w:rsidP="00AE77DB">
      <w:r w:rsidRPr="00C02553">
        <w:separator/>
      </w:r>
    </w:p>
  </w:footnote>
  <w:footnote w:type="continuationSeparator" w:id="0">
    <w:p w14:paraId="16036BB0" w14:textId="77777777" w:rsidR="00F307E6" w:rsidRPr="00C02553" w:rsidRDefault="00F307E6" w:rsidP="00AE77DB">
      <w:r w:rsidRPr="00C02553">
        <w:continuationSeparator/>
      </w:r>
    </w:p>
  </w:footnote>
  <w:footnote w:type="continuationNotice" w:id="1">
    <w:p w14:paraId="6B528135" w14:textId="77777777" w:rsidR="00F307E6" w:rsidRPr="00C02553" w:rsidRDefault="00F30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0A61D742" w:rsidR="00006A61" w:rsidRPr="00C02553" w:rsidRDefault="00000000">
    <w:pPr>
      <w:pStyle w:val="Header"/>
      <w:framePr w:wrap="around" w:vAnchor="text" w:hAnchor="margin" w:xAlign="right" w:y="1"/>
      <w:rPr>
        <w:rStyle w:val="PageNumber"/>
        <w:rFonts w:ascii="Times New Roman" w:hAnsi="Times New Roman"/>
      </w:rPr>
    </w:pPr>
    <w:r>
      <w:rPr>
        <w:noProof/>
      </w:rPr>
      <w:pict w14:anchorId="62A26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4985"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66A21F77" w:rsidR="00596936" w:rsidRDefault="00000000">
    <w:pPr>
      <w:pStyle w:val="Header"/>
    </w:pPr>
    <w:r>
      <w:rPr>
        <w:noProof/>
      </w:rPr>
      <w:pict w14:anchorId="68A6E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4986"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3F977693" w:rsidR="00006A61" w:rsidRPr="00C02553" w:rsidRDefault="00000000">
    <w:pPr>
      <w:pStyle w:val="Header"/>
      <w:rPr>
        <w:rFonts w:ascii="Times New Roman" w:hAnsi="Times New Roman"/>
      </w:rPr>
    </w:pPr>
    <w:r>
      <w:rPr>
        <w:noProof/>
      </w:rPr>
      <w:pict w14:anchorId="46622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4984"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504C3"/>
    <w:multiLevelType w:val="hybridMultilevel"/>
    <w:tmpl w:val="F3FCB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7"/>
  </w:num>
  <w:num w:numId="9" w16cid:durableId="1085147965">
    <w:abstractNumId w:val="11"/>
  </w:num>
  <w:num w:numId="10" w16cid:durableId="917518096">
    <w:abstractNumId w:val="9"/>
  </w:num>
  <w:num w:numId="11" w16cid:durableId="1894998475">
    <w:abstractNumId w:val="1"/>
  </w:num>
  <w:num w:numId="12" w16cid:durableId="1418215296">
    <w:abstractNumId w:val="14"/>
  </w:num>
  <w:num w:numId="13" w16cid:durableId="604729665">
    <w:abstractNumId w:val="5"/>
  </w:num>
  <w:num w:numId="14" w16cid:durableId="1805081292">
    <w:abstractNumId w:val="12"/>
  </w:num>
  <w:num w:numId="15" w16cid:durableId="1911186802">
    <w:abstractNumId w:val="6"/>
  </w:num>
  <w:num w:numId="16" w16cid:durableId="185871051">
    <w:abstractNumId w:val="10"/>
  </w:num>
  <w:num w:numId="17" w16cid:durableId="6916226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457E"/>
    <w:rsid w:val="00006A61"/>
    <w:rsid w:val="000276D9"/>
    <w:rsid w:val="00040AD3"/>
    <w:rsid w:val="00053807"/>
    <w:rsid w:val="000572E5"/>
    <w:rsid w:val="00061541"/>
    <w:rsid w:val="00064162"/>
    <w:rsid w:val="00065C22"/>
    <w:rsid w:val="00074464"/>
    <w:rsid w:val="00076030"/>
    <w:rsid w:val="00082590"/>
    <w:rsid w:val="000913C3"/>
    <w:rsid w:val="000927D1"/>
    <w:rsid w:val="000953B9"/>
    <w:rsid w:val="000A413B"/>
    <w:rsid w:val="000A6279"/>
    <w:rsid w:val="000B496B"/>
    <w:rsid w:val="000C1822"/>
    <w:rsid w:val="000C3940"/>
    <w:rsid w:val="000C5992"/>
    <w:rsid w:val="000E1479"/>
    <w:rsid w:val="000E231E"/>
    <w:rsid w:val="000E247D"/>
    <w:rsid w:val="000E3476"/>
    <w:rsid w:val="000E6B14"/>
    <w:rsid w:val="000E70D8"/>
    <w:rsid w:val="000E7D23"/>
    <w:rsid w:val="001062F6"/>
    <w:rsid w:val="00112FC7"/>
    <w:rsid w:val="001155CC"/>
    <w:rsid w:val="00125F5F"/>
    <w:rsid w:val="00126951"/>
    <w:rsid w:val="00126B60"/>
    <w:rsid w:val="0012715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355F"/>
    <w:rsid w:val="00244A0A"/>
    <w:rsid w:val="00246564"/>
    <w:rsid w:val="00246A3B"/>
    <w:rsid w:val="00250FBF"/>
    <w:rsid w:val="00255404"/>
    <w:rsid w:val="0025594F"/>
    <w:rsid w:val="00270C5E"/>
    <w:rsid w:val="0027795D"/>
    <w:rsid w:val="00290A03"/>
    <w:rsid w:val="0029159A"/>
    <w:rsid w:val="00291600"/>
    <w:rsid w:val="002A02F4"/>
    <w:rsid w:val="002C0E23"/>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0DD4"/>
    <w:rsid w:val="003345D2"/>
    <w:rsid w:val="0033559E"/>
    <w:rsid w:val="003355AC"/>
    <w:rsid w:val="00343D6B"/>
    <w:rsid w:val="00346090"/>
    <w:rsid w:val="00347FB5"/>
    <w:rsid w:val="00355515"/>
    <w:rsid w:val="003608B5"/>
    <w:rsid w:val="003613AF"/>
    <w:rsid w:val="003878C1"/>
    <w:rsid w:val="00394435"/>
    <w:rsid w:val="00396C0B"/>
    <w:rsid w:val="003A630F"/>
    <w:rsid w:val="003B3958"/>
    <w:rsid w:val="003B4820"/>
    <w:rsid w:val="003B5F4B"/>
    <w:rsid w:val="003B682F"/>
    <w:rsid w:val="003C53FC"/>
    <w:rsid w:val="003C7013"/>
    <w:rsid w:val="003C76BC"/>
    <w:rsid w:val="003D4704"/>
    <w:rsid w:val="003D641B"/>
    <w:rsid w:val="003F227C"/>
    <w:rsid w:val="004023CC"/>
    <w:rsid w:val="00403AC0"/>
    <w:rsid w:val="00407564"/>
    <w:rsid w:val="00411152"/>
    <w:rsid w:val="004156AA"/>
    <w:rsid w:val="004253A1"/>
    <w:rsid w:val="004313B6"/>
    <w:rsid w:val="0043305D"/>
    <w:rsid w:val="00433339"/>
    <w:rsid w:val="00442B16"/>
    <w:rsid w:val="00446BBC"/>
    <w:rsid w:val="004472C0"/>
    <w:rsid w:val="00450705"/>
    <w:rsid w:val="00451928"/>
    <w:rsid w:val="0046618B"/>
    <w:rsid w:val="0048608C"/>
    <w:rsid w:val="00496E57"/>
    <w:rsid w:val="004B3E10"/>
    <w:rsid w:val="004C0F5D"/>
    <w:rsid w:val="004C35FC"/>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3650B"/>
    <w:rsid w:val="00537905"/>
    <w:rsid w:val="00540977"/>
    <w:rsid w:val="00540EB4"/>
    <w:rsid w:val="00551668"/>
    <w:rsid w:val="005572D5"/>
    <w:rsid w:val="00566BE4"/>
    <w:rsid w:val="00570D21"/>
    <w:rsid w:val="00576113"/>
    <w:rsid w:val="00590652"/>
    <w:rsid w:val="0059235F"/>
    <w:rsid w:val="00596936"/>
    <w:rsid w:val="005A2F1E"/>
    <w:rsid w:val="005A4232"/>
    <w:rsid w:val="005B6044"/>
    <w:rsid w:val="005C3616"/>
    <w:rsid w:val="005D36B2"/>
    <w:rsid w:val="005D4F0F"/>
    <w:rsid w:val="005D52E7"/>
    <w:rsid w:val="005D78B5"/>
    <w:rsid w:val="005E3572"/>
    <w:rsid w:val="005E45E4"/>
    <w:rsid w:val="005F0A81"/>
    <w:rsid w:val="005F0FCF"/>
    <w:rsid w:val="005F6104"/>
    <w:rsid w:val="0060042F"/>
    <w:rsid w:val="006008BC"/>
    <w:rsid w:val="00602CFD"/>
    <w:rsid w:val="00606B55"/>
    <w:rsid w:val="00612A7B"/>
    <w:rsid w:val="00614B71"/>
    <w:rsid w:val="00616353"/>
    <w:rsid w:val="00616E5E"/>
    <w:rsid w:val="006173A4"/>
    <w:rsid w:val="00617E50"/>
    <w:rsid w:val="006205AD"/>
    <w:rsid w:val="006229A9"/>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0D66"/>
    <w:rsid w:val="006B561D"/>
    <w:rsid w:val="006B6D5D"/>
    <w:rsid w:val="006C7BE1"/>
    <w:rsid w:val="006D2330"/>
    <w:rsid w:val="006E0F8B"/>
    <w:rsid w:val="006E12F7"/>
    <w:rsid w:val="006E29D7"/>
    <w:rsid w:val="006F020E"/>
    <w:rsid w:val="006F278A"/>
    <w:rsid w:val="007068A4"/>
    <w:rsid w:val="00706D67"/>
    <w:rsid w:val="00713052"/>
    <w:rsid w:val="00721367"/>
    <w:rsid w:val="007231FA"/>
    <w:rsid w:val="00732C67"/>
    <w:rsid w:val="00734418"/>
    <w:rsid w:val="007369C3"/>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C710C"/>
    <w:rsid w:val="007D2920"/>
    <w:rsid w:val="007D42DD"/>
    <w:rsid w:val="007E6A37"/>
    <w:rsid w:val="007F1774"/>
    <w:rsid w:val="008013C2"/>
    <w:rsid w:val="008073D8"/>
    <w:rsid w:val="00811A70"/>
    <w:rsid w:val="0081406E"/>
    <w:rsid w:val="00823977"/>
    <w:rsid w:val="00832211"/>
    <w:rsid w:val="008325F4"/>
    <w:rsid w:val="00832AC8"/>
    <w:rsid w:val="00841A52"/>
    <w:rsid w:val="00846FA4"/>
    <w:rsid w:val="008524BA"/>
    <w:rsid w:val="00852B74"/>
    <w:rsid w:val="00856928"/>
    <w:rsid w:val="00865538"/>
    <w:rsid w:val="00870875"/>
    <w:rsid w:val="00880470"/>
    <w:rsid w:val="0088225C"/>
    <w:rsid w:val="00884026"/>
    <w:rsid w:val="00884C78"/>
    <w:rsid w:val="008859E1"/>
    <w:rsid w:val="00896264"/>
    <w:rsid w:val="008A5D88"/>
    <w:rsid w:val="008B2851"/>
    <w:rsid w:val="008C000E"/>
    <w:rsid w:val="008D0F2F"/>
    <w:rsid w:val="008D237F"/>
    <w:rsid w:val="008D3FD8"/>
    <w:rsid w:val="008D6B05"/>
    <w:rsid w:val="008E7D2D"/>
    <w:rsid w:val="008F44C0"/>
    <w:rsid w:val="008F5999"/>
    <w:rsid w:val="00903381"/>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00AC"/>
    <w:rsid w:val="009B1A62"/>
    <w:rsid w:val="009B7FBF"/>
    <w:rsid w:val="009C3CC7"/>
    <w:rsid w:val="009D2057"/>
    <w:rsid w:val="009D3D6C"/>
    <w:rsid w:val="009D5551"/>
    <w:rsid w:val="009D62DB"/>
    <w:rsid w:val="009E3B42"/>
    <w:rsid w:val="009F518A"/>
    <w:rsid w:val="00A05B60"/>
    <w:rsid w:val="00A13266"/>
    <w:rsid w:val="00A14FA6"/>
    <w:rsid w:val="00A15D64"/>
    <w:rsid w:val="00A20575"/>
    <w:rsid w:val="00A249D7"/>
    <w:rsid w:val="00A32452"/>
    <w:rsid w:val="00A32BBF"/>
    <w:rsid w:val="00A336CF"/>
    <w:rsid w:val="00A37444"/>
    <w:rsid w:val="00A4281A"/>
    <w:rsid w:val="00A459CF"/>
    <w:rsid w:val="00A5014D"/>
    <w:rsid w:val="00A53E96"/>
    <w:rsid w:val="00A56F18"/>
    <w:rsid w:val="00A628F8"/>
    <w:rsid w:val="00A62BAA"/>
    <w:rsid w:val="00A66172"/>
    <w:rsid w:val="00A744C3"/>
    <w:rsid w:val="00A9746A"/>
    <w:rsid w:val="00AA70AB"/>
    <w:rsid w:val="00AB0B9F"/>
    <w:rsid w:val="00AB1713"/>
    <w:rsid w:val="00AB63BE"/>
    <w:rsid w:val="00AB7CE6"/>
    <w:rsid w:val="00AC1EBC"/>
    <w:rsid w:val="00AC2599"/>
    <w:rsid w:val="00AC2DE9"/>
    <w:rsid w:val="00AD2C5F"/>
    <w:rsid w:val="00AE0C26"/>
    <w:rsid w:val="00AE1481"/>
    <w:rsid w:val="00AE27F9"/>
    <w:rsid w:val="00AE77DB"/>
    <w:rsid w:val="00AF7453"/>
    <w:rsid w:val="00B00FFF"/>
    <w:rsid w:val="00B02F48"/>
    <w:rsid w:val="00B06084"/>
    <w:rsid w:val="00B16735"/>
    <w:rsid w:val="00B17EDE"/>
    <w:rsid w:val="00B2011B"/>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BC2"/>
    <w:rsid w:val="00BA1C17"/>
    <w:rsid w:val="00BA1D65"/>
    <w:rsid w:val="00BA7075"/>
    <w:rsid w:val="00BB3B4D"/>
    <w:rsid w:val="00BC351E"/>
    <w:rsid w:val="00BC3F77"/>
    <w:rsid w:val="00BC5635"/>
    <w:rsid w:val="00BC5675"/>
    <w:rsid w:val="00BD081C"/>
    <w:rsid w:val="00BD277B"/>
    <w:rsid w:val="00BD47CA"/>
    <w:rsid w:val="00BD62C7"/>
    <w:rsid w:val="00BE020D"/>
    <w:rsid w:val="00BE354A"/>
    <w:rsid w:val="00BF5EEF"/>
    <w:rsid w:val="00BF6CCB"/>
    <w:rsid w:val="00C02553"/>
    <w:rsid w:val="00C04EB6"/>
    <w:rsid w:val="00C056F9"/>
    <w:rsid w:val="00C07A7B"/>
    <w:rsid w:val="00C1018C"/>
    <w:rsid w:val="00C1150E"/>
    <w:rsid w:val="00C14D52"/>
    <w:rsid w:val="00C2586C"/>
    <w:rsid w:val="00C26001"/>
    <w:rsid w:val="00C34E72"/>
    <w:rsid w:val="00C56B1F"/>
    <w:rsid w:val="00C60624"/>
    <w:rsid w:val="00C61B52"/>
    <w:rsid w:val="00C62745"/>
    <w:rsid w:val="00C654CA"/>
    <w:rsid w:val="00C763BD"/>
    <w:rsid w:val="00C779A8"/>
    <w:rsid w:val="00C82E19"/>
    <w:rsid w:val="00C96873"/>
    <w:rsid w:val="00CA1735"/>
    <w:rsid w:val="00CA3C4B"/>
    <w:rsid w:val="00CA5D93"/>
    <w:rsid w:val="00CA7252"/>
    <w:rsid w:val="00CB2C5A"/>
    <w:rsid w:val="00CD5A7F"/>
    <w:rsid w:val="00CE0C1C"/>
    <w:rsid w:val="00CE34AF"/>
    <w:rsid w:val="00CE38CD"/>
    <w:rsid w:val="00CF00A4"/>
    <w:rsid w:val="00CF25FB"/>
    <w:rsid w:val="00CF614C"/>
    <w:rsid w:val="00D02F34"/>
    <w:rsid w:val="00D11F0E"/>
    <w:rsid w:val="00D122DC"/>
    <w:rsid w:val="00D13D87"/>
    <w:rsid w:val="00D16590"/>
    <w:rsid w:val="00D20720"/>
    <w:rsid w:val="00D232D9"/>
    <w:rsid w:val="00D250D9"/>
    <w:rsid w:val="00D27533"/>
    <w:rsid w:val="00D42DA3"/>
    <w:rsid w:val="00D4546D"/>
    <w:rsid w:val="00D47996"/>
    <w:rsid w:val="00D61118"/>
    <w:rsid w:val="00D614F1"/>
    <w:rsid w:val="00D70D50"/>
    <w:rsid w:val="00D71917"/>
    <w:rsid w:val="00D72801"/>
    <w:rsid w:val="00DA3A0F"/>
    <w:rsid w:val="00DA4E62"/>
    <w:rsid w:val="00DA6990"/>
    <w:rsid w:val="00DB27BA"/>
    <w:rsid w:val="00DB337A"/>
    <w:rsid w:val="00DC034A"/>
    <w:rsid w:val="00DC51CB"/>
    <w:rsid w:val="00DD4819"/>
    <w:rsid w:val="00DD4B8A"/>
    <w:rsid w:val="00DD5403"/>
    <w:rsid w:val="00DE1388"/>
    <w:rsid w:val="00DE7501"/>
    <w:rsid w:val="00DF3146"/>
    <w:rsid w:val="00DF57C3"/>
    <w:rsid w:val="00DF76BD"/>
    <w:rsid w:val="00E008D9"/>
    <w:rsid w:val="00E02FE0"/>
    <w:rsid w:val="00E07ABE"/>
    <w:rsid w:val="00E11A3F"/>
    <w:rsid w:val="00E1386E"/>
    <w:rsid w:val="00E2369B"/>
    <w:rsid w:val="00E23EC0"/>
    <w:rsid w:val="00E2492E"/>
    <w:rsid w:val="00E354AA"/>
    <w:rsid w:val="00E400FE"/>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42E"/>
    <w:rsid w:val="00EF6F8B"/>
    <w:rsid w:val="00F03898"/>
    <w:rsid w:val="00F1527A"/>
    <w:rsid w:val="00F2696B"/>
    <w:rsid w:val="00F27821"/>
    <w:rsid w:val="00F307E6"/>
    <w:rsid w:val="00F31844"/>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33CA"/>
    <w:rsid w:val="00FB5E96"/>
    <w:rsid w:val="00FC05A0"/>
    <w:rsid w:val="00FC6758"/>
    <w:rsid w:val="00FD34EA"/>
    <w:rsid w:val="00FE3F3E"/>
    <w:rsid w:val="00FE4D52"/>
    <w:rsid w:val="00FE5AEE"/>
    <w:rsid w:val="00FF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customStyle="1" w:styleId="CommentTextChar">
    <w:name w:val="Comment Text Char"/>
    <w:basedOn w:val="DefaultParagraphFont"/>
    <w:link w:val="CommentText"/>
    <w:semiHidden/>
    <w:rsid w:val="0027795D"/>
    <w:rPr>
      <w:rFonts w:ascii="Arial" w:hAnsi="Arial"/>
    </w:rPr>
  </w:style>
  <w:style w:type="paragraph" w:styleId="Revision">
    <w:name w:val="Revision"/>
    <w:hidden/>
    <w:uiPriority w:val="99"/>
    <w:semiHidden/>
    <w:rsid w:val="004C35FC"/>
    <w:rPr>
      <w:rFonts w:ascii="Arial" w:hAnsi="Arial"/>
      <w:szCs w:val="24"/>
    </w:rPr>
  </w:style>
  <w:style w:type="character" w:styleId="CommentReference">
    <w:name w:val="annotation reference"/>
    <w:basedOn w:val="DefaultParagraphFont"/>
    <w:uiPriority w:val="99"/>
    <w:semiHidden/>
    <w:unhideWhenUsed/>
    <w:rsid w:val="000E3476"/>
    <w:rPr>
      <w:sz w:val="16"/>
      <w:szCs w:val="16"/>
    </w:rPr>
  </w:style>
  <w:style w:type="paragraph" w:styleId="CommentSubject">
    <w:name w:val="annotation subject"/>
    <w:basedOn w:val="CommentText"/>
    <w:next w:val="CommentText"/>
    <w:link w:val="CommentSubjectChar"/>
    <w:uiPriority w:val="99"/>
    <w:semiHidden/>
    <w:unhideWhenUsed/>
    <w:rsid w:val="000E3476"/>
    <w:rPr>
      <w:b/>
      <w:bCs/>
    </w:rPr>
  </w:style>
  <w:style w:type="character" w:customStyle="1" w:styleId="CommentSubjectChar">
    <w:name w:val="Comment Subject Char"/>
    <w:basedOn w:val="CommentTextChar"/>
    <w:link w:val="CommentSubject"/>
    <w:uiPriority w:val="99"/>
    <w:semiHidden/>
    <w:rsid w:val="000E347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3.xml><?xml version="1.0" encoding="utf-8"?>
<ds:datastoreItem xmlns:ds="http://schemas.openxmlformats.org/officeDocument/2006/customXml" ds:itemID="{972D40D8-AE12-44CF-91D6-D468F5C81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206</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2844</CharactersWithSpaces>
  <SharedDoc>false</SharedDoc>
  <HLinks>
    <vt:vector size="18" baseType="variant">
      <vt:variant>
        <vt:i4>6488114</vt:i4>
      </vt:variant>
      <vt:variant>
        <vt:i4>16</vt:i4>
      </vt:variant>
      <vt:variant>
        <vt:i4>0</vt:i4>
      </vt:variant>
      <vt:variant>
        <vt:i4>5</vt:i4>
      </vt:variant>
      <vt:variant>
        <vt:lpwstr>http://www.botox.com/site/</vt:lpwstr>
      </vt:variant>
      <vt:variant>
        <vt:lpwstr/>
      </vt:variant>
      <vt:variant>
        <vt:i4>4259940</vt:i4>
      </vt:variant>
      <vt:variant>
        <vt:i4>5011</vt:i4>
      </vt:variant>
      <vt:variant>
        <vt:i4>1025</vt:i4>
      </vt:variant>
      <vt:variant>
        <vt:i4>1</vt:i4>
      </vt:variant>
      <vt:variant>
        <vt:lpwstr>M:\PROPOSAL\MARKET\GRAPHICS\H_LOGOS\LOGO_BLU.JPG</vt:lpwstr>
      </vt:variant>
      <vt:variant>
        <vt:lpwstr/>
      </vt:variant>
      <vt:variant>
        <vt:i4>1572892</vt:i4>
      </vt:variant>
      <vt:variant>
        <vt:i4>-1</vt:i4>
      </vt:variant>
      <vt:variant>
        <vt:i4>2049</vt:i4>
      </vt:variant>
      <vt:variant>
        <vt:i4>1</vt:i4>
      </vt:variant>
      <vt:variant>
        <vt:lpwstr>C:\Program Files\Microsoft Office\Clipart\Hislogo.gif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Journavx Clinical Edit</dc:title>
  <dc:creator>DMS</dc:creator>
  <cp:lastModifiedBy>Morsches, Phuonglinh</cp:lastModifiedBy>
  <cp:revision>49</cp:revision>
  <cp:lastPrinted>2018-10-31T20:17:00Z</cp:lastPrinted>
  <dcterms:created xsi:type="dcterms:W3CDTF">2025-11-19T16:46:00Z</dcterms:created>
  <dcterms:modified xsi:type="dcterms:W3CDTF">2025-12-17T03:57:00Z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