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80D1CE4" w:rsidR="004C5767" w:rsidRPr="008859E1" w:rsidRDefault="004C5767" w:rsidP="00D27533">
      <w:pPr>
        <w:pStyle w:val="tbody"/>
        <w:rPr>
          <w:b w:val="0"/>
          <w:bCs/>
        </w:rPr>
      </w:pPr>
      <w:r w:rsidRPr="00C02553">
        <w:t>Drug/Drug Class:</w:t>
      </w:r>
      <w:r w:rsidR="00AE6A7A" w:rsidRPr="00AE6A7A">
        <w:t xml:space="preserve"> </w:t>
      </w:r>
      <w:r w:rsidR="00AE6A7A" w:rsidRPr="00AE6A7A">
        <w:rPr>
          <w:b w:val="0"/>
          <w:bCs/>
        </w:rPr>
        <w:t>High Risk Therapies Clinical Edit</w:t>
      </w:r>
      <w:r w:rsidR="003B4820">
        <w:t xml:space="preserve"> </w:t>
      </w:r>
    </w:p>
    <w:p w14:paraId="7AD7FFCE" w14:textId="72B65BFE" w:rsidR="004C5767" w:rsidRPr="00C02553" w:rsidRDefault="004C5767" w:rsidP="00D27533">
      <w:pPr>
        <w:pStyle w:val="tbody"/>
      </w:pPr>
      <w:r w:rsidRPr="00C02553">
        <w:t xml:space="preserve">First Implementation Date: </w:t>
      </w:r>
      <w:r w:rsidR="00AE6A7A" w:rsidRPr="00AE6A7A">
        <w:rPr>
          <w:b w:val="0"/>
          <w:bCs/>
        </w:rPr>
        <w:t>April 15, 2021</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5940052" w:rsidR="004C5767" w:rsidRPr="00D27533" w:rsidRDefault="004C5767" w:rsidP="00D27533">
      <w:pPr>
        <w:pStyle w:val="tbody"/>
        <w:rPr>
          <w:b w:val="0"/>
          <w:bCs/>
          <w:spacing w:val="-3"/>
        </w:rPr>
      </w:pPr>
      <w:r w:rsidRPr="00C02553">
        <w:t xml:space="preserve">Criteria Status: </w:t>
      </w:r>
      <w:r w:rsidR="00566BE4" w:rsidRPr="00F2766C">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27719DD6" w:rsidR="00B33693" w:rsidRPr="00696E3A" w:rsidRDefault="00E23EC0" w:rsidP="00696E3A">
      <w:pPr>
        <w:rPr>
          <w:b/>
          <w:bCs/>
        </w:rPr>
      </w:pPr>
      <w:r w:rsidRPr="00696E3A">
        <w:rPr>
          <w:b/>
          <w:bCs/>
        </w:rPr>
        <w:t>Purpose:</w:t>
      </w:r>
      <w:r w:rsidR="00290A03" w:rsidRPr="00696E3A">
        <w:rPr>
          <w:b/>
          <w:bCs/>
        </w:rPr>
        <w:t xml:space="preserve"> </w:t>
      </w:r>
      <w:r w:rsidR="00AE6A7A" w:rsidRPr="00AE6A7A">
        <w:t>Ensure the presence of opioid emergency reversal agents in high</w:t>
      </w:r>
      <w:r w:rsidR="00AE6A7A">
        <w:t xml:space="preserve"> </w:t>
      </w:r>
      <w:r w:rsidR="00AE6A7A" w:rsidRPr="00AE6A7A">
        <w:t>risk medication therapies</w:t>
      </w:r>
    </w:p>
    <w:p w14:paraId="2320C114" w14:textId="4452B466" w:rsidR="00E23EC0" w:rsidRPr="002C2C41" w:rsidRDefault="00E23EC0" w:rsidP="00696E3A">
      <w:pPr>
        <w:rPr>
          <w:rFonts w:cs="Arial"/>
          <w:szCs w:val="20"/>
        </w:rPr>
      </w:pPr>
      <w:r w:rsidRPr="00C02553">
        <w:tab/>
      </w:r>
    </w:p>
    <w:p w14:paraId="7961CECC" w14:textId="4CC0E3DF" w:rsidR="00AE6A7A" w:rsidRPr="00AE6A7A" w:rsidRDefault="00E23EC0" w:rsidP="00AE6A7A">
      <w:r w:rsidRPr="00696E3A">
        <w:rPr>
          <w:b/>
          <w:bCs/>
        </w:rPr>
        <w:t>Why Issue Selected:</w:t>
      </w:r>
      <w:r w:rsidR="00AE6A7A">
        <w:rPr>
          <w:b/>
          <w:bCs/>
        </w:rPr>
        <w:t xml:space="preserve"> </w:t>
      </w:r>
      <w:r w:rsidR="00AE6A7A" w:rsidRPr="00AE6A7A">
        <w:t xml:space="preserve">With the implementation of the Substance Use-Disorder Prevention that Promotes Opioid Recovery and Treatment for Patients and Communities (SUPPORT) Act, state Medicaid programs have new requirements regarding prescription drug utilization reviews. MO HealthNet is introducing new processes to monitor concurrent prescribing of opioids, benzodiazepines, and antipsychotics to meet the above requirements. </w:t>
      </w:r>
    </w:p>
    <w:p w14:paraId="38476C6F" w14:textId="77777777" w:rsidR="00AE6A7A" w:rsidRPr="00AE6A7A" w:rsidRDefault="00AE6A7A" w:rsidP="00AE6A7A"/>
    <w:p w14:paraId="2717AFC6" w14:textId="20CD86D0" w:rsidR="00AE6A7A" w:rsidRPr="00AE6A7A" w:rsidRDefault="00AE6A7A" w:rsidP="00AE6A7A">
      <w:r w:rsidRPr="00AE6A7A">
        <w:t xml:space="preserve">The combination of opioids and CNS depressants (i.e., benzodiazepines, sedative hypnotics, and gabapentinoids) is considered a high risk therapy as both may cause sedation, impaired cognitive function, and respiratory depression potentially leading to an overdose fatality.  Unfortunately, many patients are still prescribed these high risk therapy combinations. The most current CDC 2022 Clinical Practice Guideline for Prescribing Opioids for Pain recommend avoiding the prescribing of benzodiazepines concurrently with opioids whenever possible. Also, both opioids and benzodiazepine prescription products now carry a boxed warning from the FDA highlighting the danger of using these agents together. In 2019, the FDA also added a boxed warning to gabapentinoid agents on the risk of respiratory depression when used alone or with opioids. Recently, several studies have pointed to an increased risk of overdose when combining non-benzodiazepine sedative hypnotics with opioid therapy, especially the “z-drugs” zolpidem, zaleplon, and eszopiclone. </w:t>
      </w:r>
    </w:p>
    <w:p w14:paraId="52BF036A" w14:textId="77777777" w:rsidR="00AE6A7A" w:rsidRPr="00AE6A7A" w:rsidRDefault="00AE6A7A" w:rsidP="00AE6A7A"/>
    <w:p w14:paraId="3A9BE506" w14:textId="5D28FED8" w:rsidR="00E23EC0" w:rsidRPr="00AE6A7A" w:rsidRDefault="00AE6A7A" w:rsidP="00AE6A7A">
      <w:r w:rsidRPr="00AE6A7A">
        <w:t xml:space="preserve">Naloxone is an opioid antagonist indicated for the emergency treatment of known or suspected opioid overdose, as manifested by respiratory and/or central nervous system depression. Pharmacists in Missouri are able to dispense naloxone according to protocol upon request or upon presentation of a valid prescription. A statewide Standing Order issued by the Missouri Department of Health and Senior Services is available at </w:t>
      </w:r>
      <w:hyperlink r:id="rId11" w:history="1">
        <w:r w:rsidRPr="0095353A">
          <w:rPr>
            <w:rStyle w:val="Hyperlink"/>
          </w:rPr>
          <w:t>https://health.mo.gov/data/opioids/pdf/naloxone-standing-order.pdf</w:t>
        </w:r>
        <w:r w:rsidR="006E39E8" w:rsidRPr="0095353A">
          <w:rPr>
            <w:rStyle w:val="Hyperlink"/>
          </w:rPr>
          <w:t>.</w:t>
        </w:r>
      </w:hyperlink>
      <w:r w:rsidRPr="00AE6A7A">
        <w:t xml:space="preserve"> As part of the efforts to protect participants from the possible adverse effects of combining opioid and CNS depressant medications, MO HealthNet will impose clinical criteria to require the presence of an opioid emergency reversal agent, such as naloxone, when these agents are used concomitantly.  </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63BACD8" w:rsidR="0097028A" w:rsidRPr="0079438F" w:rsidRDefault="0097028A" w:rsidP="00696E3A">
      <w:pPr>
        <w:rPr>
          <w:b/>
        </w:rPr>
      </w:pPr>
      <w:r w:rsidRPr="00696E3A">
        <w:rPr>
          <w:b/>
          <w:bCs/>
        </w:rPr>
        <w:t>Drug class for review:</w:t>
      </w:r>
      <w:r w:rsidRPr="00C02553">
        <w:t xml:space="preserve"> </w:t>
      </w:r>
      <w:r w:rsidR="00AE6A7A" w:rsidRPr="00AE6A7A">
        <w:t>High risk medication therapies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0BE7733D" w14:textId="77777777" w:rsidR="00AE6A7A" w:rsidRPr="00AE6A7A" w:rsidRDefault="00AE6A7A" w:rsidP="00AE6A7A">
      <w:pPr>
        <w:numPr>
          <w:ilvl w:val="0"/>
          <w:numId w:val="16"/>
        </w:numPr>
        <w:contextualSpacing/>
        <w:rPr>
          <w:rFonts w:cs="Arial"/>
          <w:bCs/>
          <w:szCs w:val="20"/>
        </w:rPr>
      </w:pPr>
      <w:r w:rsidRPr="00AE6A7A">
        <w:rPr>
          <w:rFonts w:cs="Arial"/>
          <w:bCs/>
          <w:szCs w:val="20"/>
        </w:rPr>
        <w:t>Must meet one of the following:</w:t>
      </w:r>
    </w:p>
    <w:p w14:paraId="493C9CD6" w14:textId="77777777" w:rsidR="00AE6A7A" w:rsidRPr="00AE6A7A" w:rsidRDefault="00AE6A7A" w:rsidP="00AE6A7A">
      <w:pPr>
        <w:numPr>
          <w:ilvl w:val="1"/>
          <w:numId w:val="16"/>
        </w:numPr>
        <w:contextualSpacing/>
        <w:rPr>
          <w:rFonts w:cs="Arial"/>
          <w:bCs/>
          <w:szCs w:val="20"/>
        </w:rPr>
      </w:pPr>
      <w:r w:rsidRPr="00AE6A7A">
        <w:rPr>
          <w:rFonts w:cs="Arial"/>
          <w:bCs/>
          <w:szCs w:val="20"/>
        </w:rPr>
        <w:t xml:space="preserve">Participant currently resides in a nursing facility; </w:t>
      </w:r>
      <w:r w:rsidRPr="00AE6A7A">
        <w:rPr>
          <w:rFonts w:cs="Arial"/>
          <w:b/>
          <w:szCs w:val="20"/>
        </w:rPr>
        <w:t>OR</w:t>
      </w:r>
      <w:r w:rsidRPr="00AE6A7A">
        <w:rPr>
          <w:rFonts w:cs="Arial"/>
          <w:bCs/>
          <w:szCs w:val="20"/>
        </w:rPr>
        <w:t xml:space="preserve"> </w:t>
      </w:r>
    </w:p>
    <w:p w14:paraId="3559A7FE" w14:textId="77777777" w:rsidR="00AE6A7A" w:rsidRPr="00AE6A7A" w:rsidRDefault="00AE6A7A" w:rsidP="00AE6A7A">
      <w:pPr>
        <w:numPr>
          <w:ilvl w:val="1"/>
          <w:numId w:val="16"/>
        </w:numPr>
        <w:contextualSpacing/>
        <w:rPr>
          <w:rFonts w:cs="Arial"/>
          <w:bCs/>
          <w:szCs w:val="20"/>
        </w:rPr>
      </w:pPr>
      <w:r w:rsidRPr="00AE6A7A">
        <w:rPr>
          <w:rFonts w:cs="Arial"/>
          <w:bCs/>
          <w:szCs w:val="20"/>
        </w:rPr>
        <w:t>Participant has documented history of at least 1 claim for an opioid emergency reversal agent in the past 2 years.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43808869" w14:textId="77777777" w:rsidR="00AE6A7A" w:rsidRPr="00AE6A7A" w:rsidRDefault="00AE6A7A" w:rsidP="00AE6A7A">
      <w:pPr>
        <w:numPr>
          <w:ilvl w:val="0"/>
          <w:numId w:val="17"/>
        </w:numPr>
        <w:contextualSpacing/>
        <w:rPr>
          <w:rFonts w:cs="Arial"/>
          <w:noProof/>
          <w:szCs w:val="20"/>
        </w:rPr>
      </w:pPr>
      <w:bookmarkStart w:id="1" w:name="_Hlk47597237"/>
      <w:r w:rsidRPr="00AE6A7A">
        <w:rPr>
          <w:rFonts w:cs="Arial"/>
          <w:noProof/>
          <w:szCs w:val="20"/>
        </w:rPr>
        <w:t>Therapy will deny with presence of one of the following:</w:t>
      </w:r>
    </w:p>
    <w:p w14:paraId="34FE0FBE" w14:textId="77777777" w:rsidR="00AE6A7A" w:rsidRPr="00AE6A7A" w:rsidRDefault="00AE6A7A" w:rsidP="00AE6A7A">
      <w:pPr>
        <w:numPr>
          <w:ilvl w:val="1"/>
          <w:numId w:val="17"/>
        </w:numPr>
        <w:contextualSpacing/>
        <w:rPr>
          <w:rFonts w:cs="Arial"/>
          <w:noProof/>
          <w:szCs w:val="20"/>
        </w:rPr>
      </w:pPr>
      <w:r w:rsidRPr="00AE6A7A">
        <w:rPr>
          <w:rFonts w:cs="Arial"/>
          <w:noProof/>
          <w:szCs w:val="20"/>
        </w:rPr>
        <w:t>Any approval criteria are not met;</w:t>
      </w:r>
    </w:p>
    <w:p w14:paraId="11AEBF92" w14:textId="77777777" w:rsidR="00AE6A7A" w:rsidRPr="00AE6A7A" w:rsidRDefault="00AE6A7A" w:rsidP="00AE6A7A">
      <w:pPr>
        <w:numPr>
          <w:ilvl w:val="1"/>
          <w:numId w:val="17"/>
        </w:numPr>
        <w:contextualSpacing/>
        <w:rPr>
          <w:rFonts w:cs="Arial"/>
          <w:noProof/>
          <w:szCs w:val="20"/>
        </w:rPr>
      </w:pPr>
      <w:r w:rsidRPr="00AE6A7A">
        <w:rPr>
          <w:rFonts w:cs="Arial"/>
          <w:noProof/>
          <w:szCs w:val="20"/>
        </w:rPr>
        <w:t>Claim is for an opioid (excluding buprenorphine tablets and buprenorphine/naloxone combinations), participant lacks history of at least 1 claim for an opioid emergency reversal agent in the past 2 years, and presence one of the following:</w:t>
      </w:r>
    </w:p>
    <w:p w14:paraId="77F80BD1" w14:textId="77777777" w:rsidR="00AE6A7A" w:rsidRPr="00AE6A7A" w:rsidRDefault="00AE6A7A" w:rsidP="00AE6A7A">
      <w:pPr>
        <w:numPr>
          <w:ilvl w:val="2"/>
          <w:numId w:val="17"/>
        </w:numPr>
        <w:contextualSpacing/>
        <w:rPr>
          <w:rFonts w:cs="Arial"/>
          <w:noProof/>
          <w:szCs w:val="20"/>
        </w:rPr>
      </w:pPr>
      <w:r w:rsidRPr="00AE6A7A">
        <w:rPr>
          <w:rFonts w:cs="Arial"/>
          <w:noProof/>
          <w:szCs w:val="20"/>
        </w:rPr>
        <w:t xml:space="preserve">Participant has history of &gt; 3 days of oral benzodiazepine therapy in the past 60 days; </w:t>
      </w:r>
    </w:p>
    <w:p w14:paraId="01EA5195" w14:textId="77777777" w:rsidR="00AE6A7A" w:rsidRPr="00AE6A7A" w:rsidRDefault="00AE6A7A" w:rsidP="00AE6A7A">
      <w:pPr>
        <w:numPr>
          <w:ilvl w:val="2"/>
          <w:numId w:val="17"/>
        </w:numPr>
        <w:contextualSpacing/>
        <w:rPr>
          <w:rFonts w:cs="Arial"/>
          <w:noProof/>
          <w:szCs w:val="20"/>
        </w:rPr>
      </w:pPr>
      <w:r w:rsidRPr="00AE6A7A">
        <w:rPr>
          <w:rFonts w:cs="Arial"/>
          <w:noProof/>
          <w:szCs w:val="20"/>
        </w:rPr>
        <w:t xml:space="preserve">Participant has history of &gt; 3 days of select sedative hypnotic therapy (eszopiclone, zaleplon, or zolpidem) in the past 60 days; </w:t>
      </w:r>
      <w:r w:rsidRPr="00AE6A7A">
        <w:rPr>
          <w:rFonts w:cs="Arial"/>
          <w:b/>
          <w:bCs/>
          <w:noProof/>
          <w:szCs w:val="20"/>
        </w:rPr>
        <w:t>OR</w:t>
      </w:r>
    </w:p>
    <w:p w14:paraId="15486FF6" w14:textId="77777777" w:rsidR="00AE6A7A" w:rsidRPr="00AE6A7A" w:rsidRDefault="00AE6A7A" w:rsidP="00AE6A7A">
      <w:pPr>
        <w:numPr>
          <w:ilvl w:val="2"/>
          <w:numId w:val="17"/>
        </w:numPr>
        <w:contextualSpacing/>
        <w:rPr>
          <w:rFonts w:cs="Arial"/>
          <w:noProof/>
          <w:szCs w:val="20"/>
        </w:rPr>
      </w:pPr>
      <w:r w:rsidRPr="00AE6A7A">
        <w:rPr>
          <w:rFonts w:cs="Arial"/>
          <w:noProof/>
          <w:szCs w:val="20"/>
        </w:rPr>
        <w:t xml:space="preserve">Participant has history of &gt; 3 days of gabapentinoid therapy (gabapentin or pregabalin) in the past 60 days; </w:t>
      </w:r>
      <w:r w:rsidRPr="00AE6A7A">
        <w:rPr>
          <w:rFonts w:cs="Arial"/>
          <w:b/>
          <w:bCs/>
          <w:noProof/>
          <w:szCs w:val="20"/>
        </w:rPr>
        <w:t>OR</w:t>
      </w:r>
    </w:p>
    <w:p w14:paraId="16FBF801" w14:textId="77777777" w:rsidR="00AE6A7A" w:rsidRPr="00AE6A7A" w:rsidRDefault="00AE6A7A" w:rsidP="00AE6A7A">
      <w:pPr>
        <w:numPr>
          <w:ilvl w:val="1"/>
          <w:numId w:val="17"/>
        </w:numPr>
        <w:contextualSpacing/>
        <w:rPr>
          <w:rFonts w:cs="Arial"/>
          <w:noProof/>
          <w:szCs w:val="20"/>
        </w:rPr>
      </w:pPr>
      <w:r w:rsidRPr="00AE6A7A">
        <w:rPr>
          <w:rFonts w:cs="Arial"/>
          <w:noProof/>
          <w:szCs w:val="20"/>
        </w:rPr>
        <w:t>Claim is for an oral benzodiazepine, a select sedative hypnotic (eszopiclone, zaleplon, or zolpidem), or a gabapentinoid (gabapentin or pregabalin), and presence of all of the following:</w:t>
      </w:r>
    </w:p>
    <w:p w14:paraId="5B65FB5B" w14:textId="77777777" w:rsidR="00AE6A7A" w:rsidRPr="00AE6A7A" w:rsidRDefault="00AE6A7A" w:rsidP="00AE6A7A">
      <w:pPr>
        <w:numPr>
          <w:ilvl w:val="2"/>
          <w:numId w:val="17"/>
        </w:numPr>
        <w:tabs>
          <w:tab w:val="left" w:pos="720"/>
        </w:tabs>
        <w:contextualSpacing/>
        <w:rPr>
          <w:rFonts w:cs="Arial"/>
          <w:noProof/>
          <w:szCs w:val="20"/>
        </w:rPr>
      </w:pPr>
      <w:r w:rsidRPr="00AE6A7A">
        <w:rPr>
          <w:rFonts w:cs="Arial"/>
          <w:noProof/>
          <w:szCs w:val="20"/>
        </w:rPr>
        <w:t xml:space="preserve">Participant has history of &gt; 7 days of opioid therapy (excluding buprenorphine tablets and buprenorphine/naloxone combinations) in the past 60 days; </w:t>
      </w:r>
      <w:r w:rsidRPr="00AE6A7A">
        <w:rPr>
          <w:rFonts w:cs="Arial"/>
          <w:b/>
          <w:bCs/>
          <w:noProof/>
          <w:szCs w:val="20"/>
        </w:rPr>
        <w:t>AND</w:t>
      </w:r>
    </w:p>
    <w:p w14:paraId="7268A65A" w14:textId="77777777" w:rsidR="00AE6A7A" w:rsidRPr="00AE6A7A" w:rsidRDefault="00AE6A7A" w:rsidP="00AE6A7A">
      <w:pPr>
        <w:numPr>
          <w:ilvl w:val="2"/>
          <w:numId w:val="17"/>
        </w:numPr>
        <w:tabs>
          <w:tab w:val="left" w:pos="720"/>
        </w:tabs>
        <w:contextualSpacing/>
        <w:rPr>
          <w:rFonts w:cs="Arial"/>
          <w:noProof/>
          <w:szCs w:val="20"/>
        </w:rPr>
      </w:pPr>
      <w:r w:rsidRPr="00AE6A7A">
        <w:rPr>
          <w:rFonts w:cs="Arial"/>
          <w:noProof/>
          <w:szCs w:val="20"/>
        </w:rPr>
        <w:t>Participant lacks history of at least 1 claim for an opioid emergency reversal agent in the past 2 years.</w:t>
      </w:r>
    </w:p>
    <w:bookmarkEnd w:id="1"/>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3E708DA2" w:rsidR="005F6104" w:rsidRPr="00C02553" w:rsidRDefault="005F6104" w:rsidP="005F6104">
      <w:r w:rsidRPr="00696E3A">
        <w:rPr>
          <w:b/>
          <w:bCs/>
        </w:rPr>
        <w:t>Denial:</w:t>
      </w:r>
      <w:r w:rsidRPr="00C02553">
        <w:t xml:space="preserve"> </w:t>
      </w:r>
      <w:r w:rsidR="00AE6A7A" w:rsidRPr="00AE6A7A">
        <w:t>Exception code “1014” (High Risk Combination Edit)</w:t>
      </w:r>
    </w:p>
    <w:p w14:paraId="04B2330F" w14:textId="22FC2658" w:rsidR="005F6104" w:rsidRPr="00C02553" w:rsidRDefault="005F6104" w:rsidP="005F6104">
      <w:r w:rsidRPr="00696E3A">
        <w:rPr>
          <w:b/>
          <w:bCs/>
        </w:rPr>
        <w:t>Rule Type:</w:t>
      </w:r>
      <w:r w:rsidRPr="00C02553">
        <w:t xml:space="preserve"> </w:t>
      </w:r>
      <w:r w:rsidR="00AE6A7A">
        <w:t>PD</w:t>
      </w:r>
    </w:p>
    <w:p w14:paraId="5D43D3D3" w14:textId="6414F625" w:rsidR="00343D6B" w:rsidRPr="00C02553" w:rsidRDefault="00343D6B" w:rsidP="00696E3A">
      <w:r w:rsidRPr="00696E3A">
        <w:rPr>
          <w:b/>
          <w:bCs/>
        </w:rPr>
        <w:t>Default Approval Period:</w:t>
      </w:r>
      <w:r w:rsidR="00973BD6">
        <w:t xml:space="preserve"> </w:t>
      </w:r>
      <w:r w:rsidR="00AE6A7A">
        <w:t>7 days</w:t>
      </w:r>
    </w:p>
    <w:p w14:paraId="6649BF8C" w14:textId="77777777" w:rsidR="00343D6B" w:rsidRPr="002C2C41" w:rsidRDefault="00343D6B" w:rsidP="00343D6B">
      <w:pPr>
        <w:rPr>
          <w:rFonts w:cs="Arial"/>
          <w:szCs w:val="20"/>
        </w:rPr>
      </w:pPr>
    </w:p>
    <w:bookmarkEnd w:id="2"/>
    <w:p w14:paraId="6413C0CF" w14:textId="0E5B3E93" w:rsidR="00AE77DB" w:rsidRPr="00C02553" w:rsidRDefault="00AE77DB" w:rsidP="00343D6B">
      <w:pPr>
        <w:pStyle w:val="Heading1"/>
        <w:rPr>
          <w:lang w:val="en-US"/>
        </w:rPr>
      </w:pPr>
      <w:r w:rsidRPr="00C02553">
        <w:rPr>
          <w:lang w:val="en-US"/>
        </w:rPr>
        <w:t>References</w:t>
      </w:r>
    </w:p>
    <w:p w14:paraId="36E2602E" w14:textId="0B408AB5" w:rsidR="00AE6A7A" w:rsidRPr="00AE6A7A" w:rsidRDefault="00AE6A7A" w:rsidP="00AE6A7A">
      <w:pPr>
        <w:numPr>
          <w:ilvl w:val="0"/>
          <w:numId w:val="18"/>
        </w:numPr>
        <w:rPr>
          <w:rFonts w:cs="Arial"/>
          <w:bCs/>
          <w:szCs w:val="20"/>
        </w:rPr>
      </w:pPr>
      <w:r w:rsidRPr="00AE6A7A">
        <w:rPr>
          <w:rFonts w:cs="Arial"/>
          <w:szCs w:val="20"/>
        </w:rPr>
        <w:t>Substance Use-Disorder Prevention that Promotes Opioid Recovery and Treatment for Patients and Communities Act 2018. Available at:</w:t>
      </w:r>
      <w:r w:rsidRPr="00AE6A7A">
        <w:rPr>
          <w:rFonts w:cs="Arial"/>
          <w:bCs/>
          <w:szCs w:val="20"/>
        </w:rPr>
        <w:t xml:space="preserve"> </w:t>
      </w:r>
      <w:hyperlink r:id="rId12" w:history="1">
        <w:r w:rsidRPr="0095353A">
          <w:rPr>
            <w:rStyle w:val="Hyperlink"/>
            <w:rFonts w:cs="Arial"/>
            <w:bCs/>
            <w:szCs w:val="20"/>
          </w:rPr>
          <w:t>https://www.congress.gov/bill/115th-congress/house-bill/6.</w:t>
        </w:r>
      </w:hyperlink>
      <w:r w:rsidRPr="00504933">
        <w:rPr>
          <w:rFonts w:cs="Arial"/>
          <w:bCs/>
          <w:szCs w:val="20"/>
        </w:rPr>
        <w:t xml:space="preserve"> </w:t>
      </w:r>
      <w:r w:rsidRPr="00AE6A7A">
        <w:rPr>
          <w:rFonts w:cs="Arial"/>
          <w:bCs/>
          <w:szCs w:val="20"/>
        </w:rPr>
        <w:t>Accessed November 27, 202</w:t>
      </w:r>
      <w:r w:rsidR="00692114">
        <w:rPr>
          <w:rFonts w:cs="Arial"/>
          <w:bCs/>
          <w:szCs w:val="20"/>
        </w:rPr>
        <w:t>5</w:t>
      </w:r>
      <w:r w:rsidRPr="00AE6A7A">
        <w:rPr>
          <w:rFonts w:cs="Arial"/>
          <w:bCs/>
          <w:szCs w:val="20"/>
        </w:rPr>
        <w:t xml:space="preserve">. </w:t>
      </w:r>
    </w:p>
    <w:p w14:paraId="25908F0B" w14:textId="5DC82E37" w:rsidR="00AE6A7A" w:rsidRPr="00AE6A7A" w:rsidRDefault="00AE6A7A" w:rsidP="00AE6A7A">
      <w:pPr>
        <w:numPr>
          <w:ilvl w:val="0"/>
          <w:numId w:val="18"/>
        </w:numPr>
        <w:rPr>
          <w:rFonts w:cs="Arial"/>
          <w:szCs w:val="20"/>
        </w:rPr>
      </w:pPr>
      <w:r w:rsidRPr="00AE6A7A">
        <w:rPr>
          <w:rFonts w:cs="Arial"/>
          <w:szCs w:val="20"/>
        </w:rPr>
        <w:t xml:space="preserve">FDA News Release.  FDA requires strong warnings for opioid analgesics, prescription opioid cough products, and benzodiazepine labeling related to serious risks and death from combined use.  </w:t>
      </w:r>
      <w:hyperlink r:id="rId13" w:history="1">
        <w:r w:rsidRPr="0095353A">
          <w:rPr>
            <w:rStyle w:val="Hyperlink"/>
            <w:rFonts w:cs="Arial"/>
            <w:szCs w:val="20"/>
          </w:rPr>
          <w:t>https://www.fda.gov/news-events/press-announcements/fda-requires-strong-warnings-opioid-analgesics-prescription-opioid-cough-products-and-benzodiazepine.</w:t>
        </w:r>
      </w:hyperlink>
      <w:r w:rsidRPr="00504933">
        <w:rPr>
          <w:rFonts w:cs="Arial"/>
          <w:szCs w:val="20"/>
        </w:rPr>
        <w:t xml:space="preserve"> </w:t>
      </w:r>
      <w:r w:rsidRPr="00AE6A7A">
        <w:rPr>
          <w:rFonts w:cs="Arial"/>
          <w:szCs w:val="20"/>
        </w:rPr>
        <w:t>August 31, 2016. Accessed November 27, 202</w:t>
      </w:r>
      <w:r w:rsidR="00D05171">
        <w:rPr>
          <w:rFonts w:cs="Arial"/>
          <w:szCs w:val="20"/>
        </w:rPr>
        <w:t>5</w:t>
      </w:r>
      <w:r w:rsidRPr="00AE6A7A">
        <w:rPr>
          <w:rFonts w:cs="Arial"/>
          <w:szCs w:val="20"/>
        </w:rPr>
        <w:t>.</w:t>
      </w:r>
    </w:p>
    <w:p w14:paraId="35CC53AA" w14:textId="34D63E3C" w:rsidR="00AE6A7A" w:rsidRPr="00AE6A7A" w:rsidRDefault="00AE6A7A" w:rsidP="00AE6A7A">
      <w:pPr>
        <w:numPr>
          <w:ilvl w:val="0"/>
          <w:numId w:val="18"/>
        </w:numPr>
        <w:rPr>
          <w:rFonts w:cs="Arial"/>
          <w:szCs w:val="20"/>
        </w:rPr>
      </w:pPr>
      <w:r w:rsidRPr="00AE6A7A">
        <w:rPr>
          <w:rFonts w:cs="Arial"/>
          <w:szCs w:val="20"/>
        </w:rPr>
        <w:t xml:space="preserve">NIH: National Institute on Drug Abuse.  Benzodiazepines and Opioids.  </w:t>
      </w:r>
      <w:hyperlink r:id="rId14" w:history="1">
        <w:r w:rsidRPr="0095353A">
          <w:rPr>
            <w:rStyle w:val="Hyperlink"/>
            <w:rFonts w:cs="Arial"/>
            <w:szCs w:val="20"/>
          </w:rPr>
          <w:t>https://www.drugabuse.gov/drug-topics/opioids/benzodiazepines-opioids.</w:t>
        </w:r>
      </w:hyperlink>
      <w:r w:rsidRPr="00504933">
        <w:rPr>
          <w:rFonts w:cs="Arial"/>
          <w:szCs w:val="20"/>
        </w:rPr>
        <w:t xml:space="preserve"> </w:t>
      </w:r>
      <w:r w:rsidRPr="00AE6A7A">
        <w:rPr>
          <w:rFonts w:cs="Arial"/>
          <w:szCs w:val="20"/>
        </w:rPr>
        <w:t>Updated November 7, 2022. Accessed November 27, 202</w:t>
      </w:r>
      <w:r w:rsidR="00692114">
        <w:rPr>
          <w:rFonts w:cs="Arial"/>
          <w:szCs w:val="20"/>
        </w:rPr>
        <w:t>5</w:t>
      </w:r>
      <w:r w:rsidRPr="00AE6A7A">
        <w:rPr>
          <w:rFonts w:cs="Arial"/>
          <w:szCs w:val="20"/>
        </w:rPr>
        <w:t>.</w:t>
      </w:r>
    </w:p>
    <w:p w14:paraId="7AB28336" w14:textId="4D062B56" w:rsidR="00AE6A7A" w:rsidRPr="00AE6A7A" w:rsidRDefault="00AE6A7A" w:rsidP="00AE6A7A">
      <w:pPr>
        <w:numPr>
          <w:ilvl w:val="0"/>
          <w:numId w:val="18"/>
        </w:numPr>
        <w:textAlignment w:val="baseline"/>
        <w:rPr>
          <w:rFonts w:cs="Arial"/>
          <w:bCs/>
          <w:szCs w:val="20"/>
          <w:shd w:val="clear" w:color="auto" w:fill="FFFFFF"/>
        </w:rPr>
      </w:pPr>
      <w:r w:rsidRPr="00AE6A7A">
        <w:rPr>
          <w:rFonts w:cs="Arial"/>
          <w:bCs/>
          <w:szCs w:val="20"/>
          <w:shd w:val="clear" w:color="auto" w:fill="FFFFFF"/>
        </w:rPr>
        <w:t xml:space="preserve">Dowell D, Haegerich TM, Chou R. CDC Guideline for Prescribing Opioids for Chronic Pain — United States, 2016. MMWR Recomm Rep 2016;65(No. RR-1):1–49. </w:t>
      </w:r>
      <w:hyperlink r:id="rId15" w:history="1">
        <w:r w:rsidRPr="0095353A">
          <w:rPr>
            <w:rStyle w:val="Hyperlink"/>
            <w:rFonts w:cs="Arial"/>
            <w:szCs w:val="20"/>
          </w:rPr>
          <w:t>https://www.cdc.gov/mmwr/volumes/65/rr/rr6501e1.htm.</w:t>
        </w:r>
      </w:hyperlink>
      <w:r w:rsidRPr="00504933">
        <w:rPr>
          <w:rFonts w:cs="Arial"/>
          <w:szCs w:val="20"/>
        </w:rPr>
        <w:t xml:space="preserve"> </w:t>
      </w:r>
      <w:r w:rsidRPr="00AE6A7A">
        <w:rPr>
          <w:rFonts w:cs="Arial"/>
          <w:szCs w:val="20"/>
        </w:rPr>
        <w:t>Accessed November 27, 2024.</w:t>
      </w:r>
    </w:p>
    <w:p w14:paraId="2D60A262" w14:textId="28AE2F3E" w:rsidR="00AE6A7A" w:rsidRPr="00AE6A7A" w:rsidRDefault="00AE6A7A" w:rsidP="00AE6A7A">
      <w:pPr>
        <w:numPr>
          <w:ilvl w:val="0"/>
          <w:numId w:val="18"/>
        </w:numPr>
        <w:textAlignment w:val="baseline"/>
        <w:rPr>
          <w:rFonts w:cs="Arial"/>
          <w:b/>
          <w:bCs/>
          <w:szCs w:val="20"/>
          <w:u w:val="single"/>
          <w:shd w:val="clear" w:color="auto" w:fill="FFFFFF"/>
        </w:rPr>
      </w:pPr>
      <w:r w:rsidRPr="00AE6A7A">
        <w:rPr>
          <w:rFonts w:cs="Arial"/>
          <w:bCs/>
          <w:szCs w:val="20"/>
          <w:shd w:val="clear" w:color="auto" w:fill="FFFFFF"/>
        </w:rPr>
        <w:t xml:space="preserve">Dowell D, Ragan KR, Jones CM, Baldwin GT, Chou R. CDC Clinical Practice Guideline for Prescribing Opioids for Pain — United States, 2022. MMWR Recomm Rep 2022;71(No. RR-3):1–95. </w:t>
      </w:r>
      <w:hyperlink r:id="rId16" w:history="1">
        <w:r w:rsidRPr="0095353A">
          <w:rPr>
            <w:rStyle w:val="Hyperlink"/>
            <w:rFonts w:cs="Arial"/>
            <w:szCs w:val="20"/>
          </w:rPr>
          <w:t>https://www.cdc.gov/mmwr/volumes/71/rr/rr7103a1.htm</w:t>
        </w:r>
        <w:r w:rsidRPr="0095353A">
          <w:rPr>
            <w:rStyle w:val="Hyperlink"/>
            <w:rFonts w:cs="Arial"/>
            <w:bCs/>
            <w:szCs w:val="20"/>
            <w:shd w:val="clear" w:color="auto" w:fill="FFFFFF"/>
          </w:rPr>
          <w:t xml:space="preserve">. </w:t>
        </w:r>
      </w:hyperlink>
      <w:r w:rsidRPr="00504933">
        <w:rPr>
          <w:rFonts w:cs="Arial"/>
          <w:bCs/>
          <w:szCs w:val="20"/>
          <w:shd w:val="clear" w:color="auto" w:fill="FFFFFF"/>
        </w:rPr>
        <w:t xml:space="preserve"> </w:t>
      </w:r>
      <w:r w:rsidRPr="00AE6A7A">
        <w:rPr>
          <w:rFonts w:cs="Arial"/>
          <w:bCs/>
          <w:szCs w:val="20"/>
          <w:shd w:val="clear" w:color="auto" w:fill="FFFFFF"/>
        </w:rPr>
        <w:t>Accessed November 27, 202</w:t>
      </w:r>
      <w:r w:rsidR="00617541">
        <w:rPr>
          <w:rFonts w:cs="Arial"/>
          <w:bCs/>
          <w:szCs w:val="20"/>
          <w:shd w:val="clear" w:color="auto" w:fill="FFFFFF"/>
        </w:rPr>
        <w:t>5</w:t>
      </w:r>
      <w:r w:rsidRPr="00AE6A7A">
        <w:rPr>
          <w:rFonts w:cs="Arial"/>
          <w:bCs/>
          <w:szCs w:val="20"/>
          <w:shd w:val="clear" w:color="auto" w:fill="FFFFFF"/>
        </w:rPr>
        <w:t>.</w:t>
      </w:r>
    </w:p>
    <w:p w14:paraId="6F425580" w14:textId="4B07F13D" w:rsidR="00AE6A7A" w:rsidRPr="00AE6A7A" w:rsidRDefault="00AE6A7A" w:rsidP="00AE6A7A">
      <w:pPr>
        <w:numPr>
          <w:ilvl w:val="0"/>
          <w:numId w:val="18"/>
        </w:numPr>
        <w:textAlignment w:val="baseline"/>
        <w:rPr>
          <w:rFonts w:cs="Arial"/>
          <w:bCs/>
          <w:szCs w:val="20"/>
          <w:shd w:val="clear" w:color="auto" w:fill="FFFFFF"/>
        </w:rPr>
      </w:pPr>
      <w:r w:rsidRPr="00AE6A7A">
        <w:rPr>
          <w:rFonts w:cs="Arial"/>
          <w:color w:val="202020"/>
          <w:szCs w:val="20"/>
          <w:shd w:val="clear" w:color="auto" w:fill="FFFFFF"/>
        </w:rPr>
        <w:t>Ray WA, Chung CP, Murray KT, Malow BA, Daugherty JR, Stein CM. Mortality and concurrent use of opioids and hypnotics in older patients: A retrospective cohort study. PLOS Medicine. 2021;18(7):e1003709. </w:t>
      </w:r>
      <w:hyperlink r:id="rId17" w:history="1">
        <w:r w:rsidRPr="0095353A">
          <w:rPr>
            <w:rStyle w:val="Hyperlink"/>
            <w:rFonts w:cs="Arial"/>
            <w:szCs w:val="20"/>
          </w:rPr>
          <w:t>https://journals.plos.org/plosmedicine/article?id=10.1371/journal.pmed.1003709</w:t>
        </w:r>
        <w:r w:rsidRPr="0095353A">
          <w:rPr>
            <w:rStyle w:val="Hyperlink"/>
            <w:rFonts w:cs="Arial"/>
            <w:bCs/>
            <w:szCs w:val="20"/>
            <w:shd w:val="clear" w:color="auto" w:fill="FFFFFF"/>
          </w:rPr>
          <w:t>.</w:t>
        </w:r>
      </w:hyperlink>
      <w:r w:rsidRPr="00AE6A7A">
        <w:rPr>
          <w:rFonts w:cs="Arial"/>
          <w:bCs/>
          <w:szCs w:val="20"/>
          <w:shd w:val="clear" w:color="auto" w:fill="FFFFFF"/>
        </w:rPr>
        <w:t xml:space="preserve"> Accessed November 27, 202</w:t>
      </w:r>
      <w:r w:rsidR="00323089">
        <w:rPr>
          <w:rFonts w:cs="Arial"/>
          <w:bCs/>
          <w:szCs w:val="20"/>
          <w:shd w:val="clear" w:color="auto" w:fill="FFFFFF"/>
        </w:rPr>
        <w:t>5</w:t>
      </w:r>
      <w:r w:rsidRPr="00AE6A7A">
        <w:rPr>
          <w:rFonts w:cs="Arial"/>
          <w:bCs/>
          <w:szCs w:val="20"/>
          <w:shd w:val="clear" w:color="auto" w:fill="FFFFFF"/>
        </w:rPr>
        <w:t>.</w:t>
      </w:r>
    </w:p>
    <w:p w14:paraId="5ED70FC7" w14:textId="692CDB25" w:rsidR="00AE6A7A" w:rsidRPr="00AE6A7A" w:rsidRDefault="00AE6A7A" w:rsidP="00AE6A7A">
      <w:pPr>
        <w:numPr>
          <w:ilvl w:val="0"/>
          <w:numId w:val="18"/>
        </w:numPr>
        <w:textAlignment w:val="baseline"/>
        <w:rPr>
          <w:rFonts w:cs="Arial"/>
          <w:bCs/>
          <w:szCs w:val="20"/>
          <w:shd w:val="clear" w:color="auto" w:fill="FFFFFF"/>
        </w:rPr>
      </w:pPr>
      <w:r w:rsidRPr="00AE6A7A">
        <w:rPr>
          <w:rFonts w:cs="Arial"/>
          <w:bCs/>
          <w:szCs w:val="20"/>
          <w:shd w:val="clear" w:color="auto" w:fill="FFFFFF"/>
        </w:rPr>
        <w:t xml:space="preserve">Szmulewicz A, et al. The Risk of Overdose With Concomitant Use of Z-Drugs and Prescription Opioids: A Population-Based Cohort Study.  Am J Psychiatry. 2021;178(7):643-650. </w:t>
      </w:r>
      <w:hyperlink r:id="rId18" w:history="1">
        <w:r w:rsidRPr="0095353A">
          <w:rPr>
            <w:rStyle w:val="Hyperlink"/>
            <w:rFonts w:cs="Arial"/>
            <w:szCs w:val="20"/>
          </w:rPr>
          <w:t>https://ajp.psychiatryonline.org/doi/10.1176/appi.ajp.2020.20071038.</w:t>
        </w:r>
      </w:hyperlink>
      <w:r w:rsidRPr="00504933">
        <w:rPr>
          <w:rFonts w:cs="Arial"/>
          <w:szCs w:val="20"/>
        </w:rPr>
        <w:t xml:space="preserve"> </w:t>
      </w:r>
      <w:r w:rsidRPr="00AE6A7A">
        <w:rPr>
          <w:rFonts w:cs="Arial"/>
          <w:szCs w:val="20"/>
        </w:rPr>
        <w:t>Accessed November 27, 202</w:t>
      </w:r>
      <w:r w:rsidR="00323089">
        <w:rPr>
          <w:rFonts w:cs="Arial"/>
          <w:szCs w:val="20"/>
        </w:rPr>
        <w:t>5</w:t>
      </w:r>
      <w:r w:rsidRPr="00AE6A7A">
        <w:rPr>
          <w:rFonts w:cs="Arial"/>
          <w:szCs w:val="20"/>
        </w:rPr>
        <w:t>.</w:t>
      </w:r>
    </w:p>
    <w:p w14:paraId="7B851DEE" w14:textId="5B684BFD" w:rsidR="00AE6A7A" w:rsidRPr="00AE6A7A" w:rsidRDefault="00AE6A7A" w:rsidP="00AE6A7A">
      <w:pPr>
        <w:numPr>
          <w:ilvl w:val="0"/>
          <w:numId w:val="18"/>
        </w:numPr>
        <w:textAlignment w:val="baseline"/>
        <w:rPr>
          <w:rFonts w:cs="Arial"/>
          <w:bCs/>
          <w:szCs w:val="20"/>
          <w:shd w:val="clear" w:color="auto" w:fill="FFFFFF"/>
        </w:rPr>
      </w:pPr>
      <w:r w:rsidRPr="00AE6A7A">
        <w:rPr>
          <w:rFonts w:cs="Arial"/>
          <w:szCs w:val="20"/>
        </w:rPr>
        <w:t xml:space="preserve">U.S. Food and Drug Administration. FDA In Brief: FDA In Brief: FDA requires new warnings for gabapentinoids about risk of respiratory depression. Published December 19, 2019.  </w:t>
      </w:r>
      <w:hyperlink r:id="rId19" w:history="1">
        <w:r w:rsidRPr="0095353A">
          <w:rPr>
            <w:rStyle w:val="Hyperlink"/>
            <w:rFonts w:cs="Arial"/>
            <w:szCs w:val="20"/>
          </w:rPr>
          <w:t>https://www.fda.gov/news-events/fda-brief/fda-brief-fda-requires-new-warnings-gabapentinoids-about-risk-respiratory-depression.</w:t>
        </w:r>
      </w:hyperlink>
      <w:r w:rsidRPr="00AE6A7A">
        <w:rPr>
          <w:rFonts w:cs="Arial"/>
          <w:szCs w:val="20"/>
        </w:rPr>
        <w:t xml:space="preserve"> Accessed November 27, 202</w:t>
      </w:r>
      <w:r w:rsidR="00323089">
        <w:rPr>
          <w:rFonts w:cs="Arial"/>
          <w:szCs w:val="20"/>
        </w:rPr>
        <w:t>5</w:t>
      </w:r>
      <w:r w:rsidRPr="00AE6A7A">
        <w:rPr>
          <w:rFonts w:cs="Arial"/>
          <w:szCs w:val="20"/>
        </w:rPr>
        <w:t>.</w:t>
      </w:r>
    </w:p>
    <w:p w14:paraId="3FA1E7DB" w14:textId="42080BDA" w:rsidR="00777CA4" w:rsidRDefault="00777CA4" w:rsidP="00AE6A7A">
      <w:pPr>
        <w:pStyle w:val="ListParagraph"/>
        <w:numPr>
          <w:ilvl w:val="0"/>
          <w:numId w:val="0"/>
        </w:numPr>
        <w:ind w:left="360"/>
      </w:pPr>
    </w:p>
    <w:sectPr w:rsidR="00777CA4" w:rsidSect="00AB0B9F">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287E" w14:textId="77777777" w:rsidR="00DA589F" w:rsidRPr="00C02553" w:rsidRDefault="00DA589F" w:rsidP="00AE77DB">
      <w:r w:rsidRPr="00C02553">
        <w:separator/>
      </w:r>
    </w:p>
  </w:endnote>
  <w:endnote w:type="continuationSeparator" w:id="0">
    <w:p w14:paraId="72D3FE81" w14:textId="77777777" w:rsidR="00DA589F" w:rsidRPr="00C02553" w:rsidRDefault="00DA589F" w:rsidP="00AE77DB">
      <w:r w:rsidRPr="00C02553">
        <w:continuationSeparator/>
      </w:r>
    </w:p>
  </w:endnote>
  <w:endnote w:type="continuationNotice" w:id="1">
    <w:p w14:paraId="6DACE0C8" w14:textId="77777777" w:rsidR="00DA589F" w:rsidRPr="00C02553" w:rsidRDefault="00DA5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8370" w14:textId="77777777" w:rsidR="00DA589F" w:rsidRPr="00C02553" w:rsidRDefault="00DA589F" w:rsidP="00AE77DB">
      <w:r w:rsidRPr="00C02553">
        <w:separator/>
      </w:r>
    </w:p>
  </w:footnote>
  <w:footnote w:type="continuationSeparator" w:id="0">
    <w:p w14:paraId="384AD966" w14:textId="77777777" w:rsidR="00DA589F" w:rsidRPr="00C02553" w:rsidRDefault="00DA589F" w:rsidP="00AE77DB">
      <w:r w:rsidRPr="00C02553">
        <w:continuationSeparator/>
      </w:r>
    </w:p>
  </w:footnote>
  <w:footnote w:type="continuationNotice" w:id="1">
    <w:p w14:paraId="7C6469C2" w14:textId="77777777" w:rsidR="00DA589F" w:rsidRPr="00C02553" w:rsidRDefault="00DA5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DA589F">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DA589F">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DA589F">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8240;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2339"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F0E62ECA"/>
    <w:lvl w:ilvl="0" w:tplc="04090001">
      <w:start w:val="1"/>
      <w:numFmt w:val="bullet"/>
      <w:lvlText w:val=""/>
      <w:lvlJc w:val="left"/>
      <w:pPr>
        <w:ind w:left="360" w:hanging="360"/>
      </w:pPr>
      <w:rPr>
        <w:rFonts w:ascii="Symbol" w:hAnsi="Symbol" w:hint="default"/>
      </w:rPr>
    </w:lvl>
    <w:lvl w:ilvl="1" w:tplc="9E581344">
      <w:start w:val="1"/>
      <w:numFmt w:val="bullet"/>
      <w:lvlText w:val="o"/>
      <w:lvlJc w:val="left"/>
      <w:pPr>
        <w:ind w:left="720" w:hanging="360"/>
      </w:pPr>
      <w:rPr>
        <w:rFonts w:ascii="Courier New" w:hAnsi="Courier New" w:hint="default"/>
      </w:rPr>
    </w:lvl>
    <w:lvl w:ilvl="2" w:tplc="126AA9D2">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D6C6F2F"/>
    <w:multiLevelType w:val="hybridMultilevel"/>
    <w:tmpl w:val="4A7A9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312223958">
    <w:abstractNumId w:val="12"/>
  </w:num>
  <w:num w:numId="17" w16cid:durableId="1671374167">
    <w:abstractNumId w:val="15"/>
  </w:num>
  <w:num w:numId="18" w16cid:durableId="15036995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61541"/>
    <w:rsid w:val="00064162"/>
    <w:rsid w:val="00065C22"/>
    <w:rsid w:val="00074464"/>
    <w:rsid w:val="00076030"/>
    <w:rsid w:val="00082590"/>
    <w:rsid w:val="000913C3"/>
    <w:rsid w:val="000953B9"/>
    <w:rsid w:val="000A413B"/>
    <w:rsid w:val="000A6279"/>
    <w:rsid w:val="000B3EA1"/>
    <w:rsid w:val="000B496B"/>
    <w:rsid w:val="000C3940"/>
    <w:rsid w:val="000C4FA7"/>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A062B"/>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3089"/>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630F"/>
    <w:rsid w:val="003B3958"/>
    <w:rsid w:val="003B4820"/>
    <w:rsid w:val="003B5F4B"/>
    <w:rsid w:val="003B682F"/>
    <w:rsid w:val="003C53FC"/>
    <w:rsid w:val="003C7013"/>
    <w:rsid w:val="003D355C"/>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4933"/>
    <w:rsid w:val="005058CB"/>
    <w:rsid w:val="00507F38"/>
    <w:rsid w:val="0051044D"/>
    <w:rsid w:val="005139E4"/>
    <w:rsid w:val="00515075"/>
    <w:rsid w:val="00516D12"/>
    <w:rsid w:val="00520FE9"/>
    <w:rsid w:val="005233E7"/>
    <w:rsid w:val="00526C8D"/>
    <w:rsid w:val="005328B2"/>
    <w:rsid w:val="00535BD5"/>
    <w:rsid w:val="00540977"/>
    <w:rsid w:val="00550E5E"/>
    <w:rsid w:val="00551668"/>
    <w:rsid w:val="005572D5"/>
    <w:rsid w:val="005669F2"/>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5748"/>
    <w:rsid w:val="005F6104"/>
    <w:rsid w:val="0060042F"/>
    <w:rsid w:val="006008BC"/>
    <w:rsid w:val="00602CFD"/>
    <w:rsid w:val="00606B55"/>
    <w:rsid w:val="00612A7B"/>
    <w:rsid w:val="00616E5E"/>
    <w:rsid w:val="006173A4"/>
    <w:rsid w:val="00617541"/>
    <w:rsid w:val="006205AD"/>
    <w:rsid w:val="00625C3A"/>
    <w:rsid w:val="00635DDB"/>
    <w:rsid w:val="0064149A"/>
    <w:rsid w:val="00646DFE"/>
    <w:rsid w:val="00650530"/>
    <w:rsid w:val="00650C96"/>
    <w:rsid w:val="00653788"/>
    <w:rsid w:val="0065477F"/>
    <w:rsid w:val="00656896"/>
    <w:rsid w:val="00661656"/>
    <w:rsid w:val="0066374F"/>
    <w:rsid w:val="00677C65"/>
    <w:rsid w:val="00692114"/>
    <w:rsid w:val="00693152"/>
    <w:rsid w:val="00694FAE"/>
    <w:rsid w:val="00696E3A"/>
    <w:rsid w:val="006A0834"/>
    <w:rsid w:val="006A4BBD"/>
    <w:rsid w:val="006A52F1"/>
    <w:rsid w:val="006B561D"/>
    <w:rsid w:val="006B6D5D"/>
    <w:rsid w:val="006D2330"/>
    <w:rsid w:val="006E0F8B"/>
    <w:rsid w:val="006E12F7"/>
    <w:rsid w:val="006E29D7"/>
    <w:rsid w:val="006E39E8"/>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0A01"/>
    <w:rsid w:val="007B3333"/>
    <w:rsid w:val="007B379F"/>
    <w:rsid w:val="007B37D6"/>
    <w:rsid w:val="007B5D30"/>
    <w:rsid w:val="007C79EC"/>
    <w:rsid w:val="007D2920"/>
    <w:rsid w:val="007D42DD"/>
    <w:rsid w:val="007E6A37"/>
    <w:rsid w:val="007F1774"/>
    <w:rsid w:val="007F593C"/>
    <w:rsid w:val="00803CF4"/>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3745"/>
    <w:rsid w:val="008A5D88"/>
    <w:rsid w:val="008B2851"/>
    <w:rsid w:val="008C000E"/>
    <w:rsid w:val="008D0F2F"/>
    <w:rsid w:val="008D237F"/>
    <w:rsid w:val="008D6B05"/>
    <w:rsid w:val="008E7D2D"/>
    <w:rsid w:val="008F44C0"/>
    <w:rsid w:val="008F5999"/>
    <w:rsid w:val="00903AD6"/>
    <w:rsid w:val="00904D7A"/>
    <w:rsid w:val="00915332"/>
    <w:rsid w:val="009204BB"/>
    <w:rsid w:val="00922A52"/>
    <w:rsid w:val="00935918"/>
    <w:rsid w:val="00935EC3"/>
    <w:rsid w:val="00951097"/>
    <w:rsid w:val="0095353A"/>
    <w:rsid w:val="00953C1E"/>
    <w:rsid w:val="0096210F"/>
    <w:rsid w:val="00962633"/>
    <w:rsid w:val="00963187"/>
    <w:rsid w:val="00963ACF"/>
    <w:rsid w:val="00963D1C"/>
    <w:rsid w:val="00964284"/>
    <w:rsid w:val="0097028A"/>
    <w:rsid w:val="00973BD6"/>
    <w:rsid w:val="00984549"/>
    <w:rsid w:val="0098499E"/>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42D"/>
    <w:rsid w:val="00A14FA6"/>
    <w:rsid w:val="00A15D64"/>
    <w:rsid w:val="00A20575"/>
    <w:rsid w:val="00A32452"/>
    <w:rsid w:val="00A325CC"/>
    <w:rsid w:val="00A32BBF"/>
    <w:rsid w:val="00A37444"/>
    <w:rsid w:val="00A416DE"/>
    <w:rsid w:val="00A4281A"/>
    <w:rsid w:val="00A446E4"/>
    <w:rsid w:val="00A459CF"/>
    <w:rsid w:val="00A5014D"/>
    <w:rsid w:val="00A53E96"/>
    <w:rsid w:val="00A56F18"/>
    <w:rsid w:val="00A628F8"/>
    <w:rsid w:val="00A62BAA"/>
    <w:rsid w:val="00A66172"/>
    <w:rsid w:val="00A744C3"/>
    <w:rsid w:val="00AA70AB"/>
    <w:rsid w:val="00AB0B9F"/>
    <w:rsid w:val="00AB1713"/>
    <w:rsid w:val="00AB63BE"/>
    <w:rsid w:val="00AC1E7A"/>
    <w:rsid w:val="00AC1EBC"/>
    <w:rsid w:val="00AC2599"/>
    <w:rsid w:val="00AC2DE9"/>
    <w:rsid w:val="00AC3CD9"/>
    <w:rsid w:val="00AD2C5F"/>
    <w:rsid w:val="00AD7237"/>
    <w:rsid w:val="00AE1481"/>
    <w:rsid w:val="00AE27F9"/>
    <w:rsid w:val="00AE6A7A"/>
    <w:rsid w:val="00AE77DB"/>
    <w:rsid w:val="00AF7453"/>
    <w:rsid w:val="00B00FFF"/>
    <w:rsid w:val="00B06084"/>
    <w:rsid w:val="00B13609"/>
    <w:rsid w:val="00B16735"/>
    <w:rsid w:val="00B17EDE"/>
    <w:rsid w:val="00B22585"/>
    <w:rsid w:val="00B33693"/>
    <w:rsid w:val="00B34C53"/>
    <w:rsid w:val="00B507A5"/>
    <w:rsid w:val="00B52475"/>
    <w:rsid w:val="00B535DA"/>
    <w:rsid w:val="00B545AB"/>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F00A4"/>
    <w:rsid w:val="00CF25FB"/>
    <w:rsid w:val="00CF614C"/>
    <w:rsid w:val="00D02F34"/>
    <w:rsid w:val="00D05171"/>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589F"/>
    <w:rsid w:val="00DA6990"/>
    <w:rsid w:val="00DB27BA"/>
    <w:rsid w:val="00DB3009"/>
    <w:rsid w:val="00DB337A"/>
    <w:rsid w:val="00DB79BA"/>
    <w:rsid w:val="00DC034A"/>
    <w:rsid w:val="00DC51CB"/>
    <w:rsid w:val="00DD4819"/>
    <w:rsid w:val="00DD4B8A"/>
    <w:rsid w:val="00DD51E2"/>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47E95"/>
    <w:rsid w:val="00E529DB"/>
    <w:rsid w:val="00E53A5E"/>
    <w:rsid w:val="00E6466A"/>
    <w:rsid w:val="00E72221"/>
    <w:rsid w:val="00E73224"/>
    <w:rsid w:val="00E83428"/>
    <w:rsid w:val="00E84C58"/>
    <w:rsid w:val="00E873A5"/>
    <w:rsid w:val="00E90D11"/>
    <w:rsid w:val="00E915E5"/>
    <w:rsid w:val="00EB0367"/>
    <w:rsid w:val="00EB4FB9"/>
    <w:rsid w:val="00EB5BC8"/>
    <w:rsid w:val="00EC2738"/>
    <w:rsid w:val="00ED4F3C"/>
    <w:rsid w:val="00ED5D91"/>
    <w:rsid w:val="00ED7B42"/>
    <w:rsid w:val="00EE3EA5"/>
    <w:rsid w:val="00EE613F"/>
    <w:rsid w:val="00EE6BD1"/>
    <w:rsid w:val="00EF0262"/>
    <w:rsid w:val="00EF0828"/>
    <w:rsid w:val="00EF6F8B"/>
    <w:rsid w:val="00F03898"/>
    <w:rsid w:val="00F1527A"/>
    <w:rsid w:val="00F2696B"/>
    <w:rsid w:val="00F2766C"/>
    <w:rsid w:val="00F27821"/>
    <w:rsid w:val="00F4092A"/>
    <w:rsid w:val="00F41F69"/>
    <w:rsid w:val="00F43E41"/>
    <w:rsid w:val="00F4790C"/>
    <w:rsid w:val="00F50C4B"/>
    <w:rsid w:val="00F54C08"/>
    <w:rsid w:val="00F553A2"/>
    <w:rsid w:val="00F57143"/>
    <w:rsid w:val="00F6068C"/>
    <w:rsid w:val="00F62F33"/>
    <w:rsid w:val="00F63A52"/>
    <w:rsid w:val="00F730BA"/>
    <w:rsid w:val="00F903BE"/>
    <w:rsid w:val="00F95D04"/>
    <w:rsid w:val="00FA16EC"/>
    <w:rsid w:val="00FA2811"/>
    <w:rsid w:val="00FA4837"/>
    <w:rsid w:val="00FA5440"/>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863F4EC4-F333-4B4E-B364-A8B32C90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FollowedHyperlink">
    <w:name w:val="FollowedHyperlink"/>
    <w:basedOn w:val="DefaultParagraphFont"/>
    <w:uiPriority w:val="99"/>
    <w:semiHidden/>
    <w:unhideWhenUsed/>
    <w:rsid w:val="00AE6A7A"/>
    <w:rPr>
      <w:color w:val="800080" w:themeColor="followedHyperlink"/>
      <w:u w:val="single"/>
    </w:rPr>
  </w:style>
  <w:style w:type="character" w:styleId="CommentReference">
    <w:name w:val="annotation reference"/>
    <w:basedOn w:val="DefaultParagraphFont"/>
    <w:uiPriority w:val="99"/>
    <w:semiHidden/>
    <w:unhideWhenUsed/>
    <w:rsid w:val="00922A52"/>
    <w:rPr>
      <w:sz w:val="16"/>
      <w:szCs w:val="16"/>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TextChar">
    <w:name w:val="Comment Text Char"/>
    <w:basedOn w:val="DefaultParagraphFont"/>
    <w:link w:val="CommentText"/>
    <w:semiHidden/>
    <w:rsid w:val="00922A52"/>
    <w:rPr>
      <w:rFonts w:ascii="Arial" w:hAnsi="Arial"/>
    </w:rPr>
  </w:style>
  <w:style w:type="character" w:customStyle="1" w:styleId="CommentSubjectChar">
    <w:name w:val="Comment Subject Char"/>
    <w:basedOn w:val="CommentTextChar"/>
    <w:link w:val="CommentSubject"/>
    <w:uiPriority w:val="99"/>
    <w:semiHidden/>
    <w:rsid w:val="00922A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news-events/press-announcements/fda-requires-strong-warnings-opioid-analgesics-prescription-opioid-cough-products-and-benzodiazepine." TargetMode="External"/><Relationship Id="rId18" Type="http://schemas.openxmlformats.org/officeDocument/2006/relationships/hyperlink" Target="https://ajp.psychiatryonline.org/doi/10.1176/appi.ajp.2020.2007103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ngress.gov/bill/115th-congress/house-bill/6." TargetMode="External"/><Relationship Id="rId17" Type="http://schemas.openxmlformats.org/officeDocument/2006/relationships/hyperlink" Target="https://journals.plos.org/plosmedicine/article?id=10.1371/journal.pmed.1003709.%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dc.gov/mmwr/volumes/71/rr/rr7103a1.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mo.gov/data/opioids/pdf/naloxone-standing-order.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dc.gov/mmwr/volumes/65/rr/rr6501e1.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da.gov/news-events/fda-brief/fda-brief-fda-requires-new-warnings-gabapentinoids-about-risk-respiratory-depre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ugabuse.gov/drug-topics/opioids/benzodiazepines-opioid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768EC7C0-E4ED-4B50-B851-10DA4853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Pages>
  <Words>1100</Words>
  <Characters>6273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High Risk Therapies Clinical Edit</vt:lpstr>
    </vt:vector>
  </TitlesOfParts>
  <Company>DSS</Company>
  <LinksUpToDate>false</LinksUpToDate>
  <CharactersWithSpaces>7359</CharactersWithSpaces>
  <SharedDoc>false</SharedDoc>
  <HLinks>
    <vt:vector size="54" baseType="variant">
      <vt:variant>
        <vt:i4>7733352</vt:i4>
      </vt:variant>
      <vt:variant>
        <vt:i4>24</vt:i4>
      </vt:variant>
      <vt:variant>
        <vt:i4>0</vt:i4>
      </vt:variant>
      <vt:variant>
        <vt:i4>5</vt:i4>
      </vt:variant>
      <vt:variant>
        <vt:lpwstr>https://www.fda.gov/news-events/fda-brief/fda-brief-fda-requires-new-warnings-gabapentinoids-about-risk-respiratory-depression.</vt:lpwstr>
      </vt:variant>
      <vt:variant>
        <vt:lpwstr/>
      </vt:variant>
      <vt:variant>
        <vt:i4>720973</vt:i4>
      </vt:variant>
      <vt:variant>
        <vt:i4>21</vt:i4>
      </vt:variant>
      <vt:variant>
        <vt:i4>0</vt:i4>
      </vt:variant>
      <vt:variant>
        <vt:i4>5</vt:i4>
      </vt:variant>
      <vt:variant>
        <vt:lpwstr>https://ajp.psychiatryonline.org/doi/10.1176/appi.ajp.2020.20071038.</vt:lpwstr>
      </vt:variant>
      <vt:variant>
        <vt:lpwstr/>
      </vt:variant>
      <vt:variant>
        <vt:i4>7471208</vt:i4>
      </vt:variant>
      <vt:variant>
        <vt:i4>18</vt:i4>
      </vt:variant>
      <vt:variant>
        <vt:i4>0</vt:i4>
      </vt:variant>
      <vt:variant>
        <vt:i4>5</vt:i4>
      </vt:variant>
      <vt:variant>
        <vt:lpwstr>https://journals.plos.org/plosmedicine/article?id=10.1371/journal.pmed.1003709.%20</vt:lpwstr>
      </vt:variant>
      <vt:variant>
        <vt:lpwstr/>
      </vt:variant>
      <vt:variant>
        <vt:i4>5439516</vt:i4>
      </vt:variant>
      <vt:variant>
        <vt:i4>15</vt:i4>
      </vt:variant>
      <vt:variant>
        <vt:i4>0</vt:i4>
      </vt:variant>
      <vt:variant>
        <vt:i4>5</vt:i4>
      </vt:variant>
      <vt:variant>
        <vt:lpwstr>https://www.cdc.gov/mmwr/volumes/71/rr/rr7103a1.htm.</vt:lpwstr>
      </vt:variant>
      <vt:variant>
        <vt:lpwstr/>
      </vt:variant>
      <vt:variant>
        <vt:i4>5701662</vt:i4>
      </vt:variant>
      <vt:variant>
        <vt:i4>12</vt:i4>
      </vt:variant>
      <vt:variant>
        <vt:i4>0</vt:i4>
      </vt:variant>
      <vt:variant>
        <vt:i4>5</vt:i4>
      </vt:variant>
      <vt:variant>
        <vt:lpwstr>https://www.cdc.gov/mmwr/volumes/65/rr/rr6501e1.htm.</vt:lpwstr>
      </vt:variant>
      <vt:variant>
        <vt:lpwstr/>
      </vt:variant>
      <vt:variant>
        <vt:i4>2097253</vt:i4>
      </vt:variant>
      <vt:variant>
        <vt:i4>9</vt:i4>
      </vt:variant>
      <vt:variant>
        <vt:i4>0</vt:i4>
      </vt:variant>
      <vt:variant>
        <vt:i4>5</vt:i4>
      </vt:variant>
      <vt:variant>
        <vt:lpwstr>https://www.drugabuse.gov/drug-topics/opioids/benzodiazepines-opioids.</vt:lpwstr>
      </vt:variant>
      <vt:variant>
        <vt:lpwstr/>
      </vt:variant>
      <vt:variant>
        <vt:i4>983126</vt:i4>
      </vt:variant>
      <vt:variant>
        <vt:i4>6</vt:i4>
      </vt:variant>
      <vt:variant>
        <vt:i4>0</vt:i4>
      </vt:variant>
      <vt:variant>
        <vt:i4>5</vt:i4>
      </vt:variant>
      <vt:variant>
        <vt:lpwstr>https://www.fda.gov/news-events/press-announcements/fda-requires-strong-warnings-opioid-analgesics-prescription-opioid-cough-products-and-benzodiazepine.</vt:lpwstr>
      </vt:variant>
      <vt:variant>
        <vt:lpwstr/>
      </vt:variant>
      <vt:variant>
        <vt:i4>6750314</vt:i4>
      </vt:variant>
      <vt:variant>
        <vt:i4>3</vt:i4>
      </vt:variant>
      <vt:variant>
        <vt:i4>0</vt:i4>
      </vt:variant>
      <vt:variant>
        <vt:i4>5</vt:i4>
      </vt:variant>
      <vt:variant>
        <vt:lpwstr>https://www.congress.gov/bill/115th-congress/house-bill/6.</vt:lpwstr>
      </vt:variant>
      <vt:variant>
        <vt:lpwstr/>
      </vt:variant>
      <vt:variant>
        <vt:i4>3866657</vt:i4>
      </vt:variant>
      <vt:variant>
        <vt:i4>0</vt:i4>
      </vt:variant>
      <vt:variant>
        <vt:i4>0</vt:i4>
      </vt:variant>
      <vt:variant>
        <vt:i4>5</vt:i4>
      </vt:variant>
      <vt:variant>
        <vt:lpwstr>https://health.mo.gov/data/opioids/pdf/naloxone-standing-order.pdf.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Risk Therapies Clinical Edit</dc:title>
  <dc:subject/>
  <dc:creator>DMS</dc:creator>
  <cp:keywords/>
  <cp:lastModifiedBy>Colozza, Jennifer</cp:lastModifiedBy>
  <cp:revision>21</cp:revision>
  <cp:lastPrinted>2018-10-31T20:17:00Z</cp:lastPrinted>
  <dcterms:created xsi:type="dcterms:W3CDTF">2025-11-28T21:04:00Z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