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939905E" w:rsidR="004C5767" w:rsidRPr="00D535CA" w:rsidRDefault="004C5767" w:rsidP="00D27533">
      <w:pPr>
        <w:pStyle w:val="tbody"/>
        <w:rPr>
          <w:b w:val="0"/>
          <w:bCs/>
        </w:rPr>
      </w:pPr>
      <w:r w:rsidRPr="00C02553">
        <w:t>Drug/Drug Class:</w:t>
      </w:r>
      <w:r w:rsidR="003B4820">
        <w:t xml:space="preserve"> </w:t>
      </w:r>
      <w:r w:rsidR="00075A15" w:rsidRPr="00075A15">
        <w:rPr>
          <w:b w:val="0"/>
          <w:bCs/>
        </w:rPr>
        <w:t>Glucagon Agents PDL Edit</w:t>
      </w:r>
    </w:p>
    <w:p w14:paraId="7AD7FFCE" w14:textId="0C4CE665" w:rsidR="004C5767" w:rsidRPr="00073744" w:rsidRDefault="004C5767" w:rsidP="00D27533">
      <w:pPr>
        <w:pStyle w:val="tbody"/>
        <w:rPr>
          <w:b w:val="0"/>
          <w:bCs/>
        </w:rPr>
      </w:pPr>
      <w:r w:rsidRPr="00C02553">
        <w:t xml:space="preserve">First Implementation Date: </w:t>
      </w:r>
      <w:r w:rsidR="00D95C07" w:rsidRPr="00D95C07">
        <w:rPr>
          <w:b w:val="0"/>
          <w:bCs/>
        </w:rPr>
        <w:t>April 2, 2020</w:t>
      </w:r>
    </w:p>
    <w:p w14:paraId="4B7D760D" w14:textId="1A76145A" w:rsidR="004C5767" w:rsidRPr="00D27533" w:rsidRDefault="00F41F69" w:rsidP="00D27533">
      <w:pPr>
        <w:pStyle w:val="tbody"/>
        <w:rPr>
          <w:b w:val="0"/>
          <w:bCs/>
        </w:rPr>
      </w:pPr>
      <w:r>
        <w:t>Propo</w:t>
      </w:r>
      <w:r w:rsidR="004C5767" w:rsidRPr="00C02553">
        <w:t>sed Date:</w:t>
      </w:r>
      <w:r w:rsidR="00065C22">
        <w:t xml:space="preserve"> </w:t>
      </w:r>
      <w:r w:rsidR="00073744" w:rsidRPr="00E50CD2">
        <w:rPr>
          <w:b w:val="0"/>
          <w:bCs/>
        </w:rPr>
        <w:t xml:space="preserve">January </w:t>
      </w:r>
      <w:r w:rsidR="00E50CD2" w:rsidRPr="00E50CD2">
        <w:rPr>
          <w:b w:val="0"/>
          <w:bCs/>
        </w:rPr>
        <w:t>20</w:t>
      </w:r>
      <w:r w:rsidR="00073744" w:rsidRPr="00E50CD2">
        <w:rPr>
          <w:b w:val="0"/>
          <w:bCs/>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A20923F" w:rsidR="004C5767" w:rsidRPr="00D27533" w:rsidRDefault="004C5767" w:rsidP="00D27533">
      <w:pPr>
        <w:pStyle w:val="tbody"/>
        <w:rPr>
          <w:b w:val="0"/>
          <w:bCs/>
          <w:spacing w:val="-3"/>
        </w:rPr>
      </w:pPr>
      <w:r w:rsidRPr="00C02553">
        <w:t xml:space="preserve">Criteria Status: </w:t>
      </w:r>
      <w:r w:rsidR="003247DF" w:rsidRPr="003247DF">
        <w:rPr>
          <w:b w:val="0"/>
          <w:bCs/>
        </w:rPr>
        <w:t>Revision of</w:t>
      </w:r>
      <w:r w:rsidR="003247DF">
        <w:t xml:space="preserve"> </w:t>
      </w:r>
      <w:r w:rsidR="00566BE4" w:rsidRPr="00C64090">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D621E94" w14:textId="77777777" w:rsidR="00BE313E" w:rsidRPr="00127EF6" w:rsidRDefault="00BE313E" w:rsidP="00BE313E">
      <w:pPr>
        <w:pStyle w:val="Header"/>
        <w:tabs>
          <w:tab w:val="clear" w:pos="4320"/>
          <w:tab w:val="clear" w:pos="8640"/>
        </w:tabs>
        <w:rPr>
          <w:rFonts w:cs="Arial"/>
          <w:sz w:val="20"/>
        </w:rPr>
      </w:pPr>
      <w:r w:rsidRPr="00127EF6">
        <w:rPr>
          <w:rFonts w:cs="Arial"/>
          <w:sz w:val="20"/>
        </w:rPr>
        <w:t xml:space="preserve">Glucagon based products increase blood glucose levels during states of hypoglycemia by stimulating hepatic glucose receptors resulting in the breakdown of stored glycogen (glycogenolysis) and production and release of sugar from the liver (gluconeogenesis). Glucagon is reserved for patients in a severe hypoglycemic </w:t>
      </w:r>
      <w:r>
        <w:rPr>
          <w:rFonts w:cs="Arial"/>
          <w:sz w:val="20"/>
        </w:rPr>
        <w:t xml:space="preserve">state </w:t>
      </w:r>
      <w:r w:rsidRPr="00127EF6">
        <w:rPr>
          <w:rFonts w:cs="Arial"/>
          <w:sz w:val="20"/>
        </w:rPr>
        <w:t xml:space="preserve">with symptoms of disorientation, unconsciousness/unresponsiveness and seizures or convulsions. </w:t>
      </w:r>
      <w:r>
        <w:rPr>
          <w:rFonts w:cs="Arial"/>
          <w:sz w:val="20"/>
        </w:rPr>
        <w:t xml:space="preserve">There are intranasal and injectable </w:t>
      </w:r>
      <w:r w:rsidRPr="00127EF6">
        <w:rPr>
          <w:rFonts w:cs="Arial"/>
          <w:sz w:val="20"/>
        </w:rPr>
        <w:t>dosage forms</w:t>
      </w:r>
      <w:r>
        <w:rPr>
          <w:rFonts w:cs="Arial"/>
          <w:sz w:val="20"/>
        </w:rPr>
        <w:t xml:space="preserve"> available by prescription</w:t>
      </w:r>
      <w:r w:rsidRPr="00127EF6">
        <w:rPr>
          <w:rFonts w:cs="Arial"/>
          <w:sz w:val="20"/>
        </w:rPr>
        <w:t xml:space="preserve"> for the treatment of hypoglycemia</w:t>
      </w:r>
      <w:r>
        <w:rPr>
          <w:rFonts w:cs="Arial"/>
          <w:sz w:val="20"/>
        </w:rPr>
        <w:t xml:space="preserve">.  </w:t>
      </w:r>
      <w:r w:rsidRPr="00127EF6">
        <w:rPr>
          <w:rFonts w:cs="Arial"/>
          <w:sz w:val="20"/>
        </w:rPr>
        <w:t>Route of administration of glucagon slightly differs in onset of action between intranasal and injectable products (13 minutes vs 16 minutes respectively), but the resolution of hypoglycemia occurs at around 30 minutes for both routes of administration.</w:t>
      </w:r>
    </w:p>
    <w:p w14:paraId="02690E18" w14:textId="77777777" w:rsidR="00223B3D" w:rsidRPr="00E32209" w:rsidRDefault="00223B3D" w:rsidP="00223B3D">
      <w:pPr>
        <w:pStyle w:val="Header"/>
        <w:tabs>
          <w:tab w:val="clear" w:pos="4320"/>
          <w:tab w:val="clear" w:pos="8640"/>
        </w:tabs>
        <w:rPr>
          <w:rFonts w:cs="Arial"/>
          <w:sz w:val="20"/>
        </w:rPr>
      </w:pPr>
    </w:p>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18126FE" w14:textId="396A8F4A" w:rsidR="00E74312" w:rsidRPr="009D718F" w:rsidRDefault="00E74312" w:rsidP="00E74312">
      <w:pPr>
        <w:pStyle w:val="ListParagraph"/>
        <w:numPr>
          <w:ilvl w:val="0"/>
          <w:numId w:val="15"/>
        </w:numPr>
        <w:ind w:left="360"/>
        <w:rPr>
          <w:rFonts w:cs="Arial"/>
          <w:spacing w:val="-3"/>
        </w:rPr>
      </w:pPr>
      <w:r w:rsidRPr="009D718F">
        <w:rPr>
          <w:rFonts w:cs="Arial"/>
          <w:spacing w:val="-3"/>
        </w:rPr>
        <w:t>Baqsimi</w:t>
      </w:r>
      <w:r w:rsidRPr="009D718F">
        <w:rPr>
          <w:rFonts w:cs="Arial"/>
          <w:spacing w:val="-3"/>
          <w:vertAlign w:val="superscript"/>
        </w:rPr>
        <w:t>®</w:t>
      </w:r>
    </w:p>
    <w:p w14:paraId="47320590" w14:textId="64E4DCBC" w:rsidR="00FD34EA" w:rsidRPr="00EE1743" w:rsidRDefault="00E74312" w:rsidP="00E74312">
      <w:pPr>
        <w:pStyle w:val="ListParagraph"/>
        <w:numPr>
          <w:ilvl w:val="0"/>
          <w:numId w:val="15"/>
        </w:numPr>
        <w:ind w:left="360"/>
        <w:rPr>
          <w:rFonts w:cs="Arial"/>
          <w:szCs w:val="20"/>
        </w:rPr>
      </w:pPr>
      <w:r w:rsidRPr="2CDE22DD">
        <w:rPr>
          <w:rFonts w:cs="Arial"/>
          <w:spacing w:val="-3"/>
          <w:szCs w:val="20"/>
        </w:rPr>
        <w:t>Glucagon Emergency Kit</w:t>
      </w:r>
    </w:p>
    <w:p w14:paraId="3EA48EC5" w14:textId="77777777" w:rsidR="00CD1E31" w:rsidRDefault="00CD1E31" w:rsidP="00846FA4">
      <w:pPr>
        <w:rPr>
          <w:b/>
          <w:bCs/>
        </w:rPr>
      </w:pPr>
    </w:p>
    <w:p w14:paraId="56404718" w14:textId="7748CB1A" w:rsidR="00846FA4" w:rsidRDefault="00846FA4" w:rsidP="00846FA4">
      <w:pPr>
        <w:rPr>
          <w:b/>
          <w:bCs/>
        </w:rPr>
      </w:pPr>
      <w:r>
        <w:rPr>
          <w:b/>
          <w:bCs/>
        </w:rPr>
        <w:t>Non-Preferred Agents:</w:t>
      </w:r>
    </w:p>
    <w:p w14:paraId="232852C3" w14:textId="3760F608" w:rsidR="00E7165E" w:rsidRPr="00283725" w:rsidRDefault="00E7165E" w:rsidP="00E7165E">
      <w:pPr>
        <w:numPr>
          <w:ilvl w:val="0"/>
          <w:numId w:val="16"/>
        </w:numPr>
        <w:ind w:left="360"/>
        <w:rPr>
          <w:rFonts w:cs="Arial"/>
          <w:spacing w:val="-3"/>
        </w:rPr>
      </w:pPr>
      <w:r w:rsidRPr="00C82E19">
        <w:rPr>
          <w:rFonts w:cs="Arial"/>
          <w:spacing w:val="-3"/>
        </w:rPr>
        <w:t>Gvoke</w:t>
      </w:r>
      <w:r w:rsidRPr="00597EB0">
        <w:rPr>
          <w:rFonts w:cs="Arial"/>
          <w:spacing w:val="-3"/>
          <w:vertAlign w:val="superscript"/>
        </w:rPr>
        <w:t>®</w:t>
      </w:r>
    </w:p>
    <w:p w14:paraId="481BB6C9" w14:textId="21CE2966" w:rsidR="00F649BB" w:rsidRPr="00E7165E" w:rsidRDefault="00E7165E" w:rsidP="00E7165E">
      <w:pPr>
        <w:pStyle w:val="ListParagraph"/>
        <w:numPr>
          <w:ilvl w:val="0"/>
          <w:numId w:val="16"/>
        </w:numPr>
        <w:ind w:left="360"/>
      </w:pPr>
      <w:r w:rsidRPr="00352E2B">
        <w:rPr>
          <w:rFonts w:cs="Arial"/>
          <w:spacing w:val="-3"/>
        </w:rPr>
        <w:t>Zegalogue</w:t>
      </w:r>
      <w:r w:rsidRPr="00352E2B">
        <w:rPr>
          <w:rFonts w:cs="Arial"/>
          <w:spacing w:val="-3"/>
          <w:vertAlign w:val="superscript"/>
        </w:rPr>
        <w:t>®</w:t>
      </w:r>
    </w:p>
    <w:p w14:paraId="659EB369" w14:textId="77777777" w:rsidR="00E7165E" w:rsidRPr="00E7165E" w:rsidRDefault="00E7165E" w:rsidP="00E7165E">
      <w:pPr>
        <w:pStyle w:val="ListParagraph"/>
        <w:numPr>
          <w:ilvl w:val="0"/>
          <w:numId w:val="0"/>
        </w:numPr>
        <w:ind w:left="360"/>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5184FD9" w:rsidR="0097028A" w:rsidRPr="0079438F" w:rsidRDefault="0097028A" w:rsidP="00696E3A">
      <w:pPr>
        <w:rPr>
          <w:b/>
        </w:rPr>
      </w:pPr>
      <w:r w:rsidRPr="00696E3A">
        <w:rPr>
          <w:b/>
          <w:bCs/>
        </w:rPr>
        <w:t>Drug class for review:</w:t>
      </w:r>
      <w:r w:rsidRPr="00C02553">
        <w:t xml:space="preserve"> </w:t>
      </w:r>
      <w:r w:rsidR="008859E3">
        <w:rPr>
          <w:rFonts w:cs="Arial"/>
          <w:szCs w:val="20"/>
        </w:rPr>
        <w:t>Glucagon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DD9F147" w14:textId="77777777" w:rsidR="00AD56A5" w:rsidRDefault="00AD56A5" w:rsidP="00AD56A5">
      <w:pPr>
        <w:pStyle w:val="ListParagraph"/>
        <w:numPr>
          <w:ilvl w:val="0"/>
          <w:numId w:val="19"/>
        </w:numPr>
        <w:jc w:val="both"/>
        <w:rPr>
          <w:rFonts w:cs="Arial"/>
          <w:bCs/>
          <w:szCs w:val="20"/>
        </w:rPr>
      </w:pPr>
      <w:r>
        <w:rPr>
          <w:rFonts w:cs="Arial"/>
          <w:bCs/>
          <w:szCs w:val="20"/>
        </w:rPr>
        <w:t>Must meet one of the following:</w:t>
      </w:r>
    </w:p>
    <w:p w14:paraId="2D483002" w14:textId="77777777" w:rsidR="00A654A1" w:rsidRDefault="00A654A1" w:rsidP="00A654A1">
      <w:pPr>
        <w:numPr>
          <w:ilvl w:val="1"/>
          <w:numId w:val="19"/>
        </w:numPr>
        <w:ind w:left="720"/>
        <w:rPr>
          <w:rFonts w:cs="Arial"/>
          <w:szCs w:val="20"/>
        </w:rPr>
      </w:pPr>
      <w:r>
        <w:rPr>
          <w:rFonts w:cs="Arial"/>
          <w:szCs w:val="20"/>
        </w:rPr>
        <w:t xml:space="preserve">Claim is for a preferred agent; </w:t>
      </w:r>
      <w:r w:rsidRPr="00410173">
        <w:rPr>
          <w:rFonts w:cs="Arial"/>
          <w:b/>
          <w:bCs/>
          <w:szCs w:val="20"/>
        </w:rPr>
        <w:t>OR</w:t>
      </w:r>
    </w:p>
    <w:p w14:paraId="45667F43" w14:textId="77777777" w:rsidR="00A654A1" w:rsidRPr="00A879C3" w:rsidRDefault="00A654A1" w:rsidP="00A654A1">
      <w:pPr>
        <w:pStyle w:val="ListParagraph"/>
        <w:numPr>
          <w:ilvl w:val="1"/>
          <w:numId w:val="19"/>
        </w:numPr>
        <w:ind w:left="720"/>
        <w:rPr>
          <w:rFonts w:cs="Arial"/>
          <w:bCs/>
          <w:szCs w:val="20"/>
        </w:rPr>
      </w:pPr>
      <w:r w:rsidRPr="00A879C3">
        <w:rPr>
          <w:rFonts w:cs="Arial"/>
          <w:bCs/>
          <w:szCs w:val="20"/>
        </w:rPr>
        <w:t>Failure to achieve desired therapeutic outcomes with trial on 2 or more preferred agents, with one being Baqsimi (defined as 1 claim each in the past 12 months):</w:t>
      </w:r>
    </w:p>
    <w:p w14:paraId="082D1292" w14:textId="77777777" w:rsidR="00A654A1" w:rsidRPr="0082384E" w:rsidRDefault="00A654A1" w:rsidP="00A654A1">
      <w:pPr>
        <w:pStyle w:val="ListParagraph"/>
        <w:numPr>
          <w:ilvl w:val="2"/>
          <w:numId w:val="19"/>
        </w:numPr>
        <w:ind w:left="1080"/>
        <w:rPr>
          <w:rFonts w:cs="Arial"/>
          <w:bCs/>
          <w:szCs w:val="20"/>
        </w:rPr>
      </w:pPr>
      <w:r w:rsidRPr="0082384E">
        <w:rPr>
          <w:rFonts w:cs="Arial"/>
          <w:bCs/>
          <w:szCs w:val="20"/>
        </w:rPr>
        <w:t>Documented trial period for preferred agents</w:t>
      </w:r>
      <w:r>
        <w:rPr>
          <w:rFonts w:cs="Arial"/>
          <w:bCs/>
          <w:szCs w:val="20"/>
        </w:rPr>
        <w:t xml:space="preserve">; </w:t>
      </w:r>
      <w:r w:rsidRPr="0082384E">
        <w:rPr>
          <w:rFonts w:cs="Arial"/>
          <w:b/>
          <w:bCs/>
          <w:szCs w:val="20"/>
        </w:rPr>
        <w:t>OR</w:t>
      </w:r>
    </w:p>
    <w:p w14:paraId="442E2DBA" w14:textId="77777777" w:rsidR="00A654A1" w:rsidRDefault="00A654A1" w:rsidP="00A654A1">
      <w:pPr>
        <w:pStyle w:val="ListParagraph"/>
        <w:numPr>
          <w:ilvl w:val="2"/>
          <w:numId w:val="19"/>
        </w:numPr>
        <w:ind w:left="1080"/>
        <w:rPr>
          <w:rFonts w:cs="Arial"/>
          <w:bCs/>
          <w:szCs w:val="20"/>
        </w:rPr>
      </w:pPr>
      <w:r w:rsidRPr="0082384E">
        <w:rPr>
          <w:rFonts w:cs="Arial"/>
          <w:bCs/>
          <w:szCs w:val="20"/>
        </w:rPr>
        <w:t>Documented ADE/ADR to preferred agents</w:t>
      </w:r>
      <w:r>
        <w:rPr>
          <w:rFonts w:cs="Arial"/>
          <w:bCs/>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lastRenderedPageBreak/>
        <w:t>Denial Criteria</w:t>
      </w:r>
    </w:p>
    <w:p w14:paraId="2474B64B" w14:textId="77777777" w:rsidR="00583F89" w:rsidRPr="00D26EBC" w:rsidRDefault="00583F89" w:rsidP="00D26EBC">
      <w:pPr>
        <w:pStyle w:val="ListParagraph"/>
      </w:pPr>
      <w:r w:rsidRPr="00D26EBC">
        <w:t>Therapy will deny with presence of one of the following:</w:t>
      </w:r>
    </w:p>
    <w:p w14:paraId="2C822FC4" w14:textId="77777777" w:rsidR="00583F89" w:rsidRPr="00D26EBC" w:rsidRDefault="00583F89" w:rsidP="00D26EBC">
      <w:pPr>
        <w:pStyle w:val="ListParagraph"/>
        <w:numPr>
          <w:ilvl w:val="1"/>
          <w:numId w:val="6"/>
        </w:numPr>
      </w:pPr>
      <w:r w:rsidRPr="00D26EBC">
        <w:t>Any approval criteria are not met; OR</w:t>
      </w:r>
    </w:p>
    <w:p w14:paraId="196F47D9" w14:textId="125262CF" w:rsidR="00583F89" w:rsidRPr="00D26EBC" w:rsidRDefault="00583F89" w:rsidP="00D26EBC">
      <w:pPr>
        <w:pStyle w:val="ListParagraph"/>
        <w:numPr>
          <w:ilvl w:val="1"/>
          <w:numId w:val="6"/>
        </w:numPr>
      </w:pPr>
      <w:r w:rsidRPr="00D26EBC">
        <w:t xml:space="preserve">Claim exceeds </w:t>
      </w:r>
      <w:r w:rsidR="00E76EEB" w:rsidRPr="00D26EBC">
        <w:t>maximum dosing limitation for the following</w:t>
      </w:r>
      <w:r w:rsidRPr="00D26EBC">
        <w:t>:</w:t>
      </w: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9"/>
        <w:gridCol w:w="4069"/>
      </w:tblGrid>
      <w:tr w:rsidR="00F06957" w:rsidRPr="000B7672" w14:paraId="27021DF9" w14:textId="77777777" w:rsidTr="0009536E">
        <w:trPr>
          <w:trHeight w:val="510"/>
          <w:jc w:val="center"/>
        </w:trPr>
        <w:tc>
          <w:tcPr>
            <w:tcW w:w="4069" w:type="dxa"/>
            <w:shd w:val="clear" w:color="auto" w:fill="FABF8F" w:themeFill="accent6" w:themeFillTint="99"/>
            <w:tcMar>
              <w:top w:w="0" w:type="dxa"/>
              <w:left w:w="108" w:type="dxa"/>
              <w:bottom w:w="0" w:type="dxa"/>
              <w:right w:w="108" w:type="dxa"/>
            </w:tcMar>
            <w:vAlign w:val="center"/>
            <w:hideMark/>
          </w:tcPr>
          <w:p w14:paraId="2B9D4090" w14:textId="77777777" w:rsidR="00F06957" w:rsidRPr="006A3B44" w:rsidRDefault="00F06957" w:rsidP="00B61098">
            <w:pPr>
              <w:rPr>
                <w:rFonts w:cs="Arial"/>
                <w:b/>
                <w:caps/>
                <w:color w:val="1F497D" w:themeColor="text2"/>
                <w:szCs w:val="20"/>
              </w:rPr>
            </w:pPr>
            <w:r w:rsidRPr="006A3B44">
              <w:rPr>
                <w:rFonts w:cs="Arial"/>
                <w:b/>
                <w:caps/>
                <w:color w:val="1F497D" w:themeColor="text2"/>
                <w:szCs w:val="20"/>
              </w:rPr>
              <w:t>Drug Description</w:t>
            </w:r>
          </w:p>
        </w:tc>
        <w:tc>
          <w:tcPr>
            <w:tcW w:w="4069" w:type="dxa"/>
            <w:shd w:val="clear" w:color="auto" w:fill="FABF8F" w:themeFill="accent6" w:themeFillTint="99"/>
            <w:vAlign w:val="center"/>
          </w:tcPr>
          <w:p w14:paraId="4AC29CB1" w14:textId="77777777" w:rsidR="00F06957" w:rsidRPr="006A3B44" w:rsidRDefault="00F06957" w:rsidP="00B61098">
            <w:pPr>
              <w:jc w:val="center"/>
              <w:rPr>
                <w:rFonts w:cs="Arial"/>
                <w:b/>
                <w:caps/>
                <w:color w:val="1F497D" w:themeColor="text2"/>
                <w:szCs w:val="20"/>
              </w:rPr>
            </w:pPr>
            <w:r w:rsidRPr="006A3B44">
              <w:rPr>
                <w:rFonts w:cs="Arial"/>
                <w:b/>
                <w:caps/>
                <w:color w:val="1F497D" w:themeColor="text2"/>
                <w:szCs w:val="20"/>
              </w:rPr>
              <w:t>Cumulative Quantity Limit per Year</w:t>
            </w:r>
          </w:p>
        </w:tc>
      </w:tr>
      <w:tr w:rsidR="00300A9D" w:rsidRPr="000B7672" w14:paraId="7552288F" w14:textId="77777777" w:rsidTr="0009536E">
        <w:trPr>
          <w:trHeight w:val="315"/>
          <w:jc w:val="center"/>
        </w:trPr>
        <w:tc>
          <w:tcPr>
            <w:tcW w:w="4069" w:type="dxa"/>
            <w:tcBorders>
              <w:top w:val="single" w:sz="4" w:space="0" w:color="auto"/>
            </w:tcBorders>
            <w:tcMar>
              <w:top w:w="0" w:type="dxa"/>
              <w:left w:w="108" w:type="dxa"/>
              <w:bottom w:w="0" w:type="dxa"/>
              <w:right w:w="108" w:type="dxa"/>
            </w:tcMar>
            <w:vAlign w:val="center"/>
            <w:hideMark/>
          </w:tcPr>
          <w:p w14:paraId="783E0D6D" w14:textId="77777777" w:rsidR="00300A9D" w:rsidRDefault="00300A9D" w:rsidP="00B61098">
            <w:pPr>
              <w:rPr>
                <w:rFonts w:cs="Arial"/>
                <w:b/>
                <w:bCs/>
                <w:color w:val="1F497D" w:themeColor="text2"/>
                <w:szCs w:val="20"/>
              </w:rPr>
            </w:pPr>
            <w:r w:rsidRPr="006A3B44">
              <w:rPr>
                <w:rFonts w:cs="Arial"/>
                <w:b/>
                <w:bCs/>
                <w:color w:val="1F497D" w:themeColor="text2"/>
                <w:szCs w:val="20"/>
              </w:rPr>
              <w:t>GLUCAGON 1 MG EMERGENCY KIT</w:t>
            </w:r>
          </w:p>
          <w:p w14:paraId="59622B70" w14:textId="77777777" w:rsidR="00145A4F" w:rsidRDefault="00145A4F" w:rsidP="00B61098">
            <w:pPr>
              <w:rPr>
                <w:rFonts w:cs="Arial"/>
                <w:b/>
                <w:bCs/>
                <w:color w:val="1F497D" w:themeColor="text2"/>
                <w:szCs w:val="20"/>
              </w:rPr>
            </w:pPr>
            <w:r w:rsidRPr="006A3B44">
              <w:rPr>
                <w:rFonts w:cs="Arial"/>
                <w:b/>
                <w:bCs/>
                <w:color w:val="1F497D" w:themeColor="text2"/>
                <w:szCs w:val="20"/>
              </w:rPr>
              <w:t>GLUCAGEN 1 MG HYPOKIT</w:t>
            </w:r>
          </w:p>
          <w:p w14:paraId="1744B3F9" w14:textId="26294487" w:rsidR="00145A4F" w:rsidRPr="006A3B44" w:rsidRDefault="00145A4F" w:rsidP="00B61098">
            <w:pPr>
              <w:rPr>
                <w:rFonts w:cs="Arial"/>
                <w:b/>
                <w:bCs/>
                <w:color w:val="1F497D" w:themeColor="text2"/>
                <w:szCs w:val="20"/>
              </w:rPr>
            </w:pPr>
            <w:r w:rsidRPr="006A3B44">
              <w:rPr>
                <w:rFonts w:cs="Arial"/>
                <w:b/>
                <w:bCs/>
                <w:color w:val="1F497D" w:themeColor="text2"/>
                <w:szCs w:val="20"/>
              </w:rPr>
              <w:t>BAQSIMI 3 MG SPRAY     </w:t>
            </w:r>
          </w:p>
        </w:tc>
        <w:tc>
          <w:tcPr>
            <w:tcW w:w="4069" w:type="dxa"/>
            <w:tcBorders>
              <w:top w:val="single" w:sz="4" w:space="0" w:color="auto"/>
            </w:tcBorders>
            <w:vAlign w:val="center"/>
          </w:tcPr>
          <w:p w14:paraId="41B91B1E" w14:textId="4BD94E88" w:rsidR="00300A9D" w:rsidRPr="006A3B44" w:rsidRDefault="008E2147" w:rsidP="00B61098">
            <w:pPr>
              <w:jc w:val="center"/>
              <w:rPr>
                <w:rFonts w:cs="Arial"/>
                <w:b/>
                <w:bCs/>
                <w:color w:val="1F497D" w:themeColor="text2"/>
                <w:szCs w:val="20"/>
              </w:rPr>
            </w:pPr>
            <w:r w:rsidRPr="006A3B44">
              <w:rPr>
                <w:rFonts w:cs="Arial"/>
                <w:b/>
                <w:bCs/>
                <w:color w:val="1F497D" w:themeColor="text2"/>
                <w:szCs w:val="20"/>
              </w:rPr>
              <w:t>24 units per year</w:t>
            </w:r>
          </w:p>
        </w:tc>
      </w:tr>
      <w:tr w:rsidR="00300A9D" w:rsidRPr="000B7672" w14:paraId="274C0A24" w14:textId="77777777" w:rsidTr="0009536E">
        <w:trPr>
          <w:trHeight w:val="300"/>
          <w:jc w:val="center"/>
        </w:trPr>
        <w:tc>
          <w:tcPr>
            <w:tcW w:w="4069" w:type="dxa"/>
            <w:tcMar>
              <w:top w:w="0" w:type="dxa"/>
              <w:left w:w="108" w:type="dxa"/>
              <w:bottom w:w="0" w:type="dxa"/>
              <w:right w:w="108" w:type="dxa"/>
            </w:tcMar>
            <w:vAlign w:val="center"/>
          </w:tcPr>
          <w:p w14:paraId="355614DD" w14:textId="77777777" w:rsidR="00300A9D" w:rsidRPr="00B31414" w:rsidRDefault="00300A9D" w:rsidP="00B61098">
            <w:pPr>
              <w:rPr>
                <w:rFonts w:cs="Arial"/>
                <w:b/>
                <w:bCs/>
                <w:color w:val="1F497D" w:themeColor="text2"/>
                <w:szCs w:val="20"/>
                <w:lang w:val="it-IT"/>
              </w:rPr>
            </w:pPr>
            <w:r w:rsidRPr="00B31414">
              <w:rPr>
                <w:rFonts w:cs="Arial"/>
                <w:b/>
                <w:bCs/>
                <w:color w:val="1F497D" w:themeColor="text2"/>
                <w:szCs w:val="20"/>
                <w:lang w:val="it-IT"/>
              </w:rPr>
              <w:t>ZEGALOGUE 0.6 MG/0.6 ML SYRINGE</w:t>
            </w:r>
          </w:p>
          <w:p w14:paraId="00244B58" w14:textId="426B2CB0" w:rsidR="003334E0" w:rsidRPr="00B31414" w:rsidRDefault="003334E0" w:rsidP="00B61098">
            <w:pPr>
              <w:rPr>
                <w:rFonts w:cs="Arial"/>
                <w:b/>
                <w:bCs/>
                <w:color w:val="1F497D" w:themeColor="text2"/>
                <w:szCs w:val="20"/>
                <w:lang w:val="it-IT"/>
              </w:rPr>
            </w:pPr>
            <w:r w:rsidRPr="00B31414">
              <w:rPr>
                <w:rFonts w:cs="Arial"/>
                <w:b/>
                <w:bCs/>
                <w:color w:val="1F497D" w:themeColor="text2"/>
                <w:szCs w:val="20"/>
                <w:lang w:val="it-IT"/>
              </w:rPr>
              <w:t>ZEGALOGUE 0.6 MG/0.6ML AUTOINJ</w:t>
            </w:r>
          </w:p>
        </w:tc>
        <w:tc>
          <w:tcPr>
            <w:tcW w:w="4069" w:type="dxa"/>
            <w:vAlign w:val="center"/>
          </w:tcPr>
          <w:p w14:paraId="0B6B1D34" w14:textId="670B6586" w:rsidR="00300A9D" w:rsidRPr="006A3B44" w:rsidRDefault="006449A4" w:rsidP="00B61098">
            <w:pPr>
              <w:jc w:val="center"/>
              <w:rPr>
                <w:rFonts w:cs="Arial"/>
                <w:b/>
                <w:bCs/>
                <w:color w:val="1F497D" w:themeColor="text2"/>
                <w:szCs w:val="20"/>
              </w:rPr>
            </w:pPr>
            <w:r w:rsidRPr="006A3B44">
              <w:rPr>
                <w:rFonts w:cs="Arial"/>
                <w:b/>
                <w:bCs/>
                <w:color w:val="1F497D" w:themeColor="text2"/>
                <w:szCs w:val="20"/>
              </w:rPr>
              <w:t>14.4 mLs per year</w:t>
            </w:r>
          </w:p>
        </w:tc>
      </w:tr>
      <w:tr w:rsidR="00300A9D" w:rsidRPr="000B7672" w14:paraId="528B66B2" w14:textId="77777777" w:rsidTr="0009536E">
        <w:trPr>
          <w:trHeight w:val="300"/>
          <w:jc w:val="center"/>
        </w:trPr>
        <w:tc>
          <w:tcPr>
            <w:tcW w:w="4069" w:type="dxa"/>
            <w:tcMar>
              <w:top w:w="0" w:type="dxa"/>
              <w:left w:w="108" w:type="dxa"/>
              <w:bottom w:w="0" w:type="dxa"/>
              <w:right w:w="108" w:type="dxa"/>
            </w:tcMar>
            <w:vAlign w:val="center"/>
          </w:tcPr>
          <w:p w14:paraId="353C9506" w14:textId="77777777" w:rsidR="00300A9D" w:rsidRDefault="00300A9D" w:rsidP="00B61098">
            <w:pPr>
              <w:rPr>
                <w:rFonts w:cs="Arial"/>
                <w:b/>
                <w:bCs/>
                <w:color w:val="1F497D" w:themeColor="text2"/>
                <w:szCs w:val="20"/>
              </w:rPr>
            </w:pPr>
            <w:r w:rsidRPr="006A3B44">
              <w:rPr>
                <w:rFonts w:cs="Arial"/>
                <w:b/>
                <w:bCs/>
                <w:color w:val="1F497D" w:themeColor="text2"/>
                <w:szCs w:val="20"/>
              </w:rPr>
              <w:t>GVOKE PFS 1 MG/0.2 ML SYR</w:t>
            </w:r>
          </w:p>
          <w:p w14:paraId="3FA44D0D" w14:textId="77777777" w:rsidR="003334E0" w:rsidRDefault="003334E0" w:rsidP="00B61098">
            <w:pPr>
              <w:rPr>
                <w:rFonts w:cs="Arial"/>
                <w:b/>
                <w:bCs/>
                <w:color w:val="1F497D" w:themeColor="text2"/>
                <w:szCs w:val="20"/>
              </w:rPr>
            </w:pPr>
            <w:r w:rsidRPr="006A3B44">
              <w:rPr>
                <w:rFonts w:cs="Arial"/>
                <w:b/>
                <w:bCs/>
                <w:color w:val="1F497D" w:themeColor="text2"/>
                <w:szCs w:val="20"/>
              </w:rPr>
              <w:t>GVOKE HYPOPEN 1 MG/0.2 ML</w:t>
            </w:r>
          </w:p>
          <w:p w14:paraId="62F7AF3C" w14:textId="1D2CCA5C" w:rsidR="003334E0" w:rsidRPr="006A3B44" w:rsidRDefault="003334E0" w:rsidP="00B61098">
            <w:pPr>
              <w:rPr>
                <w:rFonts w:cs="Arial"/>
                <w:b/>
                <w:bCs/>
                <w:color w:val="1F497D" w:themeColor="text2"/>
                <w:szCs w:val="20"/>
              </w:rPr>
            </w:pPr>
            <w:r w:rsidRPr="006A3B44">
              <w:rPr>
                <w:rFonts w:cs="Arial"/>
                <w:b/>
                <w:bCs/>
                <w:color w:val="1F497D" w:themeColor="text2"/>
                <w:szCs w:val="20"/>
              </w:rPr>
              <w:t>GVOKE 1 MG/0.2 ML KIT</w:t>
            </w:r>
          </w:p>
        </w:tc>
        <w:tc>
          <w:tcPr>
            <w:tcW w:w="4069" w:type="dxa"/>
            <w:vAlign w:val="center"/>
          </w:tcPr>
          <w:p w14:paraId="530A7084" w14:textId="0442933A" w:rsidR="00300A9D" w:rsidRPr="006A3B44" w:rsidRDefault="00D51EE6" w:rsidP="00B61098">
            <w:pPr>
              <w:jc w:val="center"/>
              <w:rPr>
                <w:rFonts w:cs="Arial"/>
                <w:b/>
                <w:bCs/>
                <w:color w:val="1F497D" w:themeColor="text2"/>
                <w:szCs w:val="20"/>
              </w:rPr>
            </w:pPr>
            <w:r w:rsidRPr="006A3B44">
              <w:rPr>
                <w:rFonts w:cs="Arial"/>
                <w:b/>
                <w:bCs/>
                <w:color w:val="1F497D" w:themeColor="text2"/>
                <w:szCs w:val="20"/>
              </w:rPr>
              <w:t>4.8 mLs per year</w:t>
            </w:r>
          </w:p>
        </w:tc>
      </w:tr>
      <w:tr w:rsidR="00300A9D" w:rsidRPr="000B7672" w14:paraId="5B86F5A3" w14:textId="77777777" w:rsidTr="0009536E">
        <w:trPr>
          <w:trHeight w:val="300"/>
          <w:jc w:val="center"/>
        </w:trPr>
        <w:tc>
          <w:tcPr>
            <w:tcW w:w="4069" w:type="dxa"/>
            <w:tcMar>
              <w:top w:w="0" w:type="dxa"/>
              <w:left w:w="108" w:type="dxa"/>
              <w:bottom w:w="0" w:type="dxa"/>
              <w:right w:w="108" w:type="dxa"/>
            </w:tcMar>
            <w:vAlign w:val="center"/>
          </w:tcPr>
          <w:p w14:paraId="69F356A1" w14:textId="77777777" w:rsidR="00300A9D" w:rsidRDefault="00300A9D" w:rsidP="00B61098">
            <w:pPr>
              <w:rPr>
                <w:rFonts w:cs="Arial"/>
                <w:b/>
                <w:bCs/>
                <w:color w:val="1F497D" w:themeColor="text2"/>
                <w:szCs w:val="20"/>
              </w:rPr>
            </w:pPr>
            <w:r w:rsidRPr="006A3B44">
              <w:rPr>
                <w:rFonts w:cs="Arial"/>
                <w:b/>
                <w:bCs/>
                <w:color w:val="1F497D" w:themeColor="text2"/>
                <w:szCs w:val="20"/>
              </w:rPr>
              <w:t>GVOKE PFS 0.5 MG/0.1 ML SYR</w:t>
            </w:r>
          </w:p>
          <w:p w14:paraId="5433DD79" w14:textId="374F5134" w:rsidR="003334E0" w:rsidRPr="006A3B44" w:rsidRDefault="003334E0" w:rsidP="00B61098">
            <w:pPr>
              <w:rPr>
                <w:rFonts w:cs="Arial"/>
                <w:b/>
                <w:bCs/>
                <w:color w:val="1F497D" w:themeColor="text2"/>
                <w:szCs w:val="20"/>
              </w:rPr>
            </w:pPr>
            <w:r w:rsidRPr="006A3B44">
              <w:rPr>
                <w:rFonts w:cs="Arial"/>
                <w:b/>
                <w:bCs/>
                <w:color w:val="1F497D" w:themeColor="text2"/>
                <w:szCs w:val="20"/>
              </w:rPr>
              <w:t>GVOKE HYPOPEN 0.5MG/0.1 ML</w:t>
            </w:r>
          </w:p>
        </w:tc>
        <w:tc>
          <w:tcPr>
            <w:tcW w:w="4069" w:type="dxa"/>
            <w:vAlign w:val="center"/>
          </w:tcPr>
          <w:p w14:paraId="64C45893" w14:textId="7A72CF55" w:rsidR="00300A9D" w:rsidRPr="006A3B44" w:rsidRDefault="009C44C2" w:rsidP="00B61098">
            <w:pPr>
              <w:jc w:val="center"/>
              <w:rPr>
                <w:rFonts w:cs="Arial"/>
                <w:b/>
                <w:bCs/>
                <w:color w:val="1F497D" w:themeColor="text2"/>
                <w:szCs w:val="20"/>
              </w:rPr>
            </w:pPr>
            <w:r w:rsidRPr="006A3B44">
              <w:rPr>
                <w:rFonts w:cs="Arial"/>
                <w:b/>
                <w:bCs/>
                <w:color w:val="1F497D" w:themeColor="text2"/>
                <w:szCs w:val="20"/>
              </w:rPr>
              <w:t>2.4 mLs per year</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5C0CCDA0" w14:textId="77777777" w:rsidR="00FF35DA" w:rsidRPr="00EF1544" w:rsidRDefault="00FF35DA" w:rsidP="00FF35DA">
      <w:pPr>
        <w:pStyle w:val="ListParagraph"/>
      </w:pPr>
      <w:r w:rsidRPr="00EF1544">
        <w:t>Evidence-Based Medicine and Fiscal Analysis: “Glucagon Products – Therapeutic Class Review”, Conduent Business Services, L.L.C., Richmond, VA; November 2021.</w:t>
      </w:r>
    </w:p>
    <w:p w14:paraId="72394D7C" w14:textId="7AF5C29E" w:rsidR="00FF35DA" w:rsidRPr="00EF1544" w:rsidRDefault="00FF35DA" w:rsidP="00FF35DA">
      <w:pPr>
        <w:pStyle w:val="ListParagraph"/>
      </w:pPr>
      <w:r>
        <w:t xml:space="preserve">Evidence-Based Medicine Analysis: “Glucagon Products”, UMKC-DIC; </w:t>
      </w:r>
      <w:r w:rsidR="22169064">
        <w:t xml:space="preserve">September </w:t>
      </w:r>
      <w:r>
        <w:t>202</w:t>
      </w:r>
      <w:r w:rsidR="531A9FF0">
        <w:t>5</w:t>
      </w:r>
      <w:r>
        <w:t>.</w:t>
      </w:r>
    </w:p>
    <w:p w14:paraId="1B5E9080" w14:textId="3CA859FD" w:rsidR="00FF35DA" w:rsidRPr="00EF1544" w:rsidRDefault="00FF35DA" w:rsidP="00FF35DA">
      <w:pPr>
        <w:pStyle w:val="ListParagraph"/>
      </w:pPr>
      <w:r w:rsidRPr="00EF1544">
        <w:t>USPDI, Micromedex; 202</w:t>
      </w:r>
      <w:r>
        <w:t>5</w:t>
      </w:r>
      <w:r w:rsidRPr="00EF1544">
        <w:t>.</w:t>
      </w:r>
    </w:p>
    <w:p w14:paraId="15DA3B1F" w14:textId="1E5CEF8C" w:rsidR="00FF35DA" w:rsidRDefault="00FF35DA" w:rsidP="00FF35DA">
      <w:pPr>
        <w:pStyle w:val="ListParagraph"/>
      </w:pPr>
      <w:r w:rsidRPr="00EF1544">
        <w:t>Drug Facts and Comparisons On-line; 202</w:t>
      </w:r>
      <w:r>
        <w:t>5</w:t>
      </w:r>
      <w:r w:rsidRPr="00EF1544">
        <w:t>.</w:t>
      </w:r>
    </w:p>
    <w:p w14:paraId="435FE38B" w14:textId="701AC5B6" w:rsidR="00045FF3" w:rsidRDefault="00FF35DA" w:rsidP="00FF35DA">
      <w:pPr>
        <w:pStyle w:val="ListParagraph"/>
      </w:pPr>
      <w:r w:rsidRPr="006B6CAC">
        <w:t>Rickels MR, Ruedy KJ, Foster NC, et al. Intranasal Glucagon for Treatment of Insulin-Induced Hypoglycemia in Adults With Type 1 Diabetes: A Randomized Crossover Noninferiority Study. </w:t>
      </w:r>
      <w:r w:rsidRPr="006B6CAC">
        <w:rPr>
          <w:i/>
          <w:iCs/>
        </w:rPr>
        <w:t>Diabetes Care</w:t>
      </w:r>
      <w:r w:rsidRPr="006B6CAC">
        <w:t>. 2016;39(2):264-270. doi:10.2337/dc15-1498</w:t>
      </w:r>
      <w:r w:rsidR="00045FF3">
        <w:t>.</w:t>
      </w:r>
    </w:p>
    <w:sectPr w:rsidR="00045FF3"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EB5C" w14:textId="77777777" w:rsidR="00E65216" w:rsidRPr="00C02553" w:rsidRDefault="00E65216" w:rsidP="00AE77DB">
      <w:r w:rsidRPr="00C02553">
        <w:separator/>
      </w:r>
    </w:p>
  </w:endnote>
  <w:endnote w:type="continuationSeparator" w:id="0">
    <w:p w14:paraId="5E216AA2" w14:textId="77777777" w:rsidR="00E65216" w:rsidRPr="00C02553" w:rsidRDefault="00E65216" w:rsidP="00AE77DB">
      <w:r w:rsidRPr="00C02553">
        <w:continuationSeparator/>
      </w:r>
    </w:p>
  </w:endnote>
  <w:endnote w:type="continuationNotice" w:id="1">
    <w:p w14:paraId="24524CEE" w14:textId="77777777" w:rsidR="00E65216" w:rsidRPr="00C02553" w:rsidRDefault="00E65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68B5" w14:textId="77777777" w:rsidR="00E65216" w:rsidRPr="00C02553" w:rsidRDefault="00E65216" w:rsidP="00AE77DB">
      <w:r w:rsidRPr="00C02553">
        <w:separator/>
      </w:r>
    </w:p>
  </w:footnote>
  <w:footnote w:type="continuationSeparator" w:id="0">
    <w:p w14:paraId="01645ED1" w14:textId="77777777" w:rsidR="00E65216" w:rsidRPr="00C02553" w:rsidRDefault="00E65216" w:rsidP="00AE77DB">
      <w:r w:rsidRPr="00C02553">
        <w:continuationSeparator/>
      </w:r>
    </w:p>
  </w:footnote>
  <w:footnote w:type="continuationNotice" w:id="1">
    <w:p w14:paraId="58592594" w14:textId="77777777" w:rsidR="00E65216" w:rsidRPr="00C02553" w:rsidRDefault="00E65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E1485F">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E1485F">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1485F">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FC415EE"/>
    <w:multiLevelType w:val="hybridMultilevel"/>
    <w:tmpl w:val="6320272C"/>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71D91"/>
    <w:multiLevelType w:val="hybridMultilevel"/>
    <w:tmpl w:val="D2A22164"/>
    <w:lvl w:ilvl="0" w:tplc="62C81C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514D9A"/>
    <w:multiLevelType w:val="hybridMultilevel"/>
    <w:tmpl w:val="98FC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340355"/>
    <w:multiLevelType w:val="hybridMultilevel"/>
    <w:tmpl w:val="A9A0C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70E2A"/>
    <w:multiLevelType w:val="hybridMultilevel"/>
    <w:tmpl w:val="AF528AA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E1B6F92"/>
    <w:multiLevelType w:val="hybridMultilevel"/>
    <w:tmpl w:val="2C60A5D4"/>
    <w:lvl w:ilvl="0" w:tplc="04090001">
      <w:start w:val="1"/>
      <w:numFmt w:val="bullet"/>
      <w:lvlText w:val=""/>
      <w:lvlJc w:val="left"/>
      <w:pPr>
        <w:tabs>
          <w:tab w:val="num" w:pos="159"/>
        </w:tabs>
        <w:ind w:left="159" w:hanging="360"/>
      </w:pPr>
      <w:rPr>
        <w:rFonts w:ascii="Symbol" w:hAnsi="Symbol" w:hint="default"/>
      </w:rPr>
    </w:lvl>
    <w:lvl w:ilvl="1" w:tplc="04090019" w:tentative="1">
      <w:start w:val="1"/>
      <w:numFmt w:val="lowerLetter"/>
      <w:lvlText w:val="%2."/>
      <w:lvlJc w:val="left"/>
      <w:pPr>
        <w:tabs>
          <w:tab w:val="num" w:pos="879"/>
        </w:tabs>
        <w:ind w:left="879" w:hanging="360"/>
      </w:pPr>
    </w:lvl>
    <w:lvl w:ilvl="2" w:tplc="0409001B" w:tentative="1">
      <w:start w:val="1"/>
      <w:numFmt w:val="lowerRoman"/>
      <w:lvlText w:val="%3."/>
      <w:lvlJc w:val="right"/>
      <w:pPr>
        <w:tabs>
          <w:tab w:val="num" w:pos="1599"/>
        </w:tabs>
        <w:ind w:left="1599" w:hanging="180"/>
      </w:pPr>
    </w:lvl>
    <w:lvl w:ilvl="3" w:tplc="0409000F" w:tentative="1">
      <w:start w:val="1"/>
      <w:numFmt w:val="decimal"/>
      <w:lvlText w:val="%4."/>
      <w:lvlJc w:val="left"/>
      <w:pPr>
        <w:tabs>
          <w:tab w:val="num" w:pos="2319"/>
        </w:tabs>
        <w:ind w:left="2319" w:hanging="360"/>
      </w:pPr>
    </w:lvl>
    <w:lvl w:ilvl="4" w:tplc="04090019" w:tentative="1">
      <w:start w:val="1"/>
      <w:numFmt w:val="lowerLetter"/>
      <w:lvlText w:val="%5."/>
      <w:lvlJc w:val="left"/>
      <w:pPr>
        <w:tabs>
          <w:tab w:val="num" w:pos="3039"/>
        </w:tabs>
        <w:ind w:left="3039" w:hanging="360"/>
      </w:pPr>
    </w:lvl>
    <w:lvl w:ilvl="5" w:tplc="0409001B" w:tentative="1">
      <w:start w:val="1"/>
      <w:numFmt w:val="lowerRoman"/>
      <w:lvlText w:val="%6."/>
      <w:lvlJc w:val="right"/>
      <w:pPr>
        <w:tabs>
          <w:tab w:val="num" w:pos="3759"/>
        </w:tabs>
        <w:ind w:left="3759" w:hanging="180"/>
      </w:pPr>
    </w:lvl>
    <w:lvl w:ilvl="6" w:tplc="0409000F" w:tentative="1">
      <w:start w:val="1"/>
      <w:numFmt w:val="decimal"/>
      <w:lvlText w:val="%7."/>
      <w:lvlJc w:val="left"/>
      <w:pPr>
        <w:tabs>
          <w:tab w:val="num" w:pos="4479"/>
        </w:tabs>
        <w:ind w:left="4479" w:hanging="360"/>
      </w:pPr>
    </w:lvl>
    <w:lvl w:ilvl="7" w:tplc="04090019" w:tentative="1">
      <w:start w:val="1"/>
      <w:numFmt w:val="lowerLetter"/>
      <w:lvlText w:val="%8."/>
      <w:lvlJc w:val="left"/>
      <w:pPr>
        <w:tabs>
          <w:tab w:val="num" w:pos="5199"/>
        </w:tabs>
        <w:ind w:left="5199" w:hanging="360"/>
      </w:pPr>
    </w:lvl>
    <w:lvl w:ilvl="8" w:tplc="0409001B" w:tentative="1">
      <w:start w:val="1"/>
      <w:numFmt w:val="lowerRoman"/>
      <w:lvlText w:val="%9."/>
      <w:lvlJc w:val="right"/>
      <w:pPr>
        <w:tabs>
          <w:tab w:val="num" w:pos="5919"/>
        </w:tabs>
        <w:ind w:left="5919" w:hanging="180"/>
      </w:pPr>
    </w:lvl>
  </w:abstractNum>
  <w:abstractNum w:abstractNumId="19"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CE05AF"/>
    <w:multiLevelType w:val="hybridMultilevel"/>
    <w:tmpl w:val="911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DF3321F"/>
    <w:multiLevelType w:val="hybridMultilevel"/>
    <w:tmpl w:val="75E0A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2"/>
  </w:num>
  <w:num w:numId="3" w16cid:durableId="1729067566">
    <w:abstractNumId w:val="4"/>
  </w:num>
  <w:num w:numId="4" w16cid:durableId="320159068">
    <w:abstractNumId w:val="10"/>
  </w:num>
  <w:num w:numId="5" w16cid:durableId="1769498754">
    <w:abstractNumId w:val="3"/>
  </w:num>
  <w:num w:numId="6" w16cid:durableId="1094596320">
    <w:abstractNumId w:val="19"/>
  </w:num>
  <w:num w:numId="7" w16cid:durableId="2110008555">
    <w:abstractNumId w:val="2"/>
  </w:num>
  <w:num w:numId="8" w16cid:durableId="489712751">
    <w:abstractNumId w:val="9"/>
  </w:num>
  <w:num w:numId="9" w16cid:durableId="1085147965">
    <w:abstractNumId w:val="14"/>
  </w:num>
  <w:num w:numId="10" w16cid:durableId="917518096">
    <w:abstractNumId w:val="11"/>
  </w:num>
  <w:num w:numId="11" w16cid:durableId="1894998475">
    <w:abstractNumId w:val="1"/>
  </w:num>
  <w:num w:numId="12" w16cid:durableId="1418215296">
    <w:abstractNumId w:val="20"/>
  </w:num>
  <w:num w:numId="13" w16cid:durableId="604729665">
    <w:abstractNumId w:val="7"/>
  </w:num>
  <w:num w:numId="14" w16cid:durableId="1805081292">
    <w:abstractNumId w:val="16"/>
  </w:num>
  <w:num w:numId="15" w16cid:durableId="1430270706">
    <w:abstractNumId w:val="13"/>
  </w:num>
  <w:num w:numId="16" w16cid:durableId="1339120181">
    <w:abstractNumId w:val="21"/>
  </w:num>
  <w:num w:numId="17" w16cid:durableId="1187216254">
    <w:abstractNumId w:val="6"/>
  </w:num>
  <w:num w:numId="18" w16cid:durableId="1832258742">
    <w:abstractNumId w:val="5"/>
  </w:num>
  <w:num w:numId="19" w16cid:durableId="142738471">
    <w:abstractNumId w:val="15"/>
  </w:num>
  <w:num w:numId="20" w16cid:durableId="133983800">
    <w:abstractNumId w:val="17"/>
  </w:num>
  <w:num w:numId="21" w16cid:durableId="228001231">
    <w:abstractNumId w:val="8"/>
  </w:num>
  <w:num w:numId="22" w16cid:durableId="1948466696">
    <w:abstractNumId w:val="12"/>
  </w:num>
  <w:num w:numId="23" w16cid:durableId="1626693916">
    <w:abstractNumId w:val="23"/>
  </w:num>
  <w:num w:numId="24" w16cid:durableId="114828191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276D9"/>
    <w:rsid w:val="00040AD3"/>
    <w:rsid w:val="00045FF3"/>
    <w:rsid w:val="00053807"/>
    <w:rsid w:val="000572E5"/>
    <w:rsid w:val="00061541"/>
    <w:rsid w:val="00064162"/>
    <w:rsid w:val="00065C22"/>
    <w:rsid w:val="00073744"/>
    <w:rsid w:val="00074464"/>
    <w:rsid w:val="00075A15"/>
    <w:rsid w:val="00076030"/>
    <w:rsid w:val="00082590"/>
    <w:rsid w:val="000913C3"/>
    <w:rsid w:val="0009536E"/>
    <w:rsid w:val="000953B9"/>
    <w:rsid w:val="00097DD5"/>
    <w:rsid w:val="000A28DA"/>
    <w:rsid w:val="000A413B"/>
    <w:rsid w:val="000A6279"/>
    <w:rsid w:val="000B3E44"/>
    <w:rsid w:val="000B496B"/>
    <w:rsid w:val="000C3940"/>
    <w:rsid w:val="000C5992"/>
    <w:rsid w:val="000E1479"/>
    <w:rsid w:val="000E231E"/>
    <w:rsid w:val="000E247D"/>
    <w:rsid w:val="000E6B14"/>
    <w:rsid w:val="000E70D8"/>
    <w:rsid w:val="000F610C"/>
    <w:rsid w:val="001062F6"/>
    <w:rsid w:val="00112FC7"/>
    <w:rsid w:val="00125F5F"/>
    <w:rsid w:val="00126951"/>
    <w:rsid w:val="00126B60"/>
    <w:rsid w:val="00127EF6"/>
    <w:rsid w:val="001310AD"/>
    <w:rsid w:val="001314A5"/>
    <w:rsid w:val="00132C7F"/>
    <w:rsid w:val="00144DBE"/>
    <w:rsid w:val="00145A4F"/>
    <w:rsid w:val="00152C8B"/>
    <w:rsid w:val="0015636A"/>
    <w:rsid w:val="00172053"/>
    <w:rsid w:val="00177A80"/>
    <w:rsid w:val="001A50CB"/>
    <w:rsid w:val="001A74B7"/>
    <w:rsid w:val="001B2D47"/>
    <w:rsid w:val="001C0250"/>
    <w:rsid w:val="001C6DA4"/>
    <w:rsid w:val="001C73B1"/>
    <w:rsid w:val="001C7ECA"/>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3B3D"/>
    <w:rsid w:val="00226275"/>
    <w:rsid w:val="0024208D"/>
    <w:rsid w:val="00246564"/>
    <w:rsid w:val="00246A3B"/>
    <w:rsid w:val="00255404"/>
    <w:rsid w:val="0025594F"/>
    <w:rsid w:val="00270C5E"/>
    <w:rsid w:val="00290A03"/>
    <w:rsid w:val="0029159A"/>
    <w:rsid w:val="00291600"/>
    <w:rsid w:val="002A02F4"/>
    <w:rsid w:val="002C2C41"/>
    <w:rsid w:val="002C62E7"/>
    <w:rsid w:val="002E02B3"/>
    <w:rsid w:val="002E05E2"/>
    <w:rsid w:val="002E2DD6"/>
    <w:rsid w:val="002E3F28"/>
    <w:rsid w:val="002F0E52"/>
    <w:rsid w:val="002F2274"/>
    <w:rsid w:val="002F2405"/>
    <w:rsid w:val="002F690F"/>
    <w:rsid w:val="00300A9D"/>
    <w:rsid w:val="0030301F"/>
    <w:rsid w:val="00303B21"/>
    <w:rsid w:val="00313701"/>
    <w:rsid w:val="00314430"/>
    <w:rsid w:val="00316188"/>
    <w:rsid w:val="003171AF"/>
    <w:rsid w:val="00317469"/>
    <w:rsid w:val="0032215C"/>
    <w:rsid w:val="003247DF"/>
    <w:rsid w:val="0032616B"/>
    <w:rsid w:val="00326687"/>
    <w:rsid w:val="003275F9"/>
    <w:rsid w:val="003334E0"/>
    <w:rsid w:val="003355AC"/>
    <w:rsid w:val="00343D6B"/>
    <w:rsid w:val="00347FB5"/>
    <w:rsid w:val="00355515"/>
    <w:rsid w:val="003608B5"/>
    <w:rsid w:val="003613AF"/>
    <w:rsid w:val="003878C1"/>
    <w:rsid w:val="00396C0B"/>
    <w:rsid w:val="003A3439"/>
    <w:rsid w:val="003A630F"/>
    <w:rsid w:val="003B3958"/>
    <w:rsid w:val="003B4820"/>
    <w:rsid w:val="003B5F4B"/>
    <w:rsid w:val="003B682F"/>
    <w:rsid w:val="003C43B2"/>
    <w:rsid w:val="003C53FC"/>
    <w:rsid w:val="003C7013"/>
    <w:rsid w:val="003D2585"/>
    <w:rsid w:val="003D641B"/>
    <w:rsid w:val="003F227C"/>
    <w:rsid w:val="004023CC"/>
    <w:rsid w:val="00407564"/>
    <w:rsid w:val="00411152"/>
    <w:rsid w:val="004156AA"/>
    <w:rsid w:val="0042483B"/>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0FA2"/>
    <w:rsid w:val="005328B2"/>
    <w:rsid w:val="00535BD5"/>
    <w:rsid w:val="00540977"/>
    <w:rsid w:val="00551668"/>
    <w:rsid w:val="005572D5"/>
    <w:rsid w:val="00566BE4"/>
    <w:rsid w:val="00570D21"/>
    <w:rsid w:val="00576113"/>
    <w:rsid w:val="00583F89"/>
    <w:rsid w:val="00590652"/>
    <w:rsid w:val="00591601"/>
    <w:rsid w:val="0059235F"/>
    <w:rsid w:val="00596936"/>
    <w:rsid w:val="005A2F1E"/>
    <w:rsid w:val="005A4232"/>
    <w:rsid w:val="005C3616"/>
    <w:rsid w:val="005D36B2"/>
    <w:rsid w:val="005D52E7"/>
    <w:rsid w:val="005D78B5"/>
    <w:rsid w:val="005E1277"/>
    <w:rsid w:val="005E3572"/>
    <w:rsid w:val="005E45E4"/>
    <w:rsid w:val="005F0A81"/>
    <w:rsid w:val="005F0FCF"/>
    <w:rsid w:val="0060042F"/>
    <w:rsid w:val="006008BC"/>
    <w:rsid w:val="0060099B"/>
    <w:rsid w:val="00602CFD"/>
    <w:rsid w:val="006047E9"/>
    <w:rsid w:val="00606B55"/>
    <w:rsid w:val="00612A7B"/>
    <w:rsid w:val="00616E5E"/>
    <w:rsid w:val="006173A4"/>
    <w:rsid w:val="00617E50"/>
    <w:rsid w:val="006205AD"/>
    <w:rsid w:val="00625C3A"/>
    <w:rsid w:val="00635DDB"/>
    <w:rsid w:val="0064149A"/>
    <w:rsid w:val="006449A4"/>
    <w:rsid w:val="00646DFE"/>
    <w:rsid w:val="00650530"/>
    <w:rsid w:val="00650C96"/>
    <w:rsid w:val="00653788"/>
    <w:rsid w:val="0065477F"/>
    <w:rsid w:val="00656896"/>
    <w:rsid w:val="00657CBD"/>
    <w:rsid w:val="00661656"/>
    <w:rsid w:val="0066374F"/>
    <w:rsid w:val="00677C65"/>
    <w:rsid w:val="00693152"/>
    <w:rsid w:val="00694FAE"/>
    <w:rsid w:val="00696E3A"/>
    <w:rsid w:val="006A0834"/>
    <w:rsid w:val="006A4BBD"/>
    <w:rsid w:val="006A52F1"/>
    <w:rsid w:val="006B561D"/>
    <w:rsid w:val="006B6D5D"/>
    <w:rsid w:val="006D2330"/>
    <w:rsid w:val="006D5419"/>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859E3"/>
    <w:rsid w:val="00896264"/>
    <w:rsid w:val="008A077E"/>
    <w:rsid w:val="008A5D88"/>
    <w:rsid w:val="008B2851"/>
    <w:rsid w:val="008B6DDC"/>
    <w:rsid w:val="008C000E"/>
    <w:rsid w:val="008D0F2F"/>
    <w:rsid w:val="008D237F"/>
    <w:rsid w:val="008D3FD8"/>
    <w:rsid w:val="008D6B05"/>
    <w:rsid w:val="008E2147"/>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B3D27"/>
    <w:rsid w:val="009C3CC7"/>
    <w:rsid w:val="009C44C2"/>
    <w:rsid w:val="009D2057"/>
    <w:rsid w:val="009D3D6C"/>
    <w:rsid w:val="009D5551"/>
    <w:rsid w:val="009D62DB"/>
    <w:rsid w:val="009D718F"/>
    <w:rsid w:val="009E3B42"/>
    <w:rsid w:val="00A05B60"/>
    <w:rsid w:val="00A13266"/>
    <w:rsid w:val="00A14FA6"/>
    <w:rsid w:val="00A15D64"/>
    <w:rsid w:val="00A20575"/>
    <w:rsid w:val="00A32452"/>
    <w:rsid w:val="00A32BBF"/>
    <w:rsid w:val="00A37444"/>
    <w:rsid w:val="00A40A94"/>
    <w:rsid w:val="00A4281A"/>
    <w:rsid w:val="00A459CF"/>
    <w:rsid w:val="00A5014D"/>
    <w:rsid w:val="00A53E96"/>
    <w:rsid w:val="00A56F18"/>
    <w:rsid w:val="00A628F8"/>
    <w:rsid w:val="00A62BAA"/>
    <w:rsid w:val="00A654A1"/>
    <w:rsid w:val="00A66172"/>
    <w:rsid w:val="00A744C3"/>
    <w:rsid w:val="00A85212"/>
    <w:rsid w:val="00AA70AB"/>
    <w:rsid w:val="00AB0B9F"/>
    <w:rsid w:val="00AB1713"/>
    <w:rsid w:val="00AB63BE"/>
    <w:rsid w:val="00AC1EBC"/>
    <w:rsid w:val="00AC2599"/>
    <w:rsid w:val="00AC2DE9"/>
    <w:rsid w:val="00AD2C5F"/>
    <w:rsid w:val="00AD56A5"/>
    <w:rsid w:val="00AE1481"/>
    <w:rsid w:val="00AE27F9"/>
    <w:rsid w:val="00AE77DB"/>
    <w:rsid w:val="00AF7453"/>
    <w:rsid w:val="00B00FFF"/>
    <w:rsid w:val="00B06084"/>
    <w:rsid w:val="00B16735"/>
    <w:rsid w:val="00B17EDE"/>
    <w:rsid w:val="00B22585"/>
    <w:rsid w:val="00B31414"/>
    <w:rsid w:val="00B33693"/>
    <w:rsid w:val="00B34C53"/>
    <w:rsid w:val="00B436A2"/>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4E9D"/>
    <w:rsid w:val="00BC5635"/>
    <w:rsid w:val="00BC5675"/>
    <w:rsid w:val="00BD081C"/>
    <w:rsid w:val="00BD277B"/>
    <w:rsid w:val="00BD47CA"/>
    <w:rsid w:val="00BD62C7"/>
    <w:rsid w:val="00BE020D"/>
    <w:rsid w:val="00BE313E"/>
    <w:rsid w:val="00BE354A"/>
    <w:rsid w:val="00BF5EEF"/>
    <w:rsid w:val="00C02553"/>
    <w:rsid w:val="00C04EB6"/>
    <w:rsid w:val="00C056F9"/>
    <w:rsid w:val="00C1018C"/>
    <w:rsid w:val="00C1150E"/>
    <w:rsid w:val="00C14D52"/>
    <w:rsid w:val="00C2586C"/>
    <w:rsid w:val="00C26001"/>
    <w:rsid w:val="00C34E72"/>
    <w:rsid w:val="00C56B1F"/>
    <w:rsid w:val="00C61B52"/>
    <w:rsid w:val="00C62745"/>
    <w:rsid w:val="00C64090"/>
    <w:rsid w:val="00C654CA"/>
    <w:rsid w:val="00C763BD"/>
    <w:rsid w:val="00C779A8"/>
    <w:rsid w:val="00C82E19"/>
    <w:rsid w:val="00C84027"/>
    <w:rsid w:val="00C96873"/>
    <w:rsid w:val="00CA1735"/>
    <w:rsid w:val="00CA3C4B"/>
    <w:rsid w:val="00CA7252"/>
    <w:rsid w:val="00CB2C5A"/>
    <w:rsid w:val="00CD1E31"/>
    <w:rsid w:val="00CE0C1C"/>
    <w:rsid w:val="00CE29D7"/>
    <w:rsid w:val="00CE34AF"/>
    <w:rsid w:val="00CF00A4"/>
    <w:rsid w:val="00CF25FB"/>
    <w:rsid w:val="00CF614C"/>
    <w:rsid w:val="00D02F34"/>
    <w:rsid w:val="00D13D87"/>
    <w:rsid w:val="00D16590"/>
    <w:rsid w:val="00D20720"/>
    <w:rsid w:val="00D250D9"/>
    <w:rsid w:val="00D26EBC"/>
    <w:rsid w:val="00D27533"/>
    <w:rsid w:val="00D42DA3"/>
    <w:rsid w:val="00D43DFD"/>
    <w:rsid w:val="00D4546D"/>
    <w:rsid w:val="00D47996"/>
    <w:rsid w:val="00D51EE6"/>
    <w:rsid w:val="00D535CA"/>
    <w:rsid w:val="00D61118"/>
    <w:rsid w:val="00D614F1"/>
    <w:rsid w:val="00D70D50"/>
    <w:rsid w:val="00D71917"/>
    <w:rsid w:val="00D93824"/>
    <w:rsid w:val="00D95C07"/>
    <w:rsid w:val="00DA3A0F"/>
    <w:rsid w:val="00DA4E62"/>
    <w:rsid w:val="00DA6990"/>
    <w:rsid w:val="00DB27BA"/>
    <w:rsid w:val="00DB337A"/>
    <w:rsid w:val="00DC51CB"/>
    <w:rsid w:val="00DD1DA2"/>
    <w:rsid w:val="00DD4819"/>
    <w:rsid w:val="00DD4B8A"/>
    <w:rsid w:val="00DD5403"/>
    <w:rsid w:val="00DE1388"/>
    <w:rsid w:val="00DE2182"/>
    <w:rsid w:val="00DE7501"/>
    <w:rsid w:val="00DF3146"/>
    <w:rsid w:val="00DF57C3"/>
    <w:rsid w:val="00E008D9"/>
    <w:rsid w:val="00E02FE0"/>
    <w:rsid w:val="00E07ABE"/>
    <w:rsid w:val="00E11A3F"/>
    <w:rsid w:val="00E1327C"/>
    <w:rsid w:val="00E1386E"/>
    <w:rsid w:val="00E1485F"/>
    <w:rsid w:val="00E2369B"/>
    <w:rsid w:val="00E23EC0"/>
    <w:rsid w:val="00E23FD3"/>
    <w:rsid w:val="00E354AA"/>
    <w:rsid w:val="00E43D54"/>
    <w:rsid w:val="00E442FB"/>
    <w:rsid w:val="00E50CD2"/>
    <w:rsid w:val="00E529DB"/>
    <w:rsid w:val="00E53A5E"/>
    <w:rsid w:val="00E6466A"/>
    <w:rsid w:val="00E65216"/>
    <w:rsid w:val="00E7165E"/>
    <w:rsid w:val="00E72221"/>
    <w:rsid w:val="00E74312"/>
    <w:rsid w:val="00E76EEB"/>
    <w:rsid w:val="00E83428"/>
    <w:rsid w:val="00E84C58"/>
    <w:rsid w:val="00E873A5"/>
    <w:rsid w:val="00E90D11"/>
    <w:rsid w:val="00E915E5"/>
    <w:rsid w:val="00EB0367"/>
    <w:rsid w:val="00EB4FB9"/>
    <w:rsid w:val="00EB5BC8"/>
    <w:rsid w:val="00EC2738"/>
    <w:rsid w:val="00ED012D"/>
    <w:rsid w:val="00ED7B42"/>
    <w:rsid w:val="00EE1743"/>
    <w:rsid w:val="00EE3EA5"/>
    <w:rsid w:val="00EE5EE1"/>
    <w:rsid w:val="00EE613F"/>
    <w:rsid w:val="00EE6BD1"/>
    <w:rsid w:val="00EF0262"/>
    <w:rsid w:val="00EF0828"/>
    <w:rsid w:val="00EF642E"/>
    <w:rsid w:val="00EF6F8B"/>
    <w:rsid w:val="00F03898"/>
    <w:rsid w:val="00F05064"/>
    <w:rsid w:val="00F06957"/>
    <w:rsid w:val="00F1527A"/>
    <w:rsid w:val="00F17F77"/>
    <w:rsid w:val="00F2696B"/>
    <w:rsid w:val="00F27821"/>
    <w:rsid w:val="00F4092A"/>
    <w:rsid w:val="00F41F69"/>
    <w:rsid w:val="00F43E41"/>
    <w:rsid w:val="00F4790C"/>
    <w:rsid w:val="00F50C4B"/>
    <w:rsid w:val="00F54C08"/>
    <w:rsid w:val="00F553A2"/>
    <w:rsid w:val="00F6068C"/>
    <w:rsid w:val="00F62F33"/>
    <w:rsid w:val="00F63A52"/>
    <w:rsid w:val="00F649BB"/>
    <w:rsid w:val="00F730BA"/>
    <w:rsid w:val="00F845DB"/>
    <w:rsid w:val="00F903BE"/>
    <w:rsid w:val="00F95D04"/>
    <w:rsid w:val="00F978BD"/>
    <w:rsid w:val="00FA16EC"/>
    <w:rsid w:val="00FA2811"/>
    <w:rsid w:val="00FA4837"/>
    <w:rsid w:val="00FB1D33"/>
    <w:rsid w:val="00FB5E96"/>
    <w:rsid w:val="00FC05A0"/>
    <w:rsid w:val="00FC6758"/>
    <w:rsid w:val="00FD34EA"/>
    <w:rsid w:val="00FE3F3E"/>
    <w:rsid w:val="00FE4D52"/>
    <w:rsid w:val="00FE5AEE"/>
    <w:rsid w:val="00FF106B"/>
    <w:rsid w:val="00FF35DA"/>
    <w:rsid w:val="1098CD41"/>
    <w:rsid w:val="22169064"/>
    <w:rsid w:val="531A9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09536E"/>
    <w:rPr>
      <w:sz w:val="16"/>
      <w:szCs w:val="16"/>
    </w:rPr>
  </w:style>
  <w:style w:type="paragraph" w:styleId="CommentSubject">
    <w:name w:val="annotation subject"/>
    <w:basedOn w:val="CommentText"/>
    <w:next w:val="CommentText"/>
    <w:link w:val="CommentSubjectChar"/>
    <w:uiPriority w:val="99"/>
    <w:semiHidden/>
    <w:unhideWhenUsed/>
    <w:rsid w:val="0009536E"/>
    <w:rPr>
      <w:b/>
      <w:bCs/>
    </w:rPr>
  </w:style>
  <w:style w:type="character" w:customStyle="1" w:styleId="CommentTextChar">
    <w:name w:val="Comment Text Char"/>
    <w:basedOn w:val="DefaultParagraphFont"/>
    <w:link w:val="CommentText"/>
    <w:semiHidden/>
    <w:rsid w:val="0009536E"/>
    <w:rPr>
      <w:rFonts w:ascii="Arial" w:hAnsi="Arial"/>
    </w:rPr>
  </w:style>
  <w:style w:type="character" w:customStyle="1" w:styleId="CommentSubjectChar">
    <w:name w:val="Comment Subject Char"/>
    <w:basedOn w:val="CommentTextChar"/>
    <w:link w:val="CommentSubject"/>
    <w:uiPriority w:val="99"/>
    <w:semiHidden/>
    <w:rsid w:val="0009536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043B01FC-E5A8-44BD-88BB-388BFE749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f5eefb00-5952-4f7e-8cf8-96f81cfadd01"/>
    <ds:schemaRef ds:uri="http://purl.org/dc/elements/1.1/"/>
    <ds:schemaRef ds:uri="http://schemas.microsoft.com/office/infopath/2007/PartnerControl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439</Words>
  <Characters>2600</Characters>
  <Application>Microsoft Office Word</Application>
  <DocSecurity>0</DocSecurity>
  <Lines>21</Lines>
  <Paragraphs>6</Paragraphs>
  <ScaleCrop>false</ScaleCrop>
  <Company>DSS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Glucagon Agents PDL Edit</dc:title>
  <dc:creator>DMS</dc:creator>
  <cp:lastModifiedBy>Colozza, Jennifer</cp:lastModifiedBy>
  <cp:revision>38</cp:revision>
  <cp:lastPrinted>2018-10-31T20:17:00Z</cp:lastPrinted>
  <dcterms:created xsi:type="dcterms:W3CDTF">2025-12-10T02:31:00Z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