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6AE3E578" w:rsidR="004C5767" w:rsidRPr="008859E1" w:rsidRDefault="004C5767" w:rsidP="00D27533">
      <w:pPr>
        <w:pStyle w:val="tbody"/>
        <w:rPr>
          <w:b w:val="0"/>
          <w:bCs/>
        </w:rPr>
      </w:pPr>
      <w:r w:rsidRPr="00C02553">
        <w:t>Drug/Drug Class:</w:t>
      </w:r>
      <w:r w:rsidR="003B4820">
        <w:t xml:space="preserve"> </w:t>
      </w:r>
      <w:r w:rsidR="001774DC" w:rsidRPr="001774DC">
        <w:rPr>
          <w:b w:val="0"/>
          <w:bCs/>
        </w:rPr>
        <w:t>Duchenne Muscular Dystrophy (DMD) Clinical Edit</w:t>
      </w:r>
    </w:p>
    <w:p w14:paraId="7AD7FFCE" w14:textId="1353194C" w:rsidR="004C5767" w:rsidRPr="00C02553" w:rsidRDefault="004C5767" w:rsidP="00D27533">
      <w:pPr>
        <w:pStyle w:val="tbody"/>
      </w:pPr>
      <w:r w:rsidRPr="00C02553">
        <w:t xml:space="preserve">First Implementation Date: </w:t>
      </w:r>
      <w:r w:rsidR="002654F2" w:rsidRPr="002654F2">
        <w:rPr>
          <w:b w:val="0"/>
          <w:bCs/>
        </w:rPr>
        <w:t>February 6, 2020</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DE2109D" w:rsidR="004C5767" w:rsidRPr="00D27533" w:rsidRDefault="004C5767" w:rsidP="00D27533">
      <w:pPr>
        <w:pStyle w:val="tbody"/>
        <w:rPr>
          <w:b w:val="0"/>
          <w:bCs/>
          <w:spacing w:val="-3"/>
        </w:rPr>
      </w:pPr>
      <w:r w:rsidRPr="00C02553">
        <w:t xml:space="preserve">Criteria Status: </w:t>
      </w:r>
      <w:r w:rsidR="00566BE4" w:rsidRPr="00C327DC">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24451DAD" w:rsidR="00D47996" w:rsidRDefault="79EEA449" w:rsidP="00696E3A">
      <w:r>
        <w:t>Ensure appropriate utilization and control of</w:t>
      </w:r>
      <w:r w:rsidR="00D47996">
        <w:t xml:space="preserve"> </w:t>
      </w:r>
      <w:r w:rsidR="00115A04" w:rsidRPr="00077A34">
        <w:rPr>
          <w:rFonts w:cs="Arial"/>
          <w:spacing w:val="-3"/>
        </w:rPr>
        <w:t xml:space="preserve">agents for </w:t>
      </w:r>
      <w:r w:rsidR="00115A04" w:rsidRPr="00077A34">
        <w:rPr>
          <w:rFonts w:cs="Arial"/>
        </w:rPr>
        <w:t>Duchenne Muscular Dystrophy (DMD)</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B05EED9" w14:textId="77777777" w:rsidR="00E71266" w:rsidRDefault="00E71266" w:rsidP="00E71266">
      <w:pPr>
        <w:pStyle w:val="Header"/>
        <w:tabs>
          <w:tab w:val="clear" w:pos="4320"/>
          <w:tab w:val="clear" w:pos="8640"/>
        </w:tabs>
        <w:rPr>
          <w:rFonts w:cs="Arial"/>
          <w:sz w:val="20"/>
        </w:rPr>
      </w:pPr>
      <w:r>
        <w:rPr>
          <w:rFonts w:cs="Arial"/>
          <w:sz w:val="20"/>
        </w:rPr>
        <w:t>Duchenne muscular dystrophy (DMD) is a fatal, X-linked recessive neuromuscular disorder caused by pathogenic variants in the dystrophin gene; these variants lead to absent or insufficient functional dystrophin, a cytoskeletal protein which enables the strength, stability, and functionality of myofibers.  The absence or lack of dystrophin results in muscle degradation and scarring, leading to muscle weakness, associated motor delays, loss of ambulation, respiratory impairment, and cardiomyopathy.  DMD is the most common pediatric muscular dystrophy, with a prevalence of 1 in 3,500 to 5,000 live male births (about 400-600 boys per year in the US); rarely females who are carriers may be symptomatic.  Although the clinical course may vary, death usually occurs as a result of cardiac or respiratory compromise.</w:t>
      </w:r>
    </w:p>
    <w:p w14:paraId="2DA8FE2F" w14:textId="77777777" w:rsidR="00E71266" w:rsidRDefault="00E71266" w:rsidP="00E71266">
      <w:pPr>
        <w:pStyle w:val="Header"/>
        <w:tabs>
          <w:tab w:val="clear" w:pos="4320"/>
          <w:tab w:val="clear" w:pos="8640"/>
        </w:tabs>
        <w:rPr>
          <w:rFonts w:cs="Arial"/>
          <w:sz w:val="20"/>
        </w:rPr>
      </w:pPr>
    </w:p>
    <w:p w14:paraId="472C1496" w14:textId="77777777" w:rsidR="00E71266" w:rsidRDefault="00E71266" w:rsidP="00E71266">
      <w:pPr>
        <w:pStyle w:val="Header"/>
        <w:tabs>
          <w:tab w:val="clear" w:pos="4320"/>
          <w:tab w:val="clear" w:pos="8640"/>
        </w:tabs>
        <w:rPr>
          <w:rFonts w:cs="Arial"/>
          <w:spacing w:val="-3"/>
          <w:sz w:val="20"/>
        </w:rPr>
      </w:pPr>
      <w:r w:rsidRPr="00B50FA8">
        <w:rPr>
          <w:rFonts w:cs="Arial"/>
          <w:spacing w:val="-3"/>
          <w:sz w:val="20"/>
        </w:rPr>
        <w:t>Emflaza</w:t>
      </w:r>
      <w:r w:rsidRPr="00B50FA8">
        <w:rPr>
          <w:rFonts w:cs="Arial"/>
          <w:spacing w:val="-3"/>
          <w:sz w:val="20"/>
          <w:vertAlign w:val="superscript"/>
        </w:rPr>
        <w:t>®</w:t>
      </w:r>
      <w:r w:rsidRPr="00B50FA8">
        <w:rPr>
          <w:rFonts w:cs="Arial"/>
          <w:spacing w:val="-3"/>
          <w:sz w:val="20"/>
        </w:rPr>
        <w:t xml:space="preserve"> (deflazacort), an oxazoline derivative of prednisone, was FDA approved in February 2017, and is currently indicated to treat DMD in patients 2 years of age and older.  Emflaza is a corticosteroid that works by decreasing inflammation and reducing the activity of the immune system.  Prednisone, although it is not FDA approved for the indication, is also frequently prescribed for DMD.  Long-term steroid therapy has shown benefits in treating DMD, including loss of ambulation at a later age, preserved upper limb and respiratory function, and avoidance of scoliosis surgery. </w:t>
      </w:r>
      <w:r>
        <w:rPr>
          <w:rFonts w:cs="Arial"/>
          <w:spacing w:val="-3"/>
          <w:sz w:val="20"/>
        </w:rPr>
        <w:t>I</w:t>
      </w:r>
      <w:r w:rsidRPr="006F4850">
        <w:rPr>
          <w:rFonts w:cs="Arial"/>
          <w:spacing w:val="-3"/>
          <w:sz w:val="20"/>
        </w:rPr>
        <w:t>n October 2023</w:t>
      </w:r>
      <w:r>
        <w:rPr>
          <w:rFonts w:cs="Arial"/>
          <w:spacing w:val="-3"/>
          <w:sz w:val="20"/>
        </w:rPr>
        <w:t xml:space="preserve"> another corticosteroid</w:t>
      </w:r>
      <w:r w:rsidRPr="006F4850">
        <w:rPr>
          <w:rFonts w:cs="Arial"/>
          <w:spacing w:val="-3"/>
          <w:sz w:val="20"/>
        </w:rPr>
        <w:t>,</w:t>
      </w:r>
      <w:r>
        <w:rPr>
          <w:rFonts w:cs="Arial"/>
          <w:spacing w:val="-3"/>
          <w:sz w:val="20"/>
        </w:rPr>
        <w:t xml:space="preserve"> </w:t>
      </w:r>
      <w:r w:rsidRPr="006F4850">
        <w:rPr>
          <w:rFonts w:cs="Arial"/>
          <w:spacing w:val="-3"/>
          <w:sz w:val="20"/>
        </w:rPr>
        <w:t>Agamree</w:t>
      </w:r>
      <w:r w:rsidRPr="00DB3083">
        <w:rPr>
          <w:rFonts w:cs="Arial"/>
          <w:iCs/>
          <w:spacing w:val="-3"/>
          <w:sz w:val="20"/>
          <w:vertAlign w:val="superscript"/>
        </w:rPr>
        <w:t>®</w:t>
      </w:r>
      <w:r w:rsidRPr="006F4850">
        <w:rPr>
          <w:rFonts w:cs="Arial"/>
          <w:spacing w:val="-3"/>
          <w:sz w:val="20"/>
        </w:rPr>
        <w:t xml:space="preserve"> (vamorolone),</w:t>
      </w:r>
      <w:r>
        <w:rPr>
          <w:rFonts w:cs="Arial"/>
          <w:spacing w:val="-3"/>
          <w:sz w:val="20"/>
        </w:rPr>
        <w:t xml:space="preserve"> was approved to treat</w:t>
      </w:r>
      <w:r w:rsidRPr="006F4850">
        <w:rPr>
          <w:rFonts w:cs="Arial"/>
          <w:spacing w:val="-3"/>
          <w:sz w:val="20"/>
        </w:rPr>
        <w:t xml:space="preserve"> DMD in patients 2 years of age and older. Agamree is administered as an oral suspension once daily</w:t>
      </w:r>
      <w:r>
        <w:rPr>
          <w:rFonts w:cs="Arial"/>
          <w:spacing w:val="-3"/>
          <w:sz w:val="20"/>
        </w:rPr>
        <w:t>.</w:t>
      </w:r>
      <w:r w:rsidRPr="006F4850">
        <w:rPr>
          <w:rFonts w:cs="Arial"/>
          <w:spacing w:val="-3"/>
          <w:sz w:val="20"/>
        </w:rPr>
        <w:t xml:space="preserve"> </w:t>
      </w:r>
      <w:r w:rsidRPr="00B50FA8">
        <w:rPr>
          <w:rFonts w:cs="Arial"/>
          <w:spacing w:val="-3"/>
          <w:sz w:val="20"/>
        </w:rPr>
        <w:t>The benefit-to-risk ratio of Emflaza</w:t>
      </w:r>
      <w:r>
        <w:rPr>
          <w:rFonts w:cs="Arial"/>
          <w:spacing w:val="-3"/>
          <w:sz w:val="20"/>
        </w:rPr>
        <w:t xml:space="preserve"> or Agamree </w:t>
      </w:r>
      <w:r w:rsidRPr="00B50FA8">
        <w:rPr>
          <w:rFonts w:cs="Arial"/>
          <w:spacing w:val="-3"/>
          <w:sz w:val="20"/>
        </w:rPr>
        <w:t xml:space="preserve">compared to prednisone is </w:t>
      </w:r>
      <w:r>
        <w:rPr>
          <w:rFonts w:cs="Arial"/>
          <w:spacing w:val="-3"/>
          <w:sz w:val="20"/>
        </w:rPr>
        <w:t>an area of ongoing research.</w:t>
      </w:r>
    </w:p>
    <w:p w14:paraId="011E8B39" w14:textId="77777777" w:rsidR="00E71266" w:rsidRDefault="00E71266" w:rsidP="00E71266">
      <w:pPr>
        <w:pStyle w:val="Header"/>
        <w:tabs>
          <w:tab w:val="clear" w:pos="4320"/>
          <w:tab w:val="clear" w:pos="8640"/>
        </w:tabs>
        <w:rPr>
          <w:rFonts w:cs="Arial"/>
          <w:spacing w:val="-3"/>
          <w:sz w:val="20"/>
        </w:rPr>
      </w:pPr>
    </w:p>
    <w:p w14:paraId="0BCFBD30" w14:textId="77777777" w:rsidR="00E71266" w:rsidRDefault="00E71266" w:rsidP="00E71266">
      <w:pPr>
        <w:pStyle w:val="Header"/>
        <w:tabs>
          <w:tab w:val="clear" w:pos="4320"/>
          <w:tab w:val="clear" w:pos="8640"/>
        </w:tabs>
        <w:rPr>
          <w:rFonts w:cs="Arial"/>
          <w:spacing w:val="-3"/>
          <w:sz w:val="20"/>
        </w:rPr>
      </w:pPr>
      <w:r>
        <w:rPr>
          <w:rFonts w:cs="Arial"/>
          <w:spacing w:val="-3"/>
          <w:sz w:val="20"/>
        </w:rPr>
        <w:t>Exondys 51</w:t>
      </w:r>
      <w:r w:rsidRPr="00590669">
        <w:rPr>
          <w:rFonts w:cs="Arial"/>
          <w:spacing w:val="-3"/>
          <w:sz w:val="20"/>
          <w:vertAlign w:val="superscript"/>
        </w:rPr>
        <w:t>®</w:t>
      </w:r>
      <w:r>
        <w:rPr>
          <w:rFonts w:cs="Arial"/>
          <w:spacing w:val="-3"/>
          <w:sz w:val="20"/>
          <w:vertAlign w:val="superscript"/>
        </w:rPr>
        <w:t xml:space="preserve"> </w:t>
      </w:r>
      <w:r>
        <w:rPr>
          <w:rFonts w:cs="Arial"/>
          <w:spacing w:val="-3"/>
          <w:sz w:val="20"/>
        </w:rPr>
        <w:t xml:space="preserve">(eteplirsen) was FDA approved in September 2016, via an accelerated pathway, for the treatment of DMD in patients who have a confirmed mutation of the </w:t>
      </w:r>
      <w:r w:rsidRPr="005E7090">
        <w:rPr>
          <w:rFonts w:cs="Arial"/>
          <w:i/>
          <w:iCs/>
          <w:spacing w:val="-3"/>
          <w:sz w:val="20"/>
        </w:rPr>
        <w:t>DMD</w:t>
      </w:r>
      <w:r>
        <w:rPr>
          <w:rFonts w:cs="Arial"/>
          <w:spacing w:val="-3"/>
          <w:sz w:val="20"/>
        </w:rPr>
        <w:t xml:space="preserve"> gene that is amenable to exon 51 skipping (approximately 13% of the DMD population).  Vyondys 53</w:t>
      </w:r>
      <w:r>
        <w:rPr>
          <w:rFonts w:cs="Arial"/>
          <w:spacing w:val="-3"/>
          <w:sz w:val="20"/>
          <w:vertAlign w:val="superscript"/>
        </w:rPr>
        <w:t>®</w:t>
      </w:r>
      <w:r>
        <w:rPr>
          <w:rFonts w:cs="Arial"/>
          <w:spacing w:val="-3"/>
          <w:sz w:val="20"/>
        </w:rPr>
        <w:t xml:space="preserve"> (golodirsen), FDA approved in December 2019, and Viltepso</w:t>
      </w:r>
      <w:r>
        <w:rPr>
          <w:rFonts w:cs="Arial"/>
          <w:spacing w:val="-3"/>
          <w:sz w:val="20"/>
          <w:vertAlign w:val="superscript"/>
        </w:rPr>
        <w:t>®</w:t>
      </w:r>
      <w:r>
        <w:rPr>
          <w:rFonts w:cs="Arial"/>
          <w:spacing w:val="-3"/>
          <w:sz w:val="20"/>
        </w:rPr>
        <w:t xml:space="preserve"> (viltolarsen), FDA approved in August 2020, are both indicated for the treatment of DMD in patients who have a confirmed mutation of the </w:t>
      </w:r>
      <w:r w:rsidRPr="005E7090">
        <w:rPr>
          <w:rFonts w:cs="Arial"/>
          <w:i/>
          <w:iCs/>
          <w:spacing w:val="-3"/>
          <w:sz w:val="20"/>
        </w:rPr>
        <w:t>DMD</w:t>
      </w:r>
      <w:r>
        <w:rPr>
          <w:rFonts w:cs="Arial"/>
          <w:spacing w:val="-3"/>
          <w:sz w:val="20"/>
        </w:rPr>
        <w:t xml:space="preserve"> gene that is amenable to exon 53 skipping (approximately 8% of the DMD population).  In clinical trials, it appears that Viltepso helps patients produce more dystrophin than Vyondys 53.  Amondys 45</w:t>
      </w:r>
      <w:r w:rsidRPr="00442312">
        <w:rPr>
          <w:rFonts w:cs="Arial"/>
          <w:spacing w:val="-3"/>
          <w:sz w:val="20"/>
          <w:vertAlign w:val="superscript"/>
        </w:rPr>
        <w:t>®</w:t>
      </w:r>
      <w:r>
        <w:rPr>
          <w:rFonts w:cs="Arial"/>
          <w:spacing w:val="-3"/>
          <w:sz w:val="20"/>
        </w:rPr>
        <w:t xml:space="preserve"> (casimersen) was FDA approved in February 2021 for the treatment of DMD in patients who have a confirmed mutation of the </w:t>
      </w:r>
      <w:r w:rsidRPr="005E7090">
        <w:rPr>
          <w:rFonts w:cs="Arial"/>
          <w:i/>
          <w:iCs/>
          <w:spacing w:val="-3"/>
          <w:sz w:val="20"/>
        </w:rPr>
        <w:t>DMD</w:t>
      </w:r>
      <w:r>
        <w:rPr>
          <w:rFonts w:cs="Arial"/>
          <w:spacing w:val="-3"/>
          <w:sz w:val="20"/>
        </w:rPr>
        <w:t xml:space="preserve"> gene that is amenable to exon 45 skipping (approximately 8% of the DMD population).  All 4 agents are </w:t>
      </w:r>
      <w:r>
        <w:rPr>
          <w:rFonts w:eastAsia="Arial"/>
          <w:sz w:val="20"/>
        </w:rPr>
        <w:t>antisense oligonucleotides</w:t>
      </w:r>
      <w:r>
        <w:rPr>
          <w:rFonts w:cs="Arial"/>
          <w:spacing w:val="-3"/>
          <w:sz w:val="20"/>
        </w:rPr>
        <w:t xml:space="preserve"> delivered by a once weekly IV infusion.  Although patients receiving either Exondys 51, Vyondys 53, Viltepso, or Amondys 45 had an increase in dystrophin in skeletal muscle, </w:t>
      </w:r>
      <w:r w:rsidRPr="000F072A">
        <w:rPr>
          <w:rFonts w:cs="Arial"/>
          <w:spacing w:val="-3"/>
          <w:sz w:val="20"/>
        </w:rPr>
        <w:t xml:space="preserve">a clinical benefit of </w:t>
      </w:r>
      <w:r>
        <w:rPr>
          <w:rFonts w:cs="Arial"/>
          <w:spacing w:val="-3"/>
          <w:sz w:val="20"/>
        </w:rPr>
        <w:t>this increase</w:t>
      </w:r>
      <w:r w:rsidRPr="000F072A">
        <w:rPr>
          <w:rFonts w:cs="Arial"/>
          <w:spacing w:val="-3"/>
          <w:sz w:val="20"/>
        </w:rPr>
        <w:t xml:space="preserve"> has not been established;</w:t>
      </w:r>
      <w:r>
        <w:rPr>
          <w:rFonts w:cs="Arial"/>
          <w:spacing w:val="-3"/>
          <w:sz w:val="20"/>
        </w:rPr>
        <w:t xml:space="preserve"> continued FDA approval may be contingent upon verification of a clinical benefit in a confirmatory trial.</w:t>
      </w:r>
    </w:p>
    <w:p w14:paraId="3B9985BF" w14:textId="77777777" w:rsidR="00E71266" w:rsidRDefault="00E71266" w:rsidP="00E71266">
      <w:pPr>
        <w:pStyle w:val="Header"/>
        <w:tabs>
          <w:tab w:val="clear" w:pos="4320"/>
          <w:tab w:val="clear" w:pos="8640"/>
        </w:tabs>
        <w:rPr>
          <w:rFonts w:cs="Arial"/>
          <w:spacing w:val="-3"/>
          <w:sz w:val="20"/>
        </w:rPr>
      </w:pPr>
    </w:p>
    <w:p w14:paraId="0BACD548" w14:textId="53F0229F" w:rsidR="00E71266" w:rsidRDefault="00E71266" w:rsidP="00E71266">
      <w:pPr>
        <w:pStyle w:val="Header"/>
        <w:tabs>
          <w:tab w:val="clear" w:pos="4320"/>
          <w:tab w:val="clear" w:pos="8640"/>
        </w:tabs>
        <w:rPr>
          <w:rFonts w:cs="Arial"/>
          <w:spacing w:val="-3"/>
          <w:sz w:val="20"/>
        </w:rPr>
      </w:pPr>
      <w:r>
        <w:rPr>
          <w:rFonts w:cs="Arial"/>
          <w:spacing w:val="-3"/>
          <w:sz w:val="20"/>
        </w:rPr>
        <w:t>On June 22, 2023, Elevidys was approved for the tr</w:t>
      </w:r>
      <w:r w:rsidRPr="00933C4C">
        <w:rPr>
          <w:rFonts w:cs="Arial"/>
          <w:spacing w:val="-3"/>
          <w:sz w:val="20"/>
        </w:rPr>
        <w:t xml:space="preserve">eatment of </w:t>
      </w:r>
      <w:r>
        <w:rPr>
          <w:rFonts w:cs="Arial"/>
          <w:spacing w:val="-3"/>
          <w:sz w:val="20"/>
        </w:rPr>
        <w:t xml:space="preserve">DMD in </w:t>
      </w:r>
      <w:r w:rsidRPr="00933C4C">
        <w:rPr>
          <w:rFonts w:cs="Arial"/>
          <w:spacing w:val="-3"/>
          <w:sz w:val="20"/>
        </w:rPr>
        <w:t xml:space="preserve">ambulatory pediatric patients aged 4 through 5 years with a confirmed pathogenic variant in the </w:t>
      </w:r>
      <w:r w:rsidRPr="005E7090">
        <w:rPr>
          <w:rFonts w:cs="Arial"/>
          <w:i/>
          <w:iCs/>
          <w:spacing w:val="-3"/>
          <w:sz w:val="20"/>
        </w:rPr>
        <w:t>DMD</w:t>
      </w:r>
      <w:r w:rsidRPr="00933C4C">
        <w:rPr>
          <w:rFonts w:cs="Arial"/>
          <w:spacing w:val="-3"/>
          <w:sz w:val="20"/>
        </w:rPr>
        <w:t xml:space="preserve"> gene.</w:t>
      </w:r>
      <w:r>
        <w:t xml:space="preserve"> </w:t>
      </w:r>
      <w:r w:rsidRPr="00701197">
        <w:rPr>
          <w:rFonts w:cs="Arial"/>
          <w:spacing w:val="-3"/>
          <w:sz w:val="20"/>
        </w:rPr>
        <w:t>Elevidys is the first and</w:t>
      </w:r>
      <w:r>
        <w:rPr>
          <w:rFonts w:cs="Arial"/>
          <w:spacing w:val="-3"/>
          <w:sz w:val="20"/>
        </w:rPr>
        <w:t xml:space="preserve"> </w:t>
      </w:r>
      <w:r w:rsidRPr="00701197">
        <w:rPr>
          <w:rFonts w:cs="Arial"/>
          <w:spacing w:val="-3"/>
          <w:sz w:val="20"/>
        </w:rPr>
        <w:t xml:space="preserve">only gene </w:t>
      </w:r>
      <w:r w:rsidRPr="00701197">
        <w:rPr>
          <w:rFonts w:cs="Arial"/>
          <w:spacing w:val="-3"/>
          <w:sz w:val="20"/>
        </w:rPr>
        <w:lastRenderedPageBreak/>
        <w:t>therapy approved for treatment of DMD.</w:t>
      </w:r>
      <w:r w:rsidRPr="00933C4C">
        <w:rPr>
          <w:rFonts w:cs="Arial"/>
          <w:spacing w:val="-3"/>
          <w:sz w:val="20"/>
        </w:rPr>
        <w:t xml:space="preserve"> </w:t>
      </w:r>
      <w:r>
        <w:rPr>
          <w:rFonts w:cs="Arial"/>
          <w:spacing w:val="-3"/>
          <w:sz w:val="20"/>
        </w:rPr>
        <w:t>Similar to the exon-skipping therapies, this medication</w:t>
      </w:r>
      <w:r w:rsidRPr="00933C4C">
        <w:rPr>
          <w:rFonts w:cs="Arial"/>
          <w:spacing w:val="-3"/>
          <w:sz w:val="20"/>
        </w:rPr>
        <w:t xml:space="preserve"> was granted accelerated approval by the FDA for this patient population</w:t>
      </w:r>
      <w:r>
        <w:rPr>
          <w:rFonts w:cs="Arial"/>
          <w:spacing w:val="-3"/>
          <w:sz w:val="20"/>
        </w:rPr>
        <w:t>.</w:t>
      </w:r>
      <w:r w:rsidR="00174E1A">
        <w:rPr>
          <w:rFonts w:cs="Arial"/>
          <w:spacing w:val="-3"/>
          <w:sz w:val="20"/>
        </w:rPr>
        <w:t xml:space="preserve"> </w:t>
      </w:r>
      <w:r w:rsidR="00F219E9">
        <w:rPr>
          <w:rFonts w:cs="Arial"/>
          <w:spacing w:val="-3"/>
          <w:sz w:val="20"/>
        </w:rPr>
        <w:t>In July of 2025</w:t>
      </w:r>
      <w:r w:rsidR="00FF36E9">
        <w:rPr>
          <w:rFonts w:cs="Arial"/>
          <w:spacing w:val="-3"/>
          <w:sz w:val="20"/>
        </w:rPr>
        <w:t xml:space="preserve">, </w:t>
      </w:r>
    </w:p>
    <w:p w14:paraId="007EE1B5" w14:textId="77777777" w:rsidR="00E71266" w:rsidRDefault="00E71266" w:rsidP="00E71266">
      <w:pPr>
        <w:pStyle w:val="Header"/>
        <w:tabs>
          <w:tab w:val="clear" w:pos="4320"/>
          <w:tab w:val="clear" w:pos="8640"/>
        </w:tabs>
        <w:rPr>
          <w:rFonts w:cs="Arial"/>
          <w:spacing w:val="-3"/>
          <w:sz w:val="20"/>
        </w:rPr>
      </w:pPr>
    </w:p>
    <w:p w14:paraId="1EA59939" w14:textId="77777777" w:rsidR="00E71266" w:rsidRDefault="00E71266" w:rsidP="00E71266">
      <w:pPr>
        <w:pStyle w:val="Header"/>
        <w:tabs>
          <w:tab w:val="clear" w:pos="4320"/>
          <w:tab w:val="clear" w:pos="8640"/>
        </w:tabs>
        <w:rPr>
          <w:rFonts w:cs="Arial"/>
          <w:spacing w:val="-3"/>
          <w:sz w:val="20"/>
        </w:rPr>
      </w:pPr>
      <w:r>
        <w:rPr>
          <w:rFonts w:cs="Arial"/>
          <w:spacing w:val="-3"/>
          <w:sz w:val="20"/>
        </w:rPr>
        <w:t xml:space="preserve">On March 21, 2024, Duvyzat™ was approved to treat DMD in individuals 6 years of age and older. Duvyzat is the first </w:t>
      </w:r>
      <w:r w:rsidRPr="00A90E20">
        <w:rPr>
          <w:rFonts w:cs="Arial"/>
          <w:spacing w:val="-3"/>
          <w:sz w:val="20"/>
        </w:rPr>
        <w:t>histone deacetylase (HDAC) inhibitor</w:t>
      </w:r>
      <w:r>
        <w:rPr>
          <w:rFonts w:cs="Arial"/>
          <w:spacing w:val="-3"/>
          <w:sz w:val="20"/>
        </w:rPr>
        <w:t xml:space="preserve"> approved to treat DMD. </w:t>
      </w:r>
    </w:p>
    <w:p w14:paraId="51F3E996" w14:textId="77777777" w:rsidR="00E71266" w:rsidRDefault="00E71266" w:rsidP="00E71266">
      <w:pPr>
        <w:pStyle w:val="Header"/>
        <w:tabs>
          <w:tab w:val="clear" w:pos="4320"/>
          <w:tab w:val="clear" w:pos="8640"/>
        </w:tabs>
        <w:rPr>
          <w:rFonts w:cs="Arial"/>
          <w:spacing w:val="-3"/>
          <w:sz w:val="20"/>
        </w:rPr>
      </w:pPr>
    </w:p>
    <w:p w14:paraId="7ACECC9F" w14:textId="36FC788B" w:rsidR="00B56DCC" w:rsidRDefault="00E71266" w:rsidP="00E71266">
      <w:pPr>
        <w:rPr>
          <w:rFonts w:cs="Arial"/>
        </w:rPr>
      </w:pPr>
      <w:r w:rsidRPr="00A46BD3">
        <w:rPr>
          <w:rFonts w:cs="Arial"/>
        </w:rPr>
        <w:t xml:space="preserve">Due to </w:t>
      </w:r>
      <w:r>
        <w:rPr>
          <w:rFonts w:cs="Arial"/>
        </w:rPr>
        <w:t>high cost and specific approved indication, MO HealthNet will impose clinical criteria to ensure appropriate utilization of agents for DMD.</w:t>
      </w:r>
    </w:p>
    <w:p w14:paraId="02EB531D" w14:textId="77777777" w:rsidR="00E71266" w:rsidRDefault="00E71266" w:rsidP="00E71266"/>
    <w:p w14:paraId="5B5260CF" w14:textId="0720BBE6" w:rsidR="003D4704" w:rsidRPr="00D2642A" w:rsidRDefault="003D4704" w:rsidP="003D4704">
      <w:pPr>
        <w:rPr>
          <w:b/>
          <w:bCs/>
        </w:rPr>
      </w:pPr>
      <w:r>
        <w:rPr>
          <w:b/>
          <w:bCs/>
        </w:rPr>
        <w:t xml:space="preserve">Program-Specific Information: </w:t>
      </w:r>
      <w:r w:rsidRPr="00D2642A">
        <w:rPr>
          <w:b/>
          <w:bCs/>
        </w:rPr>
        <w:t>Dat</w:t>
      </w:r>
      <w:r w:rsidR="004A1F82" w:rsidRPr="00D2642A">
        <w:rPr>
          <w:b/>
          <w:bCs/>
        </w:rPr>
        <w:t>e</w:t>
      </w:r>
      <w:r w:rsidRPr="00D2642A">
        <w:rPr>
          <w:b/>
          <w:bCs/>
        </w:rPr>
        <w:t xml:space="preserve"> Range FFS </w:t>
      </w:r>
      <w:r w:rsidR="3EE5225B" w:rsidRPr="00D2642A">
        <w:rPr>
          <w:b/>
          <w:bCs/>
        </w:rPr>
        <w:t>10</w:t>
      </w:r>
      <w:r w:rsidRPr="00D2642A">
        <w:rPr>
          <w:b/>
          <w:bCs/>
        </w:rPr>
        <w:t xml:space="preserve">-1-2024 to </w:t>
      </w:r>
      <w:r w:rsidR="60B9B224" w:rsidRPr="00D2642A">
        <w:rPr>
          <w:b/>
          <w:bCs/>
        </w:rPr>
        <w:t>9</w:t>
      </w:r>
      <w:r w:rsidRPr="00D2642A">
        <w:rPr>
          <w:b/>
          <w:bCs/>
        </w:rPr>
        <w:t>-30-2025</w:t>
      </w:r>
    </w:p>
    <w:tbl>
      <w:tblPr>
        <w:tblW w:w="9445" w:type="dxa"/>
        <w:jc w:val="center"/>
        <w:tblLayout w:type="fixed"/>
        <w:tblLook w:val="04A0" w:firstRow="1" w:lastRow="0" w:firstColumn="1" w:lastColumn="0" w:noHBand="0" w:noVBand="1"/>
      </w:tblPr>
      <w:tblGrid>
        <w:gridCol w:w="3595"/>
        <w:gridCol w:w="1440"/>
        <w:gridCol w:w="990"/>
        <w:gridCol w:w="1800"/>
        <w:gridCol w:w="1620"/>
      </w:tblGrid>
      <w:tr w:rsidR="00F31E5A" w:rsidRPr="00902CF9" w14:paraId="7E639B47"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F31E5A" w:rsidRPr="00902CF9" w:rsidRDefault="00F31E5A" w:rsidP="00F31E5A">
            <w:pPr>
              <w:jc w:val="center"/>
              <w:rPr>
                <w:rFonts w:cs="Arial"/>
                <w:b/>
                <w:bCs/>
                <w:spacing w:val="-3"/>
                <w:szCs w:val="20"/>
              </w:rPr>
            </w:pPr>
            <w:r w:rsidRPr="00902CF9">
              <w:rPr>
                <w:rFonts w:cs="Arial"/>
                <w:b/>
                <w:bCs/>
                <w:spacing w:val="-3"/>
                <w:szCs w:val="20"/>
              </w:rPr>
              <w:t>Drug</w:t>
            </w:r>
          </w:p>
        </w:tc>
        <w:tc>
          <w:tcPr>
            <w:tcW w:w="1440" w:type="dxa"/>
            <w:tcBorders>
              <w:top w:val="single" w:sz="4" w:space="0" w:color="auto"/>
              <w:bottom w:val="single" w:sz="4" w:space="0" w:color="auto"/>
            </w:tcBorders>
            <w:shd w:val="clear" w:color="auto" w:fill="FABF8F" w:themeFill="accent6" w:themeFillTint="99"/>
            <w:vAlign w:val="center"/>
          </w:tcPr>
          <w:p w14:paraId="16FA58A9" w14:textId="01F3E49F" w:rsidR="00F31E5A" w:rsidRPr="00902CF9" w:rsidRDefault="00F31E5A" w:rsidP="00F31E5A">
            <w:pPr>
              <w:jc w:val="center"/>
              <w:rPr>
                <w:rFonts w:cs="Arial"/>
                <w:b/>
                <w:bCs/>
                <w:spacing w:val="-3"/>
                <w:szCs w:val="20"/>
              </w:rPr>
            </w:pPr>
            <w:r w:rsidRPr="008D2A3E">
              <w:rPr>
                <w:rFonts w:cs="Arial"/>
                <w:b/>
                <w:spacing w:val="-3"/>
                <w:szCs w:val="20"/>
              </w:rPr>
              <w:t>P</w:t>
            </w:r>
            <w:r w:rsidRPr="00F31E5A">
              <w:rPr>
                <w:rFonts w:cs="Arial"/>
                <w:b/>
                <w:bCs/>
                <w:spacing w:val="-3"/>
                <w:szCs w:val="20"/>
              </w:rPr>
              <w:t>articipants</w:t>
            </w:r>
          </w:p>
        </w:tc>
        <w:tc>
          <w:tcPr>
            <w:tcW w:w="99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5AB96F94" w:rsidR="00F31E5A" w:rsidRPr="00902CF9" w:rsidRDefault="00F31E5A" w:rsidP="00F31E5A">
            <w:pPr>
              <w:jc w:val="center"/>
              <w:rPr>
                <w:rFonts w:cs="Arial"/>
                <w:b/>
                <w:bCs/>
                <w:spacing w:val="-3"/>
                <w:szCs w:val="20"/>
              </w:rPr>
            </w:pPr>
            <w:r w:rsidRPr="00902CF9">
              <w:rPr>
                <w:rFonts w:cs="Arial"/>
                <w:b/>
                <w:bCs/>
                <w:spacing w:val="-3"/>
                <w:szCs w:val="20"/>
              </w:rPr>
              <w:t>Claims</w:t>
            </w:r>
          </w:p>
        </w:tc>
        <w:tc>
          <w:tcPr>
            <w:tcW w:w="18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F31E5A" w:rsidRPr="00902CF9" w:rsidRDefault="00F31E5A" w:rsidP="00F31E5A">
            <w:pPr>
              <w:jc w:val="center"/>
              <w:rPr>
                <w:rFonts w:cs="Arial"/>
                <w:b/>
                <w:bCs/>
                <w:spacing w:val="-3"/>
                <w:szCs w:val="20"/>
              </w:rPr>
            </w:pPr>
            <w:r w:rsidRPr="00902CF9">
              <w:rPr>
                <w:rFonts w:cs="Arial"/>
                <w:b/>
                <w:bCs/>
                <w:spacing w:val="-3"/>
                <w:szCs w:val="20"/>
              </w:rPr>
              <w:t>Spend</w:t>
            </w:r>
          </w:p>
        </w:tc>
        <w:tc>
          <w:tcPr>
            <w:tcW w:w="16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F31E5A" w:rsidRPr="00902CF9" w:rsidRDefault="00F31E5A" w:rsidP="00F31E5A">
            <w:pPr>
              <w:jc w:val="center"/>
              <w:rPr>
                <w:rFonts w:cs="Arial"/>
                <w:b/>
                <w:bCs/>
                <w:spacing w:val="-3"/>
                <w:szCs w:val="20"/>
              </w:rPr>
            </w:pPr>
            <w:r w:rsidRPr="00902CF9">
              <w:rPr>
                <w:rFonts w:cs="Arial"/>
                <w:b/>
                <w:spacing w:val="-3"/>
                <w:szCs w:val="20"/>
              </w:rPr>
              <w:t>Avg Spend per Claim</w:t>
            </w:r>
          </w:p>
        </w:tc>
      </w:tr>
      <w:tr w:rsidR="00C94D82" w:rsidRPr="00902CF9" w14:paraId="29C2C6B5"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4E48F17F" w14:textId="7CB7DAE2" w:rsidR="00C94D82" w:rsidRPr="00902CF9" w:rsidRDefault="00C94D82" w:rsidP="00C94D82">
            <w:pPr>
              <w:rPr>
                <w:rFonts w:cs="Arial"/>
                <w:szCs w:val="20"/>
              </w:rPr>
            </w:pPr>
            <w:r w:rsidRPr="003F1493">
              <w:rPr>
                <w:rFonts w:cs="Arial"/>
                <w:szCs w:val="20"/>
              </w:rPr>
              <w:t>AGAMREE 40 MG/ML SUSP</w:t>
            </w:r>
          </w:p>
        </w:tc>
        <w:tc>
          <w:tcPr>
            <w:tcW w:w="1440" w:type="dxa"/>
            <w:tcBorders>
              <w:top w:val="single" w:sz="4" w:space="0" w:color="auto"/>
              <w:bottom w:val="single" w:sz="4" w:space="0" w:color="auto"/>
            </w:tcBorders>
            <w:vAlign w:val="center"/>
          </w:tcPr>
          <w:p w14:paraId="19B6C4A6" w14:textId="34550896" w:rsidR="00C94D82" w:rsidRPr="00902CF9" w:rsidRDefault="00C94D82" w:rsidP="00C94D82">
            <w:pPr>
              <w:jc w:val="center"/>
              <w:rPr>
                <w:rFonts w:cs="Arial"/>
                <w:szCs w:val="20"/>
              </w:rPr>
            </w:pPr>
            <w:r>
              <w:rPr>
                <w:rFonts w:cs="Arial"/>
                <w:caps/>
                <w:spacing w:val="-3"/>
                <w:szCs w:val="20"/>
              </w:rPr>
              <w:t>9</w:t>
            </w:r>
          </w:p>
        </w:tc>
        <w:tc>
          <w:tcPr>
            <w:tcW w:w="990" w:type="dxa"/>
            <w:tcBorders>
              <w:top w:val="single" w:sz="4" w:space="0" w:color="auto"/>
              <w:left w:val="single" w:sz="4" w:space="0" w:color="auto"/>
              <w:bottom w:val="single" w:sz="4" w:space="0" w:color="auto"/>
              <w:right w:val="single" w:sz="4" w:space="0" w:color="auto"/>
            </w:tcBorders>
            <w:vAlign w:val="center"/>
          </w:tcPr>
          <w:p w14:paraId="5F6574F8" w14:textId="0B855562" w:rsidR="00C94D82" w:rsidRPr="00902CF9" w:rsidRDefault="00C94D82" w:rsidP="00C94D82">
            <w:pPr>
              <w:jc w:val="center"/>
              <w:rPr>
                <w:rFonts w:cs="Arial"/>
                <w:szCs w:val="20"/>
              </w:rPr>
            </w:pPr>
            <w:r>
              <w:rPr>
                <w:rFonts w:cs="Arial"/>
                <w:szCs w:val="20"/>
              </w:rPr>
              <w:t>62</w:t>
            </w:r>
          </w:p>
        </w:tc>
        <w:tc>
          <w:tcPr>
            <w:tcW w:w="1800" w:type="dxa"/>
            <w:tcBorders>
              <w:top w:val="single" w:sz="4" w:space="0" w:color="auto"/>
              <w:left w:val="single" w:sz="4" w:space="0" w:color="auto"/>
              <w:bottom w:val="single" w:sz="4" w:space="0" w:color="auto"/>
              <w:right w:val="single" w:sz="4" w:space="0" w:color="auto"/>
            </w:tcBorders>
            <w:vAlign w:val="center"/>
          </w:tcPr>
          <w:p w14:paraId="52453425" w14:textId="695F595E" w:rsidR="00C94D82" w:rsidRPr="00902CF9" w:rsidRDefault="00C94D82" w:rsidP="00C94D82">
            <w:pPr>
              <w:jc w:val="right"/>
              <w:rPr>
                <w:rFonts w:cs="Arial"/>
                <w:szCs w:val="20"/>
              </w:rPr>
            </w:pPr>
            <w:r>
              <w:rPr>
                <w:rFonts w:cs="Arial"/>
                <w:szCs w:val="20"/>
              </w:rPr>
              <w:t>$688,742.28</w:t>
            </w:r>
          </w:p>
        </w:tc>
        <w:tc>
          <w:tcPr>
            <w:tcW w:w="1620" w:type="dxa"/>
            <w:tcBorders>
              <w:top w:val="single" w:sz="4" w:space="0" w:color="auto"/>
              <w:left w:val="single" w:sz="4" w:space="0" w:color="auto"/>
              <w:bottom w:val="single" w:sz="4" w:space="0" w:color="auto"/>
              <w:right w:val="single" w:sz="4" w:space="0" w:color="auto"/>
            </w:tcBorders>
            <w:vAlign w:val="center"/>
          </w:tcPr>
          <w:p w14:paraId="43EE586B" w14:textId="008DAFF5" w:rsidR="00C94D82" w:rsidRPr="00902CF9" w:rsidRDefault="00C94D82" w:rsidP="00C94D82">
            <w:pPr>
              <w:jc w:val="right"/>
              <w:rPr>
                <w:rFonts w:cs="Arial"/>
                <w:szCs w:val="20"/>
              </w:rPr>
            </w:pPr>
            <w:r>
              <w:rPr>
                <w:rFonts w:cs="Arial"/>
                <w:szCs w:val="20"/>
              </w:rPr>
              <w:t>$11,108.75</w:t>
            </w:r>
          </w:p>
        </w:tc>
      </w:tr>
      <w:tr w:rsidR="00C94D82" w:rsidRPr="00902CF9" w14:paraId="4519B0C9"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4A802E59" w14:textId="059FD814" w:rsidR="00C94D82" w:rsidRPr="003F1493" w:rsidRDefault="00C94D82" w:rsidP="00C94D82">
            <w:pPr>
              <w:rPr>
                <w:rFonts w:cs="Arial"/>
                <w:szCs w:val="20"/>
              </w:rPr>
            </w:pPr>
            <w:r w:rsidRPr="003F1493">
              <w:rPr>
                <w:rFonts w:cs="Arial"/>
                <w:caps/>
                <w:spacing w:val="-3"/>
                <w:szCs w:val="20"/>
              </w:rPr>
              <w:t>Amondys 45 100 mg/2 ml vial</w:t>
            </w:r>
          </w:p>
        </w:tc>
        <w:tc>
          <w:tcPr>
            <w:tcW w:w="1440" w:type="dxa"/>
            <w:tcBorders>
              <w:top w:val="single" w:sz="4" w:space="0" w:color="auto"/>
              <w:bottom w:val="single" w:sz="4" w:space="0" w:color="auto"/>
            </w:tcBorders>
            <w:vAlign w:val="center"/>
          </w:tcPr>
          <w:p w14:paraId="327EFB87" w14:textId="60312E90" w:rsidR="00C94D82" w:rsidRDefault="00C94D82" w:rsidP="00C94D82">
            <w:pPr>
              <w:jc w:val="center"/>
              <w:rPr>
                <w:rFonts w:cs="Arial"/>
                <w:caps/>
                <w:spacing w:val="-3"/>
                <w:szCs w:val="20"/>
              </w:rPr>
            </w:pPr>
            <w:r w:rsidRPr="00D628DC">
              <w:rPr>
                <w:rFonts w:cs="Arial"/>
                <w:caps/>
                <w:spacing w:val="-3"/>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4C8432CC" w14:textId="59D42619" w:rsidR="00C94D82" w:rsidRDefault="00C94D82" w:rsidP="00C94D82">
            <w:pPr>
              <w:jc w:val="center"/>
              <w:rPr>
                <w:rFonts w:cs="Arial"/>
                <w:szCs w:val="20"/>
              </w:rPr>
            </w:pPr>
            <w:r>
              <w:rPr>
                <w:rFonts w:cs="Arial"/>
                <w:szCs w:val="20"/>
              </w:rPr>
              <w:t>24</w:t>
            </w:r>
          </w:p>
        </w:tc>
        <w:tc>
          <w:tcPr>
            <w:tcW w:w="1800" w:type="dxa"/>
            <w:tcBorders>
              <w:top w:val="single" w:sz="4" w:space="0" w:color="auto"/>
              <w:left w:val="single" w:sz="4" w:space="0" w:color="auto"/>
              <w:bottom w:val="single" w:sz="4" w:space="0" w:color="auto"/>
              <w:right w:val="single" w:sz="4" w:space="0" w:color="auto"/>
            </w:tcBorders>
            <w:vAlign w:val="center"/>
          </w:tcPr>
          <w:p w14:paraId="069DA443" w14:textId="3AC67A7A" w:rsidR="00C94D82" w:rsidRDefault="00C94D82" w:rsidP="00C94D82">
            <w:pPr>
              <w:jc w:val="right"/>
              <w:rPr>
                <w:rFonts w:cs="Arial"/>
                <w:szCs w:val="20"/>
              </w:rPr>
            </w:pPr>
            <w:r>
              <w:rPr>
                <w:rFonts w:cs="Arial"/>
                <w:szCs w:val="20"/>
              </w:rPr>
              <w:t>$1,623,982.35</w:t>
            </w:r>
          </w:p>
        </w:tc>
        <w:tc>
          <w:tcPr>
            <w:tcW w:w="1620" w:type="dxa"/>
            <w:tcBorders>
              <w:top w:val="single" w:sz="4" w:space="0" w:color="auto"/>
              <w:left w:val="single" w:sz="4" w:space="0" w:color="auto"/>
              <w:bottom w:val="single" w:sz="4" w:space="0" w:color="auto"/>
              <w:right w:val="single" w:sz="4" w:space="0" w:color="auto"/>
            </w:tcBorders>
            <w:vAlign w:val="center"/>
          </w:tcPr>
          <w:p w14:paraId="68B3643F" w14:textId="6B557BA6" w:rsidR="00C94D82" w:rsidRDefault="00C94D82" w:rsidP="00C94D82">
            <w:pPr>
              <w:jc w:val="right"/>
              <w:rPr>
                <w:rFonts w:cs="Arial"/>
                <w:szCs w:val="20"/>
              </w:rPr>
            </w:pPr>
            <w:r>
              <w:rPr>
                <w:rFonts w:cs="Arial"/>
                <w:szCs w:val="20"/>
              </w:rPr>
              <w:t>$67,665.93</w:t>
            </w:r>
          </w:p>
        </w:tc>
      </w:tr>
      <w:tr w:rsidR="00C94D82" w:rsidRPr="00902CF9" w14:paraId="2BF774F5"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bottom"/>
          </w:tcPr>
          <w:p w14:paraId="3C366E6F" w14:textId="4F4E9838" w:rsidR="00C94D82" w:rsidRPr="003F1493" w:rsidRDefault="00C94D82" w:rsidP="00C94D82">
            <w:pPr>
              <w:rPr>
                <w:rFonts w:cs="Arial"/>
                <w:caps/>
                <w:spacing w:val="-3"/>
                <w:szCs w:val="20"/>
              </w:rPr>
            </w:pPr>
            <w:r>
              <w:rPr>
                <w:rFonts w:cs="Arial"/>
                <w:szCs w:val="20"/>
              </w:rPr>
              <w:t>DEFLAZACORT 30 MG TABLET</w:t>
            </w:r>
          </w:p>
        </w:tc>
        <w:tc>
          <w:tcPr>
            <w:tcW w:w="1440" w:type="dxa"/>
            <w:tcBorders>
              <w:top w:val="single" w:sz="4" w:space="0" w:color="auto"/>
              <w:bottom w:val="single" w:sz="4" w:space="0" w:color="auto"/>
            </w:tcBorders>
            <w:vAlign w:val="center"/>
          </w:tcPr>
          <w:p w14:paraId="0F376DE5" w14:textId="1532858C" w:rsidR="00C94D82" w:rsidRPr="00D628DC" w:rsidRDefault="00C94D82" w:rsidP="00C94D82">
            <w:pPr>
              <w:jc w:val="center"/>
              <w:rPr>
                <w:rFonts w:cs="Arial"/>
                <w:caps/>
                <w:spacing w:val="-3"/>
                <w:szCs w:val="20"/>
              </w:rPr>
            </w:pPr>
            <w:r>
              <w:rPr>
                <w:rFonts w:cs="Arial"/>
                <w:bCs/>
                <w:caps/>
                <w:spacing w:val="-3"/>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5C7FAE4D" w14:textId="4E3A003C" w:rsidR="00C94D82" w:rsidRDefault="00C94D82" w:rsidP="00C94D82">
            <w:pPr>
              <w:jc w:val="center"/>
              <w:rPr>
                <w:rFonts w:cs="Arial"/>
                <w:szCs w:val="20"/>
              </w:rPr>
            </w:pPr>
            <w:r>
              <w:rPr>
                <w:rFonts w:cs="Arial"/>
                <w:szCs w:val="20"/>
              </w:rPr>
              <w:t>6</w:t>
            </w:r>
          </w:p>
        </w:tc>
        <w:tc>
          <w:tcPr>
            <w:tcW w:w="1800" w:type="dxa"/>
            <w:tcBorders>
              <w:top w:val="single" w:sz="4" w:space="0" w:color="auto"/>
              <w:left w:val="single" w:sz="4" w:space="0" w:color="auto"/>
              <w:bottom w:val="single" w:sz="4" w:space="0" w:color="auto"/>
              <w:right w:val="single" w:sz="4" w:space="0" w:color="auto"/>
            </w:tcBorders>
            <w:vAlign w:val="center"/>
          </w:tcPr>
          <w:p w14:paraId="294E9E16" w14:textId="2227D65D" w:rsidR="00C94D82" w:rsidRDefault="00C94D82" w:rsidP="00C94D82">
            <w:pPr>
              <w:jc w:val="right"/>
              <w:rPr>
                <w:rFonts w:cs="Arial"/>
                <w:szCs w:val="20"/>
              </w:rPr>
            </w:pPr>
            <w:r>
              <w:rPr>
                <w:rFonts w:cs="Arial"/>
                <w:szCs w:val="20"/>
              </w:rPr>
              <w:t>$2,651.44</w:t>
            </w:r>
          </w:p>
        </w:tc>
        <w:tc>
          <w:tcPr>
            <w:tcW w:w="1620" w:type="dxa"/>
            <w:tcBorders>
              <w:top w:val="single" w:sz="4" w:space="0" w:color="auto"/>
              <w:left w:val="single" w:sz="4" w:space="0" w:color="auto"/>
              <w:bottom w:val="single" w:sz="4" w:space="0" w:color="auto"/>
              <w:right w:val="single" w:sz="4" w:space="0" w:color="auto"/>
            </w:tcBorders>
            <w:vAlign w:val="center"/>
          </w:tcPr>
          <w:p w14:paraId="48136ADD" w14:textId="6D577C15" w:rsidR="00C94D82" w:rsidRDefault="00C94D82" w:rsidP="00C94D82">
            <w:pPr>
              <w:jc w:val="right"/>
              <w:rPr>
                <w:rFonts w:cs="Arial"/>
                <w:szCs w:val="20"/>
              </w:rPr>
            </w:pPr>
            <w:r>
              <w:rPr>
                <w:rFonts w:cs="Arial"/>
                <w:szCs w:val="20"/>
              </w:rPr>
              <w:t>$441.91</w:t>
            </w:r>
          </w:p>
        </w:tc>
      </w:tr>
      <w:tr w:rsidR="00C94D82" w:rsidRPr="00902CF9" w14:paraId="03AEE29F"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bottom"/>
          </w:tcPr>
          <w:p w14:paraId="6335AF15" w14:textId="673898FE" w:rsidR="00C94D82" w:rsidRDefault="00C94D82" w:rsidP="00C94D82">
            <w:pPr>
              <w:rPr>
                <w:rFonts w:cs="Arial"/>
                <w:szCs w:val="20"/>
              </w:rPr>
            </w:pPr>
            <w:r>
              <w:rPr>
                <w:rFonts w:cs="Arial"/>
                <w:szCs w:val="20"/>
              </w:rPr>
              <w:t>DEFLAZACORT 36 MG TABLET</w:t>
            </w:r>
          </w:p>
        </w:tc>
        <w:tc>
          <w:tcPr>
            <w:tcW w:w="1440" w:type="dxa"/>
            <w:tcBorders>
              <w:top w:val="single" w:sz="4" w:space="0" w:color="auto"/>
              <w:bottom w:val="single" w:sz="4" w:space="0" w:color="auto"/>
            </w:tcBorders>
            <w:vAlign w:val="center"/>
          </w:tcPr>
          <w:p w14:paraId="1D8AA760" w14:textId="01524110" w:rsidR="00C94D82" w:rsidRDefault="00C94D82" w:rsidP="00C94D82">
            <w:pPr>
              <w:jc w:val="center"/>
              <w:rPr>
                <w:rFonts w:cs="Arial"/>
                <w:bCs/>
                <w:caps/>
                <w:spacing w:val="-3"/>
                <w:szCs w:val="20"/>
              </w:rPr>
            </w:pPr>
            <w:r>
              <w:rPr>
                <w:rFonts w:cs="Arial"/>
                <w:bCs/>
                <w:caps/>
                <w:spacing w:val="-3"/>
                <w:szCs w:val="20"/>
              </w:rPr>
              <w:t>2</w:t>
            </w:r>
          </w:p>
        </w:tc>
        <w:tc>
          <w:tcPr>
            <w:tcW w:w="990" w:type="dxa"/>
            <w:tcBorders>
              <w:top w:val="single" w:sz="4" w:space="0" w:color="auto"/>
              <w:left w:val="single" w:sz="4" w:space="0" w:color="auto"/>
              <w:bottom w:val="single" w:sz="4" w:space="0" w:color="auto"/>
              <w:right w:val="single" w:sz="4" w:space="0" w:color="auto"/>
            </w:tcBorders>
            <w:vAlign w:val="center"/>
          </w:tcPr>
          <w:p w14:paraId="6B43D32E" w14:textId="4B96AECC" w:rsidR="00C94D82" w:rsidRDefault="00C94D82" w:rsidP="00C94D82">
            <w:pPr>
              <w:jc w:val="center"/>
              <w:rPr>
                <w:rFonts w:cs="Arial"/>
                <w:szCs w:val="20"/>
              </w:rPr>
            </w:pPr>
            <w:r>
              <w:rPr>
                <w:rFonts w:cs="Arial"/>
                <w:szCs w:val="20"/>
              </w:rPr>
              <w:t>8</w:t>
            </w:r>
          </w:p>
        </w:tc>
        <w:tc>
          <w:tcPr>
            <w:tcW w:w="1800" w:type="dxa"/>
            <w:tcBorders>
              <w:top w:val="single" w:sz="4" w:space="0" w:color="auto"/>
              <w:left w:val="single" w:sz="4" w:space="0" w:color="auto"/>
              <w:bottom w:val="single" w:sz="4" w:space="0" w:color="auto"/>
              <w:right w:val="single" w:sz="4" w:space="0" w:color="auto"/>
            </w:tcBorders>
            <w:vAlign w:val="center"/>
          </w:tcPr>
          <w:p w14:paraId="24098C97" w14:textId="6EBC937C" w:rsidR="00C94D82" w:rsidRDefault="00C94D82" w:rsidP="00C94D82">
            <w:pPr>
              <w:jc w:val="right"/>
              <w:rPr>
                <w:rFonts w:cs="Arial"/>
                <w:szCs w:val="20"/>
              </w:rPr>
            </w:pPr>
            <w:r>
              <w:rPr>
                <w:rFonts w:cs="Arial"/>
                <w:szCs w:val="20"/>
              </w:rPr>
              <w:t>$8,691.98</w:t>
            </w:r>
          </w:p>
        </w:tc>
        <w:tc>
          <w:tcPr>
            <w:tcW w:w="1620" w:type="dxa"/>
            <w:tcBorders>
              <w:top w:val="single" w:sz="4" w:space="0" w:color="auto"/>
              <w:left w:val="single" w:sz="4" w:space="0" w:color="auto"/>
              <w:bottom w:val="single" w:sz="4" w:space="0" w:color="auto"/>
              <w:right w:val="single" w:sz="4" w:space="0" w:color="auto"/>
            </w:tcBorders>
            <w:vAlign w:val="center"/>
          </w:tcPr>
          <w:p w14:paraId="1D634085" w14:textId="5372FD5F" w:rsidR="00C94D82" w:rsidRDefault="00C94D82" w:rsidP="00C94D82">
            <w:pPr>
              <w:jc w:val="right"/>
              <w:rPr>
                <w:rFonts w:cs="Arial"/>
                <w:szCs w:val="20"/>
              </w:rPr>
            </w:pPr>
            <w:r>
              <w:rPr>
                <w:rFonts w:cs="Arial"/>
                <w:szCs w:val="20"/>
              </w:rPr>
              <w:t>$1,086.50</w:t>
            </w:r>
          </w:p>
        </w:tc>
      </w:tr>
      <w:tr w:rsidR="00C94D82" w:rsidRPr="00902CF9" w14:paraId="1939BD9F"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19DE1309" w14:textId="572C4883" w:rsidR="00C94D82" w:rsidRDefault="00C94D82" w:rsidP="00C94D82">
            <w:pPr>
              <w:rPr>
                <w:rFonts w:cs="Arial"/>
                <w:szCs w:val="20"/>
              </w:rPr>
            </w:pPr>
            <w:r w:rsidRPr="003F1493">
              <w:rPr>
                <w:rFonts w:cs="Arial"/>
                <w:caps/>
                <w:spacing w:val="-3"/>
                <w:szCs w:val="20"/>
              </w:rPr>
              <w:t>DUVYZAT 8.86 MG/ML ORAL SUSP</w:t>
            </w:r>
          </w:p>
        </w:tc>
        <w:tc>
          <w:tcPr>
            <w:tcW w:w="1440" w:type="dxa"/>
            <w:tcBorders>
              <w:top w:val="single" w:sz="4" w:space="0" w:color="auto"/>
              <w:bottom w:val="single" w:sz="4" w:space="0" w:color="auto"/>
            </w:tcBorders>
            <w:vAlign w:val="center"/>
          </w:tcPr>
          <w:p w14:paraId="778CEF8C" w14:textId="58E6BBEE" w:rsidR="00C94D82" w:rsidRDefault="00C94D82" w:rsidP="00C94D82">
            <w:pPr>
              <w:jc w:val="center"/>
              <w:rPr>
                <w:rFonts w:cs="Arial"/>
                <w:bCs/>
                <w:caps/>
                <w:spacing w:val="-3"/>
                <w:szCs w:val="20"/>
              </w:rPr>
            </w:pPr>
            <w:r>
              <w:rPr>
                <w:rFonts w:cs="Arial"/>
                <w:bCs/>
                <w:caps/>
                <w:spacing w:val="-3"/>
                <w:szCs w:val="20"/>
              </w:rPr>
              <w:t>13</w:t>
            </w:r>
          </w:p>
        </w:tc>
        <w:tc>
          <w:tcPr>
            <w:tcW w:w="990" w:type="dxa"/>
            <w:tcBorders>
              <w:top w:val="single" w:sz="4" w:space="0" w:color="auto"/>
              <w:left w:val="single" w:sz="4" w:space="0" w:color="auto"/>
              <w:bottom w:val="single" w:sz="4" w:space="0" w:color="auto"/>
              <w:right w:val="single" w:sz="4" w:space="0" w:color="auto"/>
            </w:tcBorders>
            <w:vAlign w:val="center"/>
          </w:tcPr>
          <w:p w14:paraId="74CEBF4C" w14:textId="26C47A58" w:rsidR="00C94D82" w:rsidRDefault="00C94D82" w:rsidP="00C94D82">
            <w:pPr>
              <w:jc w:val="center"/>
              <w:rPr>
                <w:rFonts w:cs="Arial"/>
                <w:szCs w:val="20"/>
              </w:rPr>
            </w:pPr>
            <w:r>
              <w:rPr>
                <w:rFonts w:cs="Arial"/>
                <w:szCs w:val="20"/>
              </w:rPr>
              <w:t>94</w:t>
            </w:r>
          </w:p>
        </w:tc>
        <w:tc>
          <w:tcPr>
            <w:tcW w:w="1800" w:type="dxa"/>
            <w:tcBorders>
              <w:top w:val="single" w:sz="4" w:space="0" w:color="auto"/>
              <w:left w:val="single" w:sz="4" w:space="0" w:color="auto"/>
              <w:bottom w:val="single" w:sz="4" w:space="0" w:color="auto"/>
              <w:right w:val="single" w:sz="4" w:space="0" w:color="auto"/>
            </w:tcBorders>
            <w:vAlign w:val="center"/>
          </w:tcPr>
          <w:p w14:paraId="3A8DC71D" w14:textId="5A96567D" w:rsidR="00C94D82" w:rsidRDefault="00C94D82" w:rsidP="00C94D82">
            <w:pPr>
              <w:jc w:val="right"/>
              <w:rPr>
                <w:rFonts w:cs="Arial"/>
                <w:szCs w:val="20"/>
              </w:rPr>
            </w:pPr>
            <w:r>
              <w:rPr>
                <w:rFonts w:cs="Arial"/>
                <w:szCs w:val="20"/>
              </w:rPr>
              <w:t>$4,517,136.56</w:t>
            </w:r>
          </w:p>
        </w:tc>
        <w:tc>
          <w:tcPr>
            <w:tcW w:w="1620" w:type="dxa"/>
            <w:tcBorders>
              <w:top w:val="single" w:sz="4" w:space="0" w:color="auto"/>
              <w:left w:val="single" w:sz="4" w:space="0" w:color="auto"/>
              <w:bottom w:val="single" w:sz="4" w:space="0" w:color="auto"/>
              <w:right w:val="single" w:sz="4" w:space="0" w:color="auto"/>
            </w:tcBorders>
            <w:vAlign w:val="center"/>
          </w:tcPr>
          <w:p w14:paraId="6C1C6ACA" w14:textId="5480CF0D" w:rsidR="00C94D82" w:rsidRDefault="00C94D82" w:rsidP="00C94D82">
            <w:pPr>
              <w:jc w:val="right"/>
              <w:rPr>
                <w:rFonts w:cs="Arial"/>
                <w:szCs w:val="20"/>
              </w:rPr>
            </w:pPr>
            <w:r>
              <w:rPr>
                <w:rFonts w:cs="Arial"/>
                <w:szCs w:val="20"/>
              </w:rPr>
              <w:t>$48,054.64</w:t>
            </w:r>
          </w:p>
        </w:tc>
      </w:tr>
      <w:tr w:rsidR="00C94D82" w:rsidRPr="00902CF9" w14:paraId="664487D5"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6F0DF10C" w14:textId="6E1BE5F2" w:rsidR="00C94D82" w:rsidRPr="003F1493" w:rsidRDefault="00C94D82" w:rsidP="00C94D82">
            <w:pPr>
              <w:rPr>
                <w:rFonts w:cs="Arial"/>
                <w:caps/>
                <w:spacing w:val="-3"/>
                <w:szCs w:val="20"/>
              </w:rPr>
            </w:pPr>
            <w:r w:rsidRPr="001B6735">
              <w:rPr>
                <w:rFonts w:cs="Arial"/>
                <w:caps/>
                <w:spacing w:val="-3"/>
                <w:szCs w:val="20"/>
              </w:rPr>
              <w:t>Emflaza 22.75 mg/mL susp</w:t>
            </w:r>
          </w:p>
        </w:tc>
        <w:tc>
          <w:tcPr>
            <w:tcW w:w="1440" w:type="dxa"/>
            <w:tcBorders>
              <w:top w:val="single" w:sz="4" w:space="0" w:color="auto"/>
              <w:bottom w:val="single" w:sz="4" w:space="0" w:color="auto"/>
            </w:tcBorders>
            <w:vAlign w:val="center"/>
          </w:tcPr>
          <w:p w14:paraId="04E54556" w14:textId="3F516083" w:rsidR="00C94D82" w:rsidRDefault="00C94D82" w:rsidP="00C94D82">
            <w:pPr>
              <w:jc w:val="center"/>
              <w:rPr>
                <w:rFonts w:cs="Arial"/>
                <w:bCs/>
                <w:caps/>
                <w:spacing w:val="-3"/>
                <w:szCs w:val="20"/>
              </w:rPr>
            </w:pPr>
            <w:r>
              <w:rPr>
                <w:rFonts w:cs="Arial"/>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6AA19DFA" w14:textId="2FF05523" w:rsidR="00C94D82" w:rsidRDefault="00C94D82" w:rsidP="00C94D82">
            <w:pPr>
              <w:jc w:val="center"/>
              <w:rPr>
                <w:rFonts w:cs="Arial"/>
                <w:szCs w:val="20"/>
              </w:rPr>
            </w:pPr>
            <w:r>
              <w:rPr>
                <w:rFonts w:cs="Arial"/>
                <w:szCs w:val="20"/>
              </w:rPr>
              <w:t>3</w:t>
            </w:r>
          </w:p>
        </w:tc>
        <w:tc>
          <w:tcPr>
            <w:tcW w:w="1800" w:type="dxa"/>
            <w:tcBorders>
              <w:top w:val="single" w:sz="4" w:space="0" w:color="auto"/>
              <w:left w:val="single" w:sz="4" w:space="0" w:color="auto"/>
              <w:bottom w:val="single" w:sz="4" w:space="0" w:color="auto"/>
              <w:right w:val="single" w:sz="4" w:space="0" w:color="auto"/>
            </w:tcBorders>
            <w:vAlign w:val="center"/>
          </w:tcPr>
          <w:p w14:paraId="55366054" w14:textId="31FEE77F" w:rsidR="00C94D82" w:rsidRDefault="00C94D82" w:rsidP="00C94D82">
            <w:pPr>
              <w:jc w:val="right"/>
              <w:rPr>
                <w:rFonts w:cs="Arial"/>
                <w:szCs w:val="20"/>
              </w:rPr>
            </w:pPr>
            <w:r>
              <w:rPr>
                <w:rFonts w:cs="Arial"/>
                <w:szCs w:val="20"/>
              </w:rPr>
              <w:t>$80,897.97</w:t>
            </w:r>
          </w:p>
        </w:tc>
        <w:tc>
          <w:tcPr>
            <w:tcW w:w="1620" w:type="dxa"/>
            <w:tcBorders>
              <w:top w:val="single" w:sz="4" w:space="0" w:color="auto"/>
              <w:left w:val="single" w:sz="4" w:space="0" w:color="auto"/>
              <w:bottom w:val="single" w:sz="4" w:space="0" w:color="auto"/>
              <w:right w:val="single" w:sz="4" w:space="0" w:color="auto"/>
            </w:tcBorders>
            <w:vAlign w:val="center"/>
          </w:tcPr>
          <w:p w14:paraId="221A4E8F" w14:textId="1B03CD6E" w:rsidR="00C94D82" w:rsidRDefault="00C94D82" w:rsidP="00C94D82">
            <w:pPr>
              <w:jc w:val="right"/>
              <w:rPr>
                <w:rFonts w:cs="Arial"/>
                <w:szCs w:val="20"/>
              </w:rPr>
            </w:pPr>
            <w:r>
              <w:rPr>
                <w:rFonts w:cs="Arial"/>
                <w:szCs w:val="20"/>
              </w:rPr>
              <w:t>$26,965.99</w:t>
            </w:r>
          </w:p>
        </w:tc>
      </w:tr>
      <w:tr w:rsidR="00C94D82" w:rsidRPr="00902CF9" w14:paraId="79092D66"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0167FDCB" w14:textId="701F9C26" w:rsidR="00C94D82" w:rsidRPr="001B6735" w:rsidRDefault="00C94D82" w:rsidP="00C94D82">
            <w:pPr>
              <w:rPr>
                <w:rFonts w:cs="Arial"/>
                <w:caps/>
                <w:spacing w:val="-3"/>
                <w:szCs w:val="20"/>
              </w:rPr>
            </w:pPr>
            <w:r w:rsidRPr="001B6735">
              <w:rPr>
                <w:rFonts w:cs="Arial"/>
                <w:caps/>
                <w:spacing w:val="-3"/>
                <w:szCs w:val="20"/>
              </w:rPr>
              <w:t>Emflaza</w:t>
            </w:r>
            <w:r w:rsidRPr="001B6735">
              <w:rPr>
                <w:rFonts w:cs="Arial"/>
                <w:caps/>
                <w:spacing w:val="-3"/>
                <w:szCs w:val="20"/>
                <w:vertAlign w:val="superscript"/>
              </w:rPr>
              <w:t xml:space="preserve"> </w:t>
            </w:r>
            <w:r w:rsidRPr="001B6735">
              <w:rPr>
                <w:rFonts w:cs="Arial"/>
                <w:caps/>
                <w:spacing w:val="-3"/>
                <w:szCs w:val="20"/>
              </w:rPr>
              <w:t>6 mg tablet</w:t>
            </w:r>
          </w:p>
        </w:tc>
        <w:tc>
          <w:tcPr>
            <w:tcW w:w="1440" w:type="dxa"/>
            <w:tcBorders>
              <w:top w:val="single" w:sz="4" w:space="0" w:color="auto"/>
              <w:bottom w:val="single" w:sz="4" w:space="0" w:color="auto"/>
            </w:tcBorders>
            <w:vAlign w:val="center"/>
          </w:tcPr>
          <w:p w14:paraId="0D8008D3" w14:textId="07B64A3B" w:rsidR="00C94D82" w:rsidRDefault="00C94D82" w:rsidP="00C94D82">
            <w:pPr>
              <w:jc w:val="center"/>
              <w:rPr>
                <w:rFonts w:cs="Arial"/>
                <w:szCs w:val="20"/>
              </w:rPr>
            </w:pPr>
            <w:r w:rsidRPr="00077D25">
              <w:rPr>
                <w:rFonts w:cs="Arial"/>
                <w:bCs/>
                <w:caps/>
                <w:spacing w:val="-3"/>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03DF4359" w14:textId="774A669D" w:rsidR="00C94D82" w:rsidRDefault="00C94D82" w:rsidP="00C94D82">
            <w:pPr>
              <w:jc w:val="center"/>
              <w:rPr>
                <w:rFonts w:cs="Arial"/>
                <w:szCs w:val="20"/>
              </w:rPr>
            </w:pPr>
            <w:r w:rsidRPr="001B6735">
              <w:rPr>
                <w:rFonts w:cs="Arial"/>
                <w:bCs/>
                <w:spacing w:val="-3"/>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27277142" w14:textId="7C4F832D" w:rsidR="00C94D82" w:rsidRDefault="00C94D82" w:rsidP="00C94D82">
            <w:pPr>
              <w:jc w:val="right"/>
              <w:rPr>
                <w:rFonts w:cs="Arial"/>
                <w:szCs w:val="20"/>
              </w:rPr>
            </w:pPr>
            <w:r w:rsidRPr="001B6735">
              <w:rPr>
                <w:rFonts w:cs="Arial"/>
                <w:bCs/>
                <w:spacing w:val="-3"/>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2F30AA7C" w14:textId="11685627" w:rsidR="00C94D82" w:rsidRDefault="00C94D82" w:rsidP="00C94D82">
            <w:pPr>
              <w:jc w:val="right"/>
              <w:rPr>
                <w:rFonts w:cs="Arial"/>
                <w:szCs w:val="20"/>
              </w:rPr>
            </w:pPr>
            <w:r w:rsidRPr="001B6735">
              <w:rPr>
                <w:rFonts w:cs="Arial"/>
                <w:bCs/>
                <w:spacing w:val="-3"/>
                <w:szCs w:val="20"/>
              </w:rPr>
              <w:t>-</w:t>
            </w:r>
          </w:p>
        </w:tc>
      </w:tr>
      <w:tr w:rsidR="00C94D82" w:rsidRPr="00902CF9" w14:paraId="74B9BB45"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13D33729" w14:textId="14524A9E" w:rsidR="00C94D82" w:rsidRPr="001B6735" w:rsidRDefault="00C94D82" w:rsidP="00C94D82">
            <w:pPr>
              <w:rPr>
                <w:rFonts w:cs="Arial"/>
                <w:caps/>
                <w:spacing w:val="-3"/>
                <w:szCs w:val="20"/>
              </w:rPr>
            </w:pPr>
            <w:r w:rsidRPr="001B6735">
              <w:rPr>
                <w:rFonts w:cs="Arial"/>
                <w:caps/>
                <w:spacing w:val="-3"/>
                <w:szCs w:val="20"/>
              </w:rPr>
              <w:t>Emflaza 18 mg tablet</w:t>
            </w:r>
          </w:p>
        </w:tc>
        <w:tc>
          <w:tcPr>
            <w:tcW w:w="1440" w:type="dxa"/>
            <w:tcBorders>
              <w:top w:val="single" w:sz="4" w:space="0" w:color="auto"/>
              <w:bottom w:val="single" w:sz="4" w:space="0" w:color="auto"/>
            </w:tcBorders>
            <w:vAlign w:val="center"/>
          </w:tcPr>
          <w:p w14:paraId="28F7DC83" w14:textId="34054F50" w:rsidR="00C94D82" w:rsidRPr="00077D25" w:rsidRDefault="00C94D82" w:rsidP="00C94D82">
            <w:pPr>
              <w:jc w:val="center"/>
              <w:rPr>
                <w:rFonts w:cs="Arial"/>
                <w:bCs/>
                <w:caps/>
                <w:spacing w:val="-3"/>
                <w:szCs w:val="20"/>
              </w:rPr>
            </w:pPr>
            <w:r>
              <w:rPr>
                <w:rFonts w:cs="Arial"/>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47D36568" w14:textId="4AC08794" w:rsidR="00C94D82" w:rsidRPr="001B6735" w:rsidRDefault="00C94D82" w:rsidP="00C94D82">
            <w:pPr>
              <w:jc w:val="center"/>
              <w:rPr>
                <w:rFonts w:cs="Arial"/>
                <w:bCs/>
                <w:spacing w:val="-3"/>
                <w:szCs w:val="20"/>
              </w:rPr>
            </w:pPr>
            <w:r>
              <w:rPr>
                <w:rFonts w:cs="Arial"/>
                <w:szCs w:val="20"/>
              </w:rPr>
              <w:t>11</w:t>
            </w:r>
          </w:p>
        </w:tc>
        <w:tc>
          <w:tcPr>
            <w:tcW w:w="1800" w:type="dxa"/>
            <w:tcBorders>
              <w:top w:val="single" w:sz="4" w:space="0" w:color="auto"/>
              <w:left w:val="single" w:sz="4" w:space="0" w:color="auto"/>
              <w:bottom w:val="single" w:sz="4" w:space="0" w:color="auto"/>
              <w:right w:val="single" w:sz="4" w:space="0" w:color="auto"/>
            </w:tcBorders>
            <w:vAlign w:val="center"/>
          </w:tcPr>
          <w:p w14:paraId="13E61C21" w14:textId="571E1899" w:rsidR="00C94D82" w:rsidRPr="001B6735" w:rsidRDefault="00C94D82" w:rsidP="00C94D82">
            <w:pPr>
              <w:jc w:val="right"/>
              <w:rPr>
                <w:rFonts w:cs="Arial"/>
                <w:bCs/>
                <w:spacing w:val="-3"/>
                <w:szCs w:val="20"/>
              </w:rPr>
            </w:pPr>
            <w:r>
              <w:rPr>
                <w:rFonts w:cs="Arial"/>
                <w:szCs w:val="20"/>
              </w:rPr>
              <w:t>$101,396.46</w:t>
            </w:r>
          </w:p>
        </w:tc>
        <w:tc>
          <w:tcPr>
            <w:tcW w:w="1620" w:type="dxa"/>
            <w:tcBorders>
              <w:top w:val="single" w:sz="4" w:space="0" w:color="auto"/>
              <w:left w:val="single" w:sz="4" w:space="0" w:color="auto"/>
              <w:bottom w:val="single" w:sz="4" w:space="0" w:color="auto"/>
              <w:right w:val="single" w:sz="4" w:space="0" w:color="auto"/>
            </w:tcBorders>
            <w:vAlign w:val="center"/>
          </w:tcPr>
          <w:p w14:paraId="7DD1CD31" w14:textId="38A28BA3" w:rsidR="00C94D82" w:rsidRPr="001B6735" w:rsidRDefault="00C94D82" w:rsidP="00C94D82">
            <w:pPr>
              <w:jc w:val="right"/>
              <w:rPr>
                <w:rFonts w:cs="Arial"/>
                <w:bCs/>
                <w:spacing w:val="-3"/>
                <w:szCs w:val="20"/>
              </w:rPr>
            </w:pPr>
            <w:r>
              <w:rPr>
                <w:rFonts w:cs="Arial"/>
                <w:szCs w:val="20"/>
              </w:rPr>
              <w:t>$9,217.86</w:t>
            </w:r>
          </w:p>
        </w:tc>
      </w:tr>
      <w:tr w:rsidR="00C94D82" w:rsidRPr="00902CF9" w14:paraId="352DDC75"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5C8B92F8" w14:textId="3B6F456D" w:rsidR="00C94D82" w:rsidRPr="001B6735" w:rsidRDefault="00C94D82" w:rsidP="00C94D82">
            <w:pPr>
              <w:rPr>
                <w:rFonts w:cs="Arial"/>
                <w:caps/>
                <w:spacing w:val="-3"/>
                <w:szCs w:val="20"/>
              </w:rPr>
            </w:pPr>
            <w:r w:rsidRPr="001B6735">
              <w:rPr>
                <w:rFonts w:cs="Arial"/>
                <w:caps/>
                <w:spacing w:val="-3"/>
                <w:szCs w:val="20"/>
              </w:rPr>
              <w:t>Emflaza 30 mg tablet</w:t>
            </w:r>
          </w:p>
        </w:tc>
        <w:tc>
          <w:tcPr>
            <w:tcW w:w="1440" w:type="dxa"/>
            <w:tcBorders>
              <w:top w:val="single" w:sz="4" w:space="0" w:color="auto"/>
              <w:bottom w:val="single" w:sz="4" w:space="0" w:color="auto"/>
            </w:tcBorders>
            <w:vAlign w:val="center"/>
          </w:tcPr>
          <w:p w14:paraId="71920FBA" w14:textId="36C74708" w:rsidR="00C94D82" w:rsidRDefault="00C94D82" w:rsidP="00C94D82">
            <w:pPr>
              <w:jc w:val="center"/>
              <w:rPr>
                <w:rFonts w:cs="Arial"/>
                <w:szCs w:val="20"/>
              </w:rPr>
            </w:pPr>
            <w:r>
              <w:rPr>
                <w:rFonts w:cs="Arial"/>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0B725865" w14:textId="15FCCEFB" w:rsidR="00C94D82" w:rsidRDefault="00C94D82" w:rsidP="00C94D82">
            <w:pPr>
              <w:jc w:val="center"/>
              <w:rPr>
                <w:rFonts w:cs="Arial"/>
                <w:szCs w:val="20"/>
              </w:rPr>
            </w:pPr>
            <w:r>
              <w:rPr>
                <w:rFonts w:cs="Arial"/>
                <w:szCs w:val="20"/>
              </w:rPr>
              <w:t>34</w:t>
            </w:r>
          </w:p>
        </w:tc>
        <w:tc>
          <w:tcPr>
            <w:tcW w:w="1800" w:type="dxa"/>
            <w:tcBorders>
              <w:top w:val="single" w:sz="4" w:space="0" w:color="auto"/>
              <w:left w:val="single" w:sz="4" w:space="0" w:color="auto"/>
              <w:bottom w:val="single" w:sz="4" w:space="0" w:color="auto"/>
              <w:right w:val="single" w:sz="4" w:space="0" w:color="auto"/>
            </w:tcBorders>
            <w:vAlign w:val="center"/>
          </w:tcPr>
          <w:p w14:paraId="3CB5DE0D" w14:textId="1E9D3B31" w:rsidR="00C94D82" w:rsidRDefault="00C94D82" w:rsidP="00C94D82">
            <w:pPr>
              <w:jc w:val="right"/>
              <w:rPr>
                <w:rFonts w:cs="Arial"/>
                <w:szCs w:val="20"/>
              </w:rPr>
            </w:pPr>
            <w:r>
              <w:rPr>
                <w:rFonts w:cs="Arial"/>
                <w:szCs w:val="20"/>
              </w:rPr>
              <w:t>$598,725.36</w:t>
            </w:r>
          </w:p>
        </w:tc>
        <w:tc>
          <w:tcPr>
            <w:tcW w:w="1620" w:type="dxa"/>
            <w:tcBorders>
              <w:top w:val="single" w:sz="4" w:space="0" w:color="auto"/>
              <w:left w:val="single" w:sz="4" w:space="0" w:color="auto"/>
              <w:bottom w:val="single" w:sz="4" w:space="0" w:color="auto"/>
              <w:right w:val="single" w:sz="4" w:space="0" w:color="auto"/>
            </w:tcBorders>
            <w:vAlign w:val="center"/>
          </w:tcPr>
          <w:p w14:paraId="28147DE1" w14:textId="10F48FA2" w:rsidR="00C94D82" w:rsidRDefault="00C94D82" w:rsidP="00C94D82">
            <w:pPr>
              <w:jc w:val="right"/>
              <w:rPr>
                <w:rFonts w:cs="Arial"/>
                <w:szCs w:val="20"/>
              </w:rPr>
            </w:pPr>
            <w:r>
              <w:rPr>
                <w:rFonts w:cs="Arial"/>
                <w:szCs w:val="20"/>
              </w:rPr>
              <w:t>$17,609.57</w:t>
            </w:r>
          </w:p>
        </w:tc>
      </w:tr>
      <w:tr w:rsidR="00C94D82" w:rsidRPr="00902CF9" w14:paraId="02481C0A"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18099534" w14:textId="23685299" w:rsidR="00C94D82" w:rsidRPr="001B6735" w:rsidRDefault="00C94D82" w:rsidP="00C94D82">
            <w:pPr>
              <w:rPr>
                <w:rFonts w:cs="Arial"/>
                <w:caps/>
                <w:spacing w:val="-3"/>
                <w:szCs w:val="20"/>
              </w:rPr>
            </w:pPr>
            <w:r w:rsidRPr="001B6735">
              <w:rPr>
                <w:rFonts w:cs="Arial"/>
                <w:caps/>
                <w:spacing w:val="-3"/>
                <w:szCs w:val="20"/>
              </w:rPr>
              <w:t>Emflaza 36 mg tablet</w:t>
            </w:r>
          </w:p>
        </w:tc>
        <w:tc>
          <w:tcPr>
            <w:tcW w:w="1440" w:type="dxa"/>
            <w:tcBorders>
              <w:top w:val="single" w:sz="4" w:space="0" w:color="auto"/>
              <w:bottom w:val="single" w:sz="4" w:space="0" w:color="auto"/>
            </w:tcBorders>
            <w:vAlign w:val="center"/>
          </w:tcPr>
          <w:p w14:paraId="42ADA151" w14:textId="74357C71" w:rsidR="00C94D82" w:rsidRDefault="00C94D82" w:rsidP="00C94D82">
            <w:pPr>
              <w:jc w:val="center"/>
              <w:rPr>
                <w:rFonts w:cs="Arial"/>
                <w:szCs w:val="20"/>
              </w:rPr>
            </w:pPr>
            <w:r>
              <w:rPr>
                <w:rFonts w:cs="Arial"/>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A126776" w14:textId="42F3E91F" w:rsidR="00C94D82" w:rsidRDefault="00C94D82" w:rsidP="00C94D82">
            <w:pPr>
              <w:jc w:val="center"/>
              <w:rPr>
                <w:rFonts w:cs="Arial"/>
                <w:szCs w:val="20"/>
              </w:rPr>
            </w:pPr>
            <w:r>
              <w:rPr>
                <w:rFonts w:cs="Arial"/>
                <w:szCs w:val="20"/>
              </w:rPr>
              <w:t>27</w:t>
            </w:r>
          </w:p>
        </w:tc>
        <w:tc>
          <w:tcPr>
            <w:tcW w:w="1800" w:type="dxa"/>
            <w:tcBorders>
              <w:top w:val="single" w:sz="4" w:space="0" w:color="auto"/>
              <w:left w:val="single" w:sz="4" w:space="0" w:color="auto"/>
              <w:bottom w:val="single" w:sz="4" w:space="0" w:color="auto"/>
              <w:right w:val="single" w:sz="4" w:space="0" w:color="auto"/>
            </w:tcBorders>
            <w:vAlign w:val="center"/>
          </w:tcPr>
          <w:p w14:paraId="4F17D4D6" w14:textId="22431DA9" w:rsidR="00C94D82" w:rsidRDefault="00C94D82" w:rsidP="00C94D82">
            <w:pPr>
              <w:jc w:val="right"/>
              <w:rPr>
                <w:rFonts w:cs="Arial"/>
                <w:szCs w:val="20"/>
              </w:rPr>
            </w:pPr>
            <w:r>
              <w:rPr>
                <w:rFonts w:cs="Arial"/>
                <w:szCs w:val="20"/>
              </w:rPr>
              <w:t>$356,339.13</w:t>
            </w:r>
          </w:p>
        </w:tc>
        <w:tc>
          <w:tcPr>
            <w:tcW w:w="1620" w:type="dxa"/>
            <w:tcBorders>
              <w:top w:val="single" w:sz="4" w:space="0" w:color="auto"/>
              <w:left w:val="single" w:sz="4" w:space="0" w:color="auto"/>
              <w:bottom w:val="single" w:sz="4" w:space="0" w:color="auto"/>
              <w:right w:val="single" w:sz="4" w:space="0" w:color="auto"/>
            </w:tcBorders>
            <w:vAlign w:val="center"/>
          </w:tcPr>
          <w:p w14:paraId="604CEDB5" w14:textId="03D5963E" w:rsidR="00C94D82" w:rsidRDefault="00C94D82" w:rsidP="00C94D82">
            <w:pPr>
              <w:jc w:val="right"/>
              <w:rPr>
                <w:rFonts w:cs="Arial"/>
                <w:szCs w:val="20"/>
              </w:rPr>
            </w:pPr>
            <w:r>
              <w:rPr>
                <w:rFonts w:cs="Arial"/>
                <w:szCs w:val="20"/>
              </w:rPr>
              <w:t>$13,197.75</w:t>
            </w:r>
          </w:p>
        </w:tc>
      </w:tr>
      <w:tr w:rsidR="00C94D82" w:rsidRPr="00902CF9" w14:paraId="46A77BB3"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61521226" w14:textId="224157E6" w:rsidR="00C94D82" w:rsidRPr="001B6735" w:rsidRDefault="00C94D82" w:rsidP="00C94D82">
            <w:pPr>
              <w:rPr>
                <w:rFonts w:cs="Arial"/>
                <w:caps/>
                <w:spacing w:val="-3"/>
                <w:szCs w:val="20"/>
              </w:rPr>
            </w:pPr>
            <w:r w:rsidRPr="001B6735">
              <w:rPr>
                <w:rFonts w:cs="Arial"/>
                <w:caps/>
                <w:spacing w:val="-3"/>
                <w:szCs w:val="20"/>
              </w:rPr>
              <w:t>Exondys 51 100 mg/2 ml vial</w:t>
            </w:r>
          </w:p>
        </w:tc>
        <w:tc>
          <w:tcPr>
            <w:tcW w:w="1440" w:type="dxa"/>
            <w:tcBorders>
              <w:top w:val="single" w:sz="4" w:space="0" w:color="auto"/>
              <w:bottom w:val="single" w:sz="4" w:space="0" w:color="auto"/>
            </w:tcBorders>
            <w:vAlign w:val="center"/>
          </w:tcPr>
          <w:p w14:paraId="248F362A" w14:textId="3FD5DA90" w:rsidR="00C94D82" w:rsidRDefault="00C94D82" w:rsidP="00C94D82">
            <w:pPr>
              <w:jc w:val="center"/>
              <w:rPr>
                <w:rFonts w:cs="Arial"/>
                <w:szCs w:val="20"/>
              </w:rPr>
            </w:pPr>
            <w:r>
              <w:rPr>
                <w:rFonts w:cs="Arial"/>
                <w:bCs/>
                <w:caps/>
                <w:spacing w:val="-3"/>
                <w:szCs w:val="20"/>
              </w:rPr>
              <w:t>6</w:t>
            </w:r>
          </w:p>
        </w:tc>
        <w:tc>
          <w:tcPr>
            <w:tcW w:w="990" w:type="dxa"/>
            <w:tcBorders>
              <w:top w:val="single" w:sz="4" w:space="0" w:color="auto"/>
              <w:left w:val="single" w:sz="4" w:space="0" w:color="auto"/>
              <w:bottom w:val="single" w:sz="4" w:space="0" w:color="auto"/>
              <w:right w:val="single" w:sz="4" w:space="0" w:color="auto"/>
            </w:tcBorders>
            <w:vAlign w:val="center"/>
          </w:tcPr>
          <w:p w14:paraId="251DB47D" w14:textId="0A2E8F25" w:rsidR="00C94D82" w:rsidRDefault="00C94D82" w:rsidP="00C94D82">
            <w:pPr>
              <w:jc w:val="center"/>
              <w:rPr>
                <w:rFonts w:cs="Arial"/>
                <w:szCs w:val="20"/>
              </w:rPr>
            </w:pPr>
            <w:r>
              <w:rPr>
                <w:rFonts w:cs="Arial"/>
                <w:szCs w:val="20"/>
              </w:rPr>
              <w:t>152</w:t>
            </w:r>
          </w:p>
        </w:tc>
        <w:tc>
          <w:tcPr>
            <w:tcW w:w="1800" w:type="dxa"/>
            <w:tcBorders>
              <w:top w:val="single" w:sz="4" w:space="0" w:color="auto"/>
              <w:left w:val="single" w:sz="4" w:space="0" w:color="auto"/>
              <w:bottom w:val="single" w:sz="4" w:space="0" w:color="auto"/>
              <w:right w:val="single" w:sz="4" w:space="0" w:color="auto"/>
            </w:tcBorders>
            <w:vAlign w:val="center"/>
          </w:tcPr>
          <w:p w14:paraId="7FA1E0F8" w14:textId="37364733" w:rsidR="00C94D82" w:rsidRDefault="00C94D82" w:rsidP="00C94D82">
            <w:pPr>
              <w:jc w:val="right"/>
              <w:rPr>
                <w:rFonts w:cs="Arial"/>
                <w:szCs w:val="20"/>
              </w:rPr>
            </w:pPr>
            <w:r>
              <w:rPr>
                <w:rFonts w:cs="Arial"/>
                <w:szCs w:val="20"/>
              </w:rPr>
              <w:t>$1,075,364.90</w:t>
            </w:r>
          </w:p>
        </w:tc>
        <w:tc>
          <w:tcPr>
            <w:tcW w:w="1620" w:type="dxa"/>
            <w:tcBorders>
              <w:top w:val="single" w:sz="4" w:space="0" w:color="auto"/>
              <w:left w:val="single" w:sz="4" w:space="0" w:color="auto"/>
              <w:bottom w:val="single" w:sz="4" w:space="0" w:color="auto"/>
              <w:right w:val="single" w:sz="4" w:space="0" w:color="auto"/>
            </w:tcBorders>
            <w:vAlign w:val="center"/>
          </w:tcPr>
          <w:p w14:paraId="004087D4" w14:textId="38563151" w:rsidR="00C94D82" w:rsidRDefault="00C94D82" w:rsidP="00C94D82">
            <w:pPr>
              <w:jc w:val="right"/>
              <w:rPr>
                <w:rFonts w:cs="Arial"/>
                <w:szCs w:val="20"/>
              </w:rPr>
            </w:pPr>
            <w:r>
              <w:rPr>
                <w:rFonts w:cs="Arial"/>
                <w:szCs w:val="20"/>
              </w:rPr>
              <w:t>$7,074.77</w:t>
            </w:r>
          </w:p>
        </w:tc>
      </w:tr>
      <w:tr w:rsidR="00C94D82" w:rsidRPr="00902CF9" w14:paraId="2FA4ACCD"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78ADA0D7" w14:textId="5B85F044" w:rsidR="00C94D82" w:rsidRPr="001B6735" w:rsidRDefault="00C94D82" w:rsidP="00C94D82">
            <w:pPr>
              <w:rPr>
                <w:rFonts w:cs="Arial"/>
                <w:caps/>
                <w:spacing w:val="-3"/>
                <w:szCs w:val="20"/>
              </w:rPr>
            </w:pPr>
            <w:r w:rsidRPr="001B6735">
              <w:rPr>
                <w:rFonts w:cs="Arial"/>
                <w:caps/>
                <w:spacing w:val="-3"/>
                <w:szCs w:val="20"/>
              </w:rPr>
              <w:t>Exondys 51 500 mg/10 ml vial</w:t>
            </w:r>
          </w:p>
        </w:tc>
        <w:tc>
          <w:tcPr>
            <w:tcW w:w="1440" w:type="dxa"/>
            <w:tcBorders>
              <w:top w:val="single" w:sz="4" w:space="0" w:color="auto"/>
              <w:bottom w:val="single" w:sz="4" w:space="0" w:color="auto"/>
            </w:tcBorders>
            <w:vAlign w:val="center"/>
          </w:tcPr>
          <w:p w14:paraId="38005FCD" w14:textId="3C5F3898" w:rsidR="00C94D82" w:rsidRDefault="00C94D82" w:rsidP="00C94D82">
            <w:pPr>
              <w:jc w:val="center"/>
              <w:rPr>
                <w:rFonts w:cs="Arial"/>
                <w:bCs/>
                <w:caps/>
                <w:spacing w:val="-3"/>
                <w:szCs w:val="20"/>
              </w:rPr>
            </w:pPr>
            <w:r>
              <w:rPr>
                <w:rFonts w:cs="Arial"/>
                <w:bCs/>
                <w:caps/>
                <w:spacing w:val="-3"/>
                <w:szCs w:val="20"/>
              </w:rPr>
              <w:t>6</w:t>
            </w:r>
          </w:p>
        </w:tc>
        <w:tc>
          <w:tcPr>
            <w:tcW w:w="990" w:type="dxa"/>
            <w:tcBorders>
              <w:top w:val="single" w:sz="4" w:space="0" w:color="auto"/>
              <w:left w:val="single" w:sz="4" w:space="0" w:color="auto"/>
              <w:bottom w:val="single" w:sz="4" w:space="0" w:color="auto"/>
              <w:right w:val="single" w:sz="4" w:space="0" w:color="auto"/>
            </w:tcBorders>
            <w:vAlign w:val="center"/>
          </w:tcPr>
          <w:p w14:paraId="01681384" w14:textId="2C0AFB88" w:rsidR="00C94D82" w:rsidRDefault="00C94D82" w:rsidP="00C94D82">
            <w:pPr>
              <w:jc w:val="center"/>
              <w:rPr>
                <w:rFonts w:cs="Arial"/>
                <w:szCs w:val="20"/>
              </w:rPr>
            </w:pPr>
            <w:r>
              <w:rPr>
                <w:rFonts w:cs="Arial"/>
                <w:szCs w:val="20"/>
              </w:rPr>
              <w:t>182</w:t>
            </w:r>
          </w:p>
        </w:tc>
        <w:tc>
          <w:tcPr>
            <w:tcW w:w="1800" w:type="dxa"/>
            <w:tcBorders>
              <w:top w:val="single" w:sz="4" w:space="0" w:color="auto"/>
              <w:left w:val="single" w:sz="4" w:space="0" w:color="auto"/>
              <w:bottom w:val="single" w:sz="4" w:space="0" w:color="auto"/>
              <w:right w:val="single" w:sz="4" w:space="0" w:color="auto"/>
            </w:tcBorders>
            <w:vAlign w:val="center"/>
          </w:tcPr>
          <w:p w14:paraId="10C172D7" w14:textId="3C6061DB" w:rsidR="00C94D82" w:rsidRDefault="00C94D82" w:rsidP="00C94D82">
            <w:pPr>
              <w:jc w:val="right"/>
              <w:rPr>
                <w:rFonts w:cs="Arial"/>
                <w:szCs w:val="20"/>
              </w:rPr>
            </w:pPr>
            <w:r>
              <w:rPr>
                <w:rFonts w:cs="Arial"/>
                <w:szCs w:val="20"/>
              </w:rPr>
              <w:t>$7,419,587.61</w:t>
            </w:r>
          </w:p>
        </w:tc>
        <w:tc>
          <w:tcPr>
            <w:tcW w:w="1620" w:type="dxa"/>
            <w:tcBorders>
              <w:top w:val="single" w:sz="4" w:space="0" w:color="auto"/>
              <w:left w:val="single" w:sz="4" w:space="0" w:color="auto"/>
              <w:bottom w:val="single" w:sz="4" w:space="0" w:color="auto"/>
              <w:right w:val="single" w:sz="4" w:space="0" w:color="auto"/>
            </w:tcBorders>
            <w:vAlign w:val="center"/>
          </w:tcPr>
          <w:p w14:paraId="685F6B4F" w14:textId="5896D30B" w:rsidR="00C94D82" w:rsidRDefault="00C94D82" w:rsidP="00C94D82">
            <w:pPr>
              <w:jc w:val="right"/>
              <w:rPr>
                <w:rFonts w:cs="Arial"/>
                <w:szCs w:val="20"/>
              </w:rPr>
            </w:pPr>
            <w:r>
              <w:rPr>
                <w:rFonts w:cs="Arial"/>
                <w:szCs w:val="20"/>
              </w:rPr>
              <w:t>$40,766.96</w:t>
            </w:r>
          </w:p>
        </w:tc>
      </w:tr>
      <w:tr w:rsidR="00C94D82" w:rsidRPr="00902CF9" w14:paraId="3BF558F7"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5C8D1813" w14:textId="4E62C828" w:rsidR="00C94D82" w:rsidRPr="001B6735" w:rsidRDefault="00C94D82" w:rsidP="00C94D82">
            <w:pPr>
              <w:rPr>
                <w:rFonts w:cs="Arial"/>
                <w:caps/>
                <w:spacing w:val="-3"/>
                <w:szCs w:val="20"/>
              </w:rPr>
            </w:pPr>
            <w:r w:rsidRPr="001B6735">
              <w:rPr>
                <w:rFonts w:cs="Arial"/>
                <w:caps/>
                <w:spacing w:val="-3"/>
                <w:szCs w:val="20"/>
              </w:rPr>
              <w:t>Viltepso 250 mg/5 ml</w:t>
            </w:r>
          </w:p>
        </w:tc>
        <w:tc>
          <w:tcPr>
            <w:tcW w:w="1440" w:type="dxa"/>
            <w:tcBorders>
              <w:top w:val="single" w:sz="4" w:space="0" w:color="auto"/>
              <w:bottom w:val="single" w:sz="4" w:space="0" w:color="auto"/>
            </w:tcBorders>
            <w:vAlign w:val="center"/>
          </w:tcPr>
          <w:p w14:paraId="2BE184F8" w14:textId="3EA58ADC" w:rsidR="00C94D82" w:rsidRDefault="00C94D82" w:rsidP="00C94D82">
            <w:pPr>
              <w:jc w:val="center"/>
              <w:rPr>
                <w:rFonts w:cs="Arial"/>
                <w:bCs/>
                <w:caps/>
                <w:spacing w:val="-3"/>
                <w:szCs w:val="20"/>
              </w:rPr>
            </w:pPr>
            <w:r>
              <w:rPr>
                <w:rFonts w:cs="Arial"/>
                <w:bCs/>
                <w:caps/>
                <w:spacing w:val="-3"/>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5B6DF6F" w14:textId="6FCCFC13" w:rsidR="00C94D82" w:rsidRDefault="00C94D82" w:rsidP="00C94D82">
            <w:pPr>
              <w:jc w:val="center"/>
              <w:rPr>
                <w:rFonts w:cs="Arial"/>
                <w:szCs w:val="20"/>
              </w:rPr>
            </w:pPr>
            <w:r>
              <w:rPr>
                <w:rFonts w:cs="Arial"/>
                <w:szCs w:val="20"/>
              </w:rPr>
              <w:t>67</w:t>
            </w:r>
          </w:p>
        </w:tc>
        <w:tc>
          <w:tcPr>
            <w:tcW w:w="1800" w:type="dxa"/>
            <w:tcBorders>
              <w:top w:val="single" w:sz="4" w:space="0" w:color="auto"/>
              <w:left w:val="single" w:sz="4" w:space="0" w:color="auto"/>
              <w:bottom w:val="single" w:sz="4" w:space="0" w:color="auto"/>
              <w:right w:val="single" w:sz="4" w:space="0" w:color="auto"/>
            </w:tcBorders>
            <w:vAlign w:val="center"/>
          </w:tcPr>
          <w:p w14:paraId="53A667C9" w14:textId="25EF6329" w:rsidR="00C94D82" w:rsidRDefault="00C94D82" w:rsidP="00C94D82">
            <w:pPr>
              <w:jc w:val="right"/>
              <w:rPr>
                <w:rFonts w:cs="Arial"/>
                <w:szCs w:val="20"/>
              </w:rPr>
            </w:pPr>
            <w:r>
              <w:rPr>
                <w:rFonts w:cs="Arial"/>
                <w:szCs w:val="20"/>
              </w:rPr>
              <w:t>$2,879,201.91</w:t>
            </w:r>
          </w:p>
        </w:tc>
        <w:tc>
          <w:tcPr>
            <w:tcW w:w="1620" w:type="dxa"/>
            <w:tcBorders>
              <w:top w:val="single" w:sz="4" w:space="0" w:color="auto"/>
              <w:left w:val="single" w:sz="4" w:space="0" w:color="auto"/>
              <w:bottom w:val="single" w:sz="4" w:space="0" w:color="auto"/>
              <w:right w:val="single" w:sz="4" w:space="0" w:color="auto"/>
            </w:tcBorders>
            <w:vAlign w:val="center"/>
          </w:tcPr>
          <w:p w14:paraId="31E86848" w14:textId="6BBBD1EA" w:rsidR="00C94D82" w:rsidRDefault="00C94D82" w:rsidP="00C94D82">
            <w:pPr>
              <w:jc w:val="right"/>
              <w:rPr>
                <w:rFonts w:cs="Arial"/>
                <w:szCs w:val="20"/>
              </w:rPr>
            </w:pPr>
            <w:r>
              <w:rPr>
                <w:rFonts w:cs="Arial"/>
                <w:szCs w:val="20"/>
              </w:rPr>
              <w:t>$42,973.16</w:t>
            </w:r>
          </w:p>
        </w:tc>
      </w:tr>
      <w:tr w:rsidR="00C94D82" w:rsidRPr="00902CF9" w14:paraId="7C2DA9AC"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12C6DDA6" w14:textId="7ED32158" w:rsidR="00C94D82" w:rsidRPr="001B6735" w:rsidRDefault="00C94D82" w:rsidP="00C94D82">
            <w:pPr>
              <w:rPr>
                <w:rFonts w:cs="Arial"/>
                <w:caps/>
                <w:spacing w:val="-3"/>
                <w:szCs w:val="20"/>
              </w:rPr>
            </w:pPr>
            <w:r w:rsidRPr="001B6735">
              <w:rPr>
                <w:rFonts w:cs="Arial"/>
                <w:bCs/>
                <w:caps/>
                <w:spacing w:val="-3"/>
                <w:szCs w:val="20"/>
              </w:rPr>
              <w:t>Vyondys 53 100 mg/2 ml vial</w:t>
            </w:r>
          </w:p>
        </w:tc>
        <w:tc>
          <w:tcPr>
            <w:tcW w:w="1440" w:type="dxa"/>
            <w:tcBorders>
              <w:top w:val="single" w:sz="4" w:space="0" w:color="auto"/>
              <w:bottom w:val="single" w:sz="4" w:space="0" w:color="auto"/>
            </w:tcBorders>
            <w:vAlign w:val="center"/>
          </w:tcPr>
          <w:p w14:paraId="7231E279" w14:textId="04B32289" w:rsidR="00C94D82" w:rsidRDefault="00C94D82" w:rsidP="00C94D82">
            <w:pPr>
              <w:jc w:val="center"/>
              <w:rPr>
                <w:rFonts w:cs="Arial"/>
                <w:bCs/>
                <w:caps/>
                <w:spacing w:val="-3"/>
                <w:szCs w:val="20"/>
              </w:rPr>
            </w:pPr>
            <w:r w:rsidRPr="007D51C8">
              <w:rPr>
                <w:rFonts w:cs="Arial"/>
                <w:bCs/>
                <w:caps/>
                <w:spacing w:val="-3"/>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7ECA2C7F" w14:textId="67409518" w:rsidR="00C94D82" w:rsidRDefault="00C94D82" w:rsidP="00C94D82">
            <w:pPr>
              <w:jc w:val="center"/>
              <w:rPr>
                <w:rFonts w:cs="Arial"/>
                <w:szCs w:val="20"/>
              </w:rPr>
            </w:pPr>
            <w:r>
              <w:rPr>
                <w:rFonts w:cs="Arial"/>
                <w:szCs w:val="20"/>
              </w:rPr>
              <w:t>52</w:t>
            </w:r>
          </w:p>
        </w:tc>
        <w:tc>
          <w:tcPr>
            <w:tcW w:w="1800" w:type="dxa"/>
            <w:tcBorders>
              <w:top w:val="single" w:sz="4" w:space="0" w:color="auto"/>
              <w:left w:val="single" w:sz="4" w:space="0" w:color="auto"/>
              <w:bottom w:val="single" w:sz="4" w:space="0" w:color="auto"/>
              <w:right w:val="single" w:sz="4" w:space="0" w:color="auto"/>
            </w:tcBorders>
            <w:vAlign w:val="center"/>
          </w:tcPr>
          <w:p w14:paraId="2D19FDBF" w14:textId="33A4A3D1" w:rsidR="00C94D82" w:rsidRDefault="00C94D82" w:rsidP="00C94D82">
            <w:pPr>
              <w:jc w:val="right"/>
              <w:rPr>
                <w:rFonts w:cs="Arial"/>
                <w:szCs w:val="20"/>
              </w:rPr>
            </w:pPr>
            <w:r>
              <w:rPr>
                <w:rFonts w:cs="Arial"/>
                <w:szCs w:val="20"/>
              </w:rPr>
              <w:t>$1,241,927.19</w:t>
            </w:r>
          </w:p>
        </w:tc>
        <w:tc>
          <w:tcPr>
            <w:tcW w:w="1620" w:type="dxa"/>
            <w:tcBorders>
              <w:top w:val="single" w:sz="4" w:space="0" w:color="auto"/>
              <w:left w:val="single" w:sz="4" w:space="0" w:color="auto"/>
              <w:bottom w:val="single" w:sz="4" w:space="0" w:color="auto"/>
              <w:right w:val="single" w:sz="4" w:space="0" w:color="auto"/>
            </w:tcBorders>
            <w:vAlign w:val="center"/>
          </w:tcPr>
          <w:p w14:paraId="59285ABB" w14:textId="4E2D6A8F" w:rsidR="00C94D82" w:rsidRDefault="00C94D82" w:rsidP="00C94D82">
            <w:pPr>
              <w:jc w:val="right"/>
              <w:rPr>
                <w:rFonts w:cs="Arial"/>
                <w:szCs w:val="20"/>
              </w:rPr>
            </w:pPr>
            <w:r>
              <w:rPr>
                <w:rFonts w:cs="Arial"/>
                <w:szCs w:val="20"/>
              </w:rPr>
              <w:t>$23,883.22</w:t>
            </w:r>
          </w:p>
        </w:tc>
      </w:tr>
      <w:tr w:rsidR="00811C6E" w:rsidRPr="00902CF9" w14:paraId="29C56F70"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53A9F11" w14:textId="25F12EC1" w:rsidR="00811C6E" w:rsidRPr="001B6735" w:rsidRDefault="00811C6E" w:rsidP="00D2642A">
            <w:pPr>
              <w:jc w:val="center"/>
              <w:rPr>
                <w:rFonts w:cs="Arial"/>
                <w:bCs/>
                <w:caps/>
                <w:spacing w:val="-3"/>
                <w:szCs w:val="20"/>
              </w:rPr>
            </w:pPr>
            <w:r w:rsidRPr="00902CF9">
              <w:rPr>
                <w:rFonts w:cs="Arial"/>
                <w:b/>
                <w:bCs/>
                <w:spacing w:val="-3"/>
                <w:szCs w:val="20"/>
              </w:rPr>
              <w:t>Drug</w:t>
            </w:r>
          </w:p>
        </w:tc>
        <w:tc>
          <w:tcPr>
            <w:tcW w:w="1440" w:type="dxa"/>
            <w:tcBorders>
              <w:top w:val="single" w:sz="4" w:space="0" w:color="auto"/>
              <w:bottom w:val="single" w:sz="4" w:space="0" w:color="auto"/>
            </w:tcBorders>
            <w:shd w:val="clear" w:color="auto" w:fill="FABF8F" w:themeFill="accent6" w:themeFillTint="99"/>
            <w:vAlign w:val="center"/>
          </w:tcPr>
          <w:p w14:paraId="14F52F9D" w14:textId="309B56A4" w:rsidR="00811C6E" w:rsidRDefault="00811C6E" w:rsidP="00811C6E">
            <w:pPr>
              <w:jc w:val="center"/>
              <w:rPr>
                <w:rFonts w:cs="Arial"/>
                <w:bCs/>
                <w:caps/>
                <w:spacing w:val="-3"/>
                <w:szCs w:val="20"/>
              </w:rPr>
            </w:pPr>
            <w:r w:rsidRPr="008D2A3E">
              <w:rPr>
                <w:rFonts w:cs="Arial"/>
                <w:b/>
                <w:spacing w:val="-3"/>
                <w:szCs w:val="20"/>
              </w:rPr>
              <w:t>P</w:t>
            </w:r>
            <w:r w:rsidRPr="00F31E5A">
              <w:rPr>
                <w:rFonts w:cs="Arial"/>
                <w:b/>
                <w:bCs/>
                <w:spacing w:val="-3"/>
                <w:szCs w:val="20"/>
              </w:rPr>
              <w:t>articipants</w:t>
            </w:r>
          </w:p>
        </w:tc>
        <w:tc>
          <w:tcPr>
            <w:tcW w:w="99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D3044BF" w14:textId="525791B7" w:rsidR="00811C6E" w:rsidRPr="001B6735" w:rsidRDefault="00811C6E" w:rsidP="00811C6E">
            <w:pPr>
              <w:jc w:val="center"/>
              <w:rPr>
                <w:rFonts w:cs="Arial"/>
                <w:bCs/>
                <w:spacing w:val="-3"/>
                <w:szCs w:val="20"/>
              </w:rPr>
            </w:pPr>
            <w:r w:rsidRPr="00902CF9">
              <w:rPr>
                <w:rFonts w:cs="Arial"/>
                <w:b/>
                <w:bCs/>
                <w:spacing w:val="-3"/>
                <w:szCs w:val="20"/>
              </w:rPr>
              <w:t>Claims</w:t>
            </w:r>
          </w:p>
        </w:tc>
        <w:tc>
          <w:tcPr>
            <w:tcW w:w="18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FCA1B64" w14:textId="047E05E8" w:rsidR="00811C6E" w:rsidRPr="001B6735" w:rsidRDefault="00811C6E" w:rsidP="00811C6E">
            <w:pPr>
              <w:jc w:val="center"/>
              <w:rPr>
                <w:rFonts w:cs="Arial"/>
                <w:bCs/>
                <w:spacing w:val="-3"/>
                <w:szCs w:val="20"/>
              </w:rPr>
            </w:pPr>
            <w:r w:rsidRPr="00902CF9">
              <w:rPr>
                <w:rFonts w:cs="Arial"/>
                <w:b/>
                <w:bCs/>
                <w:spacing w:val="-3"/>
                <w:szCs w:val="20"/>
              </w:rPr>
              <w:t>Spend</w:t>
            </w:r>
          </w:p>
        </w:tc>
        <w:tc>
          <w:tcPr>
            <w:tcW w:w="16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789BA85" w14:textId="5EEBAD03" w:rsidR="00811C6E" w:rsidRPr="00C349E8" w:rsidRDefault="00811C6E" w:rsidP="00811C6E">
            <w:pPr>
              <w:jc w:val="right"/>
              <w:rPr>
                <w:rFonts w:cs="Arial"/>
                <w:bCs/>
                <w:spacing w:val="-3"/>
                <w:szCs w:val="20"/>
              </w:rPr>
            </w:pPr>
            <w:r>
              <w:rPr>
                <w:rFonts w:cs="Arial"/>
                <w:b/>
                <w:spacing w:val="-3"/>
                <w:szCs w:val="20"/>
              </w:rPr>
              <w:t>Cost</w:t>
            </w:r>
            <w:r w:rsidRPr="00902CF9">
              <w:rPr>
                <w:rFonts w:cs="Arial"/>
                <w:b/>
                <w:spacing w:val="-3"/>
                <w:szCs w:val="20"/>
              </w:rPr>
              <w:t xml:space="preserve"> per Claim</w:t>
            </w:r>
          </w:p>
        </w:tc>
      </w:tr>
      <w:tr w:rsidR="003962DF" w:rsidRPr="00902CF9" w14:paraId="455FB4F5" w14:textId="77777777" w:rsidTr="00D2642A">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2EC2FD74" w14:textId="121164EB" w:rsidR="003962DF" w:rsidRPr="003962DF" w:rsidRDefault="003962DF" w:rsidP="00D2642A">
            <w:pPr>
              <w:rPr>
                <w:rFonts w:cs="Arial"/>
                <w:bCs/>
                <w:caps/>
                <w:spacing w:val="-3"/>
                <w:szCs w:val="20"/>
              </w:rPr>
            </w:pPr>
            <w:r w:rsidRPr="001B6735">
              <w:rPr>
                <w:rFonts w:cs="Arial"/>
                <w:bCs/>
                <w:caps/>
                <w:spacing w:val="-3"/>
                <w:szCs w:val="20"/>
              </w:rPr>
              <w:t>Elevidys WEIGHT-BASED Kit</w:t>
            </w:r>
          </w:p>
        </w:tc>
        <w:tc>
          <w:tcPr>
            <w:tcW w:w="1440" w:type="dxa"/>
            <w:tcBorders>
              <w:top w:val="single" w:sz="4" w:space="0" w:color="auto"/>
              <w:bottom w:val="single" w:sz="4" w:space="0" w:color="auto"/>
            </w:tcBorders>
            <w:vAlign w:val="center"/>
          </w:tcPr>
          <w:p w14:paraId="09821A7E" w14:textId="2FB92A78" w:rsidR="003962DF" w:rsidRPr="007D51C8" w:rsidRDefault="00C349E8" w:rsidP="003962DF">
            <w:pPr>
              <w:jc w:val="center"/>
              <w:rPr>
                <w:rFonts w:cs="Arial"/>
                <w:bCs/>
                <w:caps/>
                <w:spacing w:val="-3"/>
                <w:szCs w:val="20"/>
              </w:rPr>
            </w:pPr>
            <w:r>
              <w:rPr>
                <w:rFonts w:cs="Arial"/>
                <w:bCs/>
                <w:caps/>
                <w:spacing w:val="-3"/>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5F3F14F6" w14:textId="1B193D21" w:rsidR="003962DF" w:rsidRDefault="003962DF" w:rsidP="00A6793A">
            <w:pPr>
              <w:jc w:val="center"/>
              <w:rPr>
                <w:rFonts w:cs="Arial"/>
                <w:szCs w:val="20"/>
              </w:rPr>
            </w:pPr>
            <w:r w:rsidRPr="001B6735">
              <w:rPr>
                <w:rFonts w:cs="Arial"/>
                <w:bCs/>
                <w:spacing w:val="-3"/>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1213FC42" w14:textId="324ACCAB" w:rsidR="003962DF" w:rsidRDefault="003962DF" w:rsidP="00A6793A">
            <w:pPr>
              <w:jc w:val="center"/>
              <w:rPr>
                <w:rFonts w:cs="Arial"/>
                <w:szCs w:val="20"/>
              </w:rPr>
            </w:pPr>
            <w:r w:rsidRPr="001B6735">
              <w:rPr>
                <w:rFonts w:cs="Arial"/>
                <w:bCs/>
                <w:spacing w:val="-3"/>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23C1301E" w14:textId="7266007A" w:rsidR="003962DF" w:rsidRDefault="00E27FB3" w:rsidP="00D2642A">
            <w:pPr>
              <w:jc w:val="right"/>
              <w:rPr>
                <w:rFonts w:cs="Arial"/>
                <w:szCs w:val="20"/>
              </w:rPr>
            </w:pPr>
            <w:r w:rsidRPr="00C349E8">
              <w:rPr>
                <w:rFonts w:cs="Arial"/>
                <w:bCs/>
                <w:spacing w:val="-3"/>
                <w:szCs w:val="20"/>
              </w:rPr>
              <w:t xml:space="preserve">$3,200,000 </w:t>
            </w:r>
            <w:r w:rsidRPr="00D2642A">
              <w:rPr>
                <w:rFonts w:cs="Arial"/>
                <w:bCs/>
                <w:spacing w:val="-3"/>
                <w:sz w:val="16"/>
                <w:szCs w:val="16"/>
              </w:rPr>
              <w:t>WAC</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58AD3FCC" w:rsidR="0097028A" w:rsidRPr="0079438F" w:rsidRDefault="0097028A" w:rsidP="00696E3A">
      <w:pPr>
        <w:rPr>
          <w:b/>
        </w:rPr>
      </w:pPr>
      <w:r w:rsidRPr="00696E3A">
        <w:rPr>
          <w:b/>
          <w:bCs/>
        </w:rPr>
        <w:t>Drug class for review:</w:t>
      </w:r>
      <w:r w:rsidR="00001038" w:rsidRPr="00001038">
        <w:rPr>
          <w:rFonts w:cs="Arial"/>
        </w:rPr>
        <w:t xml:space="preserve"> </w:t>
      </w:r>
      <w:r w:rsidR="00001038">
        <w:rPr>
          <w:rFonts w:cs="Arial"/>
        </w:rPr>
        <w:t xml:space="preserve">Agents for the treatment of </w:t>
      </w:r>
      <w:r w:rsidR="00001038" w:rsidRPr="00077A34">
        <w:rPr>
          <w:rFonts w:cs="Arial"/>
        </w:rPr>
        <w:t>Duchenne Muscular Dystrophy (DMD)</w:t>
      </w:r>
      <w:r w:rsidRPr="00C02553">
        <w:t xml:space="preserve"> </w:t>
      </w:r>
    </w:p>
    <w:p w14:paraId="26CFE8A0" w14:textId="1AB032DF"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8B12E7" w:rsidRPr="008B12E7">
        <w:rPr>
          <w:rFonts w:cs="Arial"/>
        </w:rPr>
        <w:t xml:space="preserve"> </w:t>
      </w:r>
      <w:r w:rsidR="008B12E7">
        <w:rPr>
          <w:rFonts w:cs="Arial"/>
        </w:rPr>
        <w:t>aged 2 years and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D17442" w:rsidRDefault="00635DDB" w:rsidP="00635DDB">
      <w:pPr>
        <w:rPr>
          <w:b/>
          <w:bCs/>
        </w:rPr>
      </w:pPr>
      <w:r w:rsidRPr="00D17442">
        <w:rPr>
          <w:b/>
          <w:bCs/>
        </w:rPr>
        <w:t>Initial Therapy:</w:t>
      </w:r>
    </w:p>
    <w:p w14:paraId="2F394787" w14:textId="77777777" w:rsidR="007E368B" w:rsidRDefault="007E368B" w:rsidP="007E368B">
      <w:pPr>
        <w:pStyle w:val="ListParagraph"/>
        <w:numPr>
          <w:ilvl w:val="0"/>
          <w:numId w:val="17"/>
        </w:numPr>
        <w:rPr>
          <w:rFonts w:cs="Arial"/>
          <w:bCs/>
          <w:szCs w:val="20"/>
        </w:rPr>
      </w:pPr>
      <w:r>
        <w:rPr>
          <w:rFonts w:cs="Arial"/>
          <w:bCs/>
          <w:szCs w:val="20"/>
        </w:rPr>
        <w:t>Must meet all of the following:</w:t>
      </w:r>
    </w:p>
    <w:p w14:paraId="4379DDC9" w14:textId="77777777" w:rsidR="007E368B" w:rsidRDefault="007E368B" w:rsidP="007E368B">
      <w:pPr>
        <w:pStyle w:val="ListParagraph"/>
        <w:numPr>
          <w:ilvl w:val="1"/>
          <w:numId w:val="17"/>
        </w:numPr>
        <w:rPr>
          <w:rFonts w:cs="Arial"/>
          <w:bCs/>
          <w:szCs w:val="20"/>
        </w:rPr>
      </w:pPr>
      <w:r w:rsidRPr="00A27020">
        <w:rPr>
          <w:rFonts w:cs="Arial"/>
          <w:bCs/>
          <w:szCs w:val="20"/>
        </w:rPr>
        <w:t>Prescribed by or in consultation w</w:t>
      </w:r>
      <w:r>
        <w:rPr>
          <w:rFonts w:cs="Arial"/>
          <w:bCs/>
          <w:szCs w:val="20"/>
        </w:rPr>
        <w:t>ith a neurologist, physiatrist, or other appropriate specialist;</w:t>
      </w:r>
    </w:p>
    <w:p w14:paraId="353E3665" w14:textId="77777777" w:rsidR="007E368B" w:rsidRPr="00BE03CC" w:rsidRDefault="007E368B" w:rsidP="007E368B">
      <w:pPr>
        <w:pStyle w:val="ListParagraph"/>
        <w:numPr>
          <w:ilvl w:val="1"/>
          <w:numId w:val="18"/>
        </w:numPr>
        <w:rPr>
          <w:rFonts w:cs="Arial"/>
          <w:bCs/>
          <w:szCs w:val="20"/>
        </w:rPr>
      </w:pPr>
      <w:r w:rsidRPr="00BE03CC">
        <w:rPr>
          <w:rFonts w:cs="Arial"/>
          <w:bCs/>
          <w:szCs w:val="20"/>
        </w:rPr>
        <w:t xml:space="preserve">Documentation of baseline clinical criteria, including all of the following: </w:t>
      </w:r>
    </w:p>
    <w:p w14:paraId="2EB99A62" w14:textId="77777777" w:rsidR="007E368B" w:rsidRPr="00BE03CC" w:rsidRDefault="007E368B" w:rsidP="007E368B">
      <w:pPr>
        <w:pStyle w:val="ListParagraph"/>
        <w:numPr>
          <w:ilvl w:val="2"/>
          <w:numId w:val="19"/>
        </w:numPr>
        <w:rPr>
          <w:rFonts w:cs="Arial"/>
          <w:bCs/>
        </w:rPr>
      </w:pPr>
      <w:r w:rsidRPr="00BE03CC">
        <w:rPr>
          <w:rFonts w:cs="Arial"/>
          <w:bCs/>
        </w:rPr>
        <w:t>Body mass index (BMI);</w:t>
      </w:r>
    </w:p>
    <w:p w14:paraId="21646557" w14:textId="77777777" w:rsidR="007E368B" w:rsidRPr="00BE03CC" w:rsidRDefault="007E368B" w:rsidP="007E368B">
      <w:pPr>
        <w:pStyle w:val="ListParagraph"/>
        <w:numPr>
          <w:ilvl w:val="2"/>
          <w:numId w:val="19"/>
        </w:numPr>
        <w:rPr>
          <w:rFonts w:cs="Arial"/>
          <w:bCs/>
        </w:rPr>
      </w:pPr>
      <w:r w:rsidRPr="00BE03CC">
        <w:rPr>
          <w:rFonts w:cs="Arial"/>
          <w:bCs/>
        </w:rPr>
        <w:t>Weight;</w:t>
      </w:r>
    </w:p>
    <w:p w14:paraId="239075E0" w14:textId="77777777" w:rsidR="007E368B" w:rsidRPr="00BE03CC" w:rsidRDefault="007E368B" w:rsidP="007E368B">
      <w:pPr>
        <w:pStyle w:val="ListParagraph"/>
        <w:numPr>
          <w:ilvl w:val="2"/>
          <w:numId w:val="19"/>
        </w:numPr>
        <w:rPr>
          <w:rFonts w:cs="Arial"/>
          <w:bCs/>
        </w:rPr>
      </w:pPr>
      <w:r w:rsidRPr="00BE03CC">
        <w:rPr>
          <w:rFonts w:cs="Arial"/>
          <w:bCs/>
        </w:rPr>
        <w:t>Ambulatory status;</w:t>
      </w:r>
    </w:p>
    <w:p w14:paraId="7806DFD9" w14:textId="77777777" w:rsidR="007E368B" w:rsidRPr="00BE03CC" w:rsidRDefault="007E368B" w:rsidP="007E368B">
      <w:pPr>
        <w:pStyle w:val="ListParagraph"/>
        <w:numPr>
          <w:ilvl w:val="2"/>
          <w:numId w:val="19"/>
        </w:numPr>
        <w:rPr>
          <w:rFonts w:cs="Arial"/>
          <w:bCs/>
        </w:rPr>
      </w:pPr>
      <w:r w:rsidRPr="00BE03CC">
        <w:rPr>
          <w:rFonts w:cs="Arial"/>
          <w:bCs/>
        </w:rPr>
        <w:t xml:space="preserve">Force vital capacity (FVC); </w:t>
      </w:r>
    </w:p>
    <w:p w14:paraId="3AC680FE" w14:textId="77777777" w:rsidR="007E368B" w:rsidRPr="00BE03CC" w:rsidRDefault="007E368B" w:rsidP="007E368B">
      <w:pPr>
        <w:pStyle w:val="ListParagraph"/>
        <w:numPr>
          <w:ilvl w:val="2"/>
          <w:numId w:val="19"/>
        </w:numPr>
        <w:rPr>
          <w:rFonts w:cs="Arial"/>
          <w:bCs/>
        </w:rPr>
      </w:pPr>
      <w:r w:rsidRPr="00BE03CC">
        <w:rPr>
          <w:rFonts w:cs="Arial"/>
          <w:bCs/>
        </w:rPr>
        <w:t xml:space="preserve">Glomerular filtration rate (GFR); </w:t>
      </w:r>
      <w:r w:rsidRPr="00BE03CC">
        <w:rPr>
          <w:rFonts w:cs="Arial"/>
          <w:b/>
        </w:rPr>
        <w:t>AND</w:t>
      </w:r>
    </w:p>
    <w:p w14:paraId="6C4F5F2C" w14:textId="77777777" w:rsidR="007E368B" w:rsidRPr="0013754A" w:rsidRDefault="007E368B" w:rsidP="007E368B">
      <w:pPr>
        <w:pStyle w:val="ListParagraph"/>
        <w:numPr>
          <w:ilvl w:val="1"/>
          <w:numId w:val="17"/>
        </w:numPr>
        <w:rPr>
          <w:rFonts w:cs="Arial"/>
          <w:bCs/>
          <w:szCs w:val="20"/>
        </w:rPr>
      </w:pPr>
      <w:r>
        <w:rPr>
          <w:rFonts w:cs="Arial"/>
          <w:bCs/>
          <w:szCs w:val="20"/>
        </w:rPr>
        <w:t xml:space="preserve">Documented diagnosis of </w:t>
      </w:r>
      <w:r w:rsidRPr="00077A34">
        <w:rPr>
          <w:rFonts w:cs="Arial"/>
        </w:rPr>
        <w:t>Duchenne Muscular Dystrophy (DMD)</w:t>
      </w:r>
      <w:r>
        <w:rPr>
          <w:rFonts w:cs="Arial"/>
        </w:rPr>
        <w:t xml:space="preserve"> confirmed by one of the following:</w:t>
      </w:r>
    </w:p>
    <w:p w14:paraId="3C02FF17" w14:textId="77777777" w:rsidR="007E368B" w:rsidRPr="0013754A" w:rsidRDefault="007E368B" w:rsidP="007E368B">
      <w:pPr>
        <w:pStyle w:val="ListParagraph"/>
        <w:numPr>
          <w:ilvl w:val="2"/>
          <w:numId w:val="17"/>
        </w:numPr>
        <w:rPr>
          <w:rFonts w:cs="Arial"/>
          <w:bCs/>
          <w:szCs w:val="20"/>
        </w:rPr>
      </w:pPr>
      <w:r>
        <w:rPr>
          <w:rFonts w:cs="Arial"/>
        </w:rPr>
        <w:t>genetic testing for dystrophin gene deletion or duplication;</w:t>
      </w:r>
    </w:p>
    <w:p w14:paraId="5A00E29B" w14:textId="77777777" w:rsidR="007E368B" w:rsidRPr="0013754A" w:rsidRDefault="007E368B" w:rsidP="007E368B">
      <w:pPr>
        <w:pStyle w:val="ListParagraph"/>
        <w:numPr>
          <w:ilvl w:val="2"/>
          <w:numId w:val="17"/>
        </w:numPr>
        <w:rPr>
          <w:rFonts w:cs="Arial"/>
          <w:bCs/>
          <w:szCs w:val="20"/>
        </w:rPr>
      </w:pPr>
      <w:r w:rsidRPr="00CD1E00">
        <w:rPr>
          <w:rFonts w:cs="Arial"/>
        </w:rPr>
        <w:t xml:space="preserve">genetic sequencing positive for pathogenic variants in </w:t>
      </w:r>
      <w:r w:rsidRPr="00CD1E00">
        <w:rPr>
          <w:rFonts w:cs="Arial"/>
          <w:i/>
          <w:iCs/>
        </w:rPr>
        <w:t>DMD</w:t>
      </w:r>
      <w:r w:rsidRPr="00CD1E00">
        <w:rPr>
          <w:rFonts w:cs="Arial"/>
        </w:rPr>
        <w:t xml:space="preserve"> gene;</w:t>
      </w:r>
      <w:r w:rsidRPr="00CD1E00">
        <w:rPr>
          <w:rFonts w:cs="Arial"/>
          <w:b/>
          <w:bCs/>
        </w:rPr>
        <w:t xml:space="preserve"> </w:t>
      </w:r>
      <w:r w:rsidRPr="00F70B4F">
        <w:rPr>
          <w:rFonts w:cs="Arial"/>
          <w:b/>
          <w:bCs/>
        </w:rPr>
        <w:t>OR</w:t>
      </w:r>
    </w:p>
    <w:p w14:paraId="6F02388F" w14:textId="77777777" w:rsidR="007E368B" w:rsidRPr="00140DDA" w:rsidRDefault="007E368B" w:rsidP="007E368B">
      <w:pPr>
        <w:pStyle w:val="ListParagraph"/>
        <w:numPr>
          <w:ilvl w:val="2"/>
          <w:numId w:val="17"/>
        </w:numPr>
        <w:rPr>
          <w:rFonts w:cs="Arial"/>
          <w:bCs/>
          <w:szCs w:val="20"/>
        </w:rPr>
      </w:pPr>
      <w:r>
        <w:rPr>
          <w:rFonts w:cs="Arial"/>
        </w:rPr>
        <w:t xml:space="preserve">positive muscle biopsy showing absence of dystrophin protein; </w:t>
      </w:r>
      <w:r w:rsidRPr="00140DDA">
        <w:rPr>
          <w:rFonts w:cs="Arial"/>
          <w:b/>
          <w:bCs/>
        </w:rPr>
        <w:t>AND</w:t>
      </w:r>
    </w:p>
    <w:p w14:paraId="4340C780" w14:textId="77777777" w:rsidR="007E368B" w:rsidRPr="00BE03CC" w:rsidRDefault="007E368B" w:rsidP="007E368B">
      <w:pPr>
        <w:pStyle w:val="NoSpacing"/>
        <w:numPr>
          <w:ilvl w:val="1"/>
          <w:numId w:val="17"/>
        </w:numPr>
        <w:rPr>
          <w:sz w:val="20"/>
          <w:szCs w:val="20"/>
        </w:rPr>
      </w:pPr>
      <w:r w:rsidRPr="00BE03CC">
        <w:rPr>
          <w:sz w:val="20"/>
          <w:szCs w:val="20"/>
        </w:rPr>
        <w:t>Additional approval criteria for ambulatory participants – must include baseline documentation of one of the following:</w:t>
      </w:r>
    </w:p>
    <w:p w14:paraId="27325597" w14:textId="77777777" w:rsidR="007E368B" w:rsidRPr="00BE03CC" w:rsidRDefault="007E368B" w:rsidP="007E368B">
      <w:pPr>
        <w:pStyle w:val="NoSpacing"/>
        <w:numPr>
          <w:ilvl w:val="2"/>
          <w:numId w:val="17"/>
        </w:numPr>
        <w:rPr>
          <w:sz w:val="20"/>
          <w:szCs w:val="20"/>
        </w:rPr>
      </w:pPr>
      <w:r w:rsidRPr="00BE03CC">
        <w:rPr>
          <w:sz w:val="20"/>
          <w:szCs w:val="20"/>
        </w:rPr>
        <w:t xml:space="preserve">6-minute walk test (6MWT); </w:t>
      </w:r>
    </w:p>
    <w:p w14:paraId="510A3E66" w14:textId="77777777" w:rsidR="007E368B" w:rsidRPr="00BE03CC" w:rsidRDefault="007E368B" w:rsidP="007E368B">
      <w:pPr>
        <w:pStyle w:val="NoSpacing"/>
        <w:numPr>
          <w:ilvl w:val="2"/>
          <w:numId w:val="17"/>
        </w:numPr>
        <w:rPr>
          <w:sz w:val="20"/>
          <w:szCs w:val="20"/>
        </w:rPr>
      </w:pPr>
      <w:r w:rsidRPr="00BE03CC">
        <w:rPr>
          <w:sz w:val="20"/>
          <w:szCs w:val="20"/>
        </w:rPr>
        <w:t>North Star Ambulatory Assessment (NSAA); OR</w:t>
      </w:r>
    </w:p>
    <w:p w14:paraId="11089FE8" w14:textId="77777777" w:rsidR="007E368B" w:rsidRPr="00BE03CC" w:rsidRDefault="007E368B" w:rsidP="007E368B">
      <w:pPr>
        <w:pStyle w:val="NoSpacing"/>
        <w:numPr>
          <w:ilvl w:val="2"/>
          <w:numId w:val="17"/>
        </w:numPr>
        <w:rPr>
          <w:sz w:val="20"/>
          <w:szCs w:val="20"/>
        </w:rPr>
      </w:pPr>
      <w:r w:rsidRPr="00BE03CC">
        <w:rPr>
          <w:sz w:val="20"/>
          <w:szCs w:val="20"/>
        </w:rPr>
        <w:lastRenderedPageBreak/>
        <w:t>Comparable scale or assessment for ambulation.</w:t>
      </w:r>
    </w:p>
    <w:p w14:paraId="12EB3A63" w14:textId="77777777" w:rsidR="007E368B" w:rsidRPr="00BE03CC" w:rsidRDefault="007E368B" w:rsidP="007E368B">
      <w:pPr>
        <w:pStyle w:val="NoSpacing"/>
        <w:numPr>
          <w:ilvl w:val="1"/>
          <w:numId w:val="17"/>
        </w:numPr>
        <w:rPr>
          <w:sz w:val="20"/>
          <w:szCs w:val="20"/>
        </w:rPr>
      </w:pPr>
      <w:r w:rsidRPr="00BE03CC">
        <w:rPr>
          <w:sz w:val="20"/>
          <w:szCs w:val="20"/>
        </w:rPr>
        <w:t>Additional approval criteria for non</w:t>
      </w:r>
      <w:r>
        <w:rPr>
          <w:sz w:val="20"/>
          <w:szCs w:val="20"/>
        </w:rPr>
        <w:t>-</w:t>
      </w:r>
      <w:r w:rsidRPr="00BE03CC">
        <w:rPr>
          <w:sz w:val="20"/>
          <w:szCs w:val="20"/>
        </w:rPr>
        <w:t>ambulatory participants – must include baseline documentation of one of the following:</w:t>
      </w:r>
    </w:p>
    <w:p w14:paraId="652B96CB" w14:textId="77777777" w:rsidR="007E368B" w:rsidRPr="00BE03CC" w:rsidRDefault="007E368B" w:rsidP="007E368B">
      <w:pPr>
        <w:pStyle w:val="NoSpacing"/>
        <w:numPr>
          <w:ilvl w:val="2"/>
          <w:numId w:val="17"/>
        </w:numPr>
        <w:rPr>
          <w:sz w:val="20"/>
          <w:szCs w:val="20"/>
        </w:rPr>
      </w:pPr>
      <w:r w:rsidRPr="00BE03CC">
        <w:rPr>
          <w:sz w:val="20"/>
          <w:szCs w:val="20"/>
        </w:rPr>
        <w:t>Brooke upper extremity function scale;</w:t>
      </w:r>
    </w:p>
    <w:p w14:paraId="5444D7BD" w14:textId="77777777" w:rsidR="007E368B" w:rsidRPr="00BE03CC" w:rsidRDefault="007E368B" w:rsidP="007E368B">
      <w:pPr>
        <w:pStyle w:val="NoSpacing"/>
        <w:numPr>
          <w:ilvl w:val="2"/>
          <w:numId w:val="17"/>
        </w:numPr>
        <w:rPr>
          <w:sz w:val="20"/>
          <w:szCs w:val="20"/>
        </w:rPr>
      </w:pPr>
      <w:r w:rsidRPr="00BE03CC">
        <w:rPr>
          <w:sz w:val="20"/>
          <w:szCs w:val="20"/>
        </w:rPr>
        <w:t xml:space="preserve">Performance of upper limb (PUL) scale; </w:t>
      </w:r>
      <w:r w:rsidRPr="00BE03CC">
        <w:rPr>
          <w:b/>
          <w:bCs/>
          <w:sz w:val="20"/>
          <w:szCs w:val="20"/>
        </w:rPr>
        <w:t>OR</w:t>
      </w:r>
    </w:p>
    <w:p w14:paraId="7015605F" w14:textId="77777777" w:rsidR="007E368B" w:rsidRPr="00BE03CC" w:rsidRDefault="007E368B" w:rsidP="007E368B">
      <w:pPr>
        <w:pStyle w:val="NoSpacing"/>
        <w:numPr>
          <w:ilvl w:val="2"/>
          <w:numId w:val="17"/>
        </w:numPr>
        <w:rPr>
          <w:sz w:val="20"/>
          <w:szCs w:val="20"/>
        </w:rPr>
      </w:pPr>
      <w:r w:rsidRPr="00BE03CC">
        <w:rPr>
          <w:sz w:val="20"/>
          <w:szCs w:val="20"/>
        </w:rPr>
        <w:t>Comparable scale or assessment.</w:t>
      </w:r>
    </w:p>
    <w:p w14:paraId="7F1F203B" w14:textId="77777777" w:rsidR="007E368B" w:rsidRPr="00E909B7" w:rsidRDefault="007E368B" w:rsidP="007E368B">
      <w:pPr>
        <w:pStyle w:val="NoSpacing"/>
        <w:numPr>
          <w:ilvl w:val="0"/>
          <w:numId w:val="17"/>
        </w:numPr>
        <w:rPr>
          <w:bCs/>
          <w:sz w:val="20"/>
          <w:szCs w:val="20"/>
        </w:rPr>
      </w:pPr>
      <w:r w:rsidRPr="00E909B7">
        <w:rPr>
          <w:sz w:val="20"/>
        </w:rPr>
        <w:t>Additional approval criteria for Emflaza and Agamree:</w:t>
      </w:r>
    </w:p>
    <w:p w14:paraId="68248439" w14:textId="77777777" w:rsidR="007E368B" w:rsidRPr="00945662" w:rsidRDefault="007E368B" w:rsidP="007E368B">
      <w:pPr>
        <w:pStyle w:val="ListParagraph"/>
        <w:numPr>
          <w:ilvl w:val="1"/>
          <w:numId w:val="17"/>
        </w:numPr>
        <w:rPr>
          <w:rFonts w:cs="Arial"/>
          <w:bCs/>
          <w:szCs w:val="20"/>
        </w:rPr>
      </w:pPr>
      <w:r>
        <w:rPr>
          <w:rFonts w:cs="Arial"/>
        </w:rPr>
        <w:t xml:space="preserve">Age 2 years or older; </w:t>
      </w:r>
      <w:r w:rsidRPr="00945662">
        <w:rPr>
          <w:rFonts w:cs="Arial"/>
          <w:b/>
          <w:bCs/>
        </w:rPr>
        <w:t>AND</w:t>
      </w:r>
    </w:p>
    <w:p w14:paraId="5BF1643C" w14:textId="77777777" w:rsidR="007E368B" w:rsidRPr="00945662" w:rsidRDefault="007E368B" w:rsidP="007E368B">
      <w:pPr>
        <w:pStyle w:val="ListParagraph"/>
        <w:numPr>
          <w:ilvl w:val="1"/>
          <w:numId w:val="17"/>
        </w:numPr>
        <w:rPr>
          <w:rFonts w:cs="Arial"/>
          <w:bCs/>
          <w:szCs w:val="20"/>
        </w:rPr>
      </w:pPr>
      <w:r w:rsidRPr="00945662">
        <w:rPr>
          <w:rFonts w:cs="Arial"/>
          <w:bCs/>
          <w:szCs w:val="20"/>
        </w:rPr>
        <w:t>Documentation of adequate trial and therapy failure, intolerance, or significant weight gain while on prednisone at a therapeutic dose (at least 0.75 mg/kg/day or 10 mg/kg/weekend)</w:t>
      </w:r>
    </w:p>
    <w:p w14:paraId="569F305B" w14:textId="77777777" w:rsidR="007E368B" w:rsidRDefault="007E368B" w:rsidP="007E368B">
      <w:pPr>
        <w:pStyle w:val="ListParagraph"/>
        <w:numPr>
          <w:ilvl w:val="2"/>
          <w:numId w:val="17"/>
        </w:numPr>
        <w:rPr>
          <w:rFonts w:cs="Arial"/>
          <w:bCs/>
          <w:szCs w:val="20"/>
        </w:rPr>
      </w:pPr>
      <w:r>
        <w:rPr>
          <w:rFonts w:cs="Arial"/>
          <w:bCs/>
          <w:szCs w:val="20"/>
        </w:rPr>
        <w:t>Adequate trial defined as ≥ 6 months of prednisone therapy;</w:t>
      </w:r>
    </w:p>
    <w:p w14:paraId="340EF5BD" w14:textId="77777777" w:rsidR="007E368B" w:rsidRDefault="007E368B" w:rsidP="007E368B">
      <w:pPr>
        <w:pStyle w:val="ListParagraph"/>
        <w:numPr>
          <w:ilvl w:val="2"/>
          <w:numId w:val="17"/>
        </w:numPr>
        <w:rPr>
          <w:rFonts w:cs="Arial"/>
          <w:bCs/>
          <w:szCs w:val="20"/>
        </w:rPr>
      </w:pPr>
      <w:r>
        <w:rPr>
          <w:rFonts w:cs="Arial"/>
          <w:bCs/>
          <w:szCs w:val="20"/>
        </w:rPr>
        <w:t xml:space="preserve">Intolerance defined as Cushingoid appearance, central (truncal) obesity, diabetes and/or hypertension that is difficult to manage, or behavioral adverse effect; </w:t>
      </w:r>
      <w:r w:rsidRPr="00991112">
        <w:rPr>
          <w:rFonts w:cs="Arial"/>
          <w:b/>
          <w:bCs/>
          <w:szCs w:val="20"/>
        </w:rPr>
        <w:t>OR</w:t>
      </w:r>
    </w:p>
    <w:p w14:paraId="3CF635F7" w14:textId="77777777" w:rsidR="007E368B" w:rsidRDefault="007E368B" w:rsidP="007E368B">
      <w:pPr>
        <w:pStyle w:val="ListParagraph"/>
        <w:numPr>
          <w:ilvl w:val="2"/>
          <w:numId w:val="17"/>
        </w:numPr>
        <w:rPr>
          <w:rFonts w:cs="Arial"/>
          <w:bCs/>
          <w:szCs w:val="20"/>
        </w:rPr>
      </w:pPr>
      <w:r>
        <w:rPr>
          <w:rFonts w:cs="Arial"/>
          <w:bCs/>
          <w:szCs w:val="20"/>
        </w:rPr>
        <w:t>Significant weight gain defined as 1 standard deviation above baseline percentile rank weight for height or ≥ 10% body weight gain over a 6 month period.</w:t>
      </w:r>
    </w:p>
    <w:p w14:paraId="4C812A8F" w14:textId="77777777" w:rsidR="007E368B" w:rsidRPr="00A3541F" w:rsidRDefault="007E368B" w:rsidP="007E368B">
      <w:pPr>
        <w:pStyle w:val="ListParagraph"/>
        <w:numPr>
          <w:ilvl w:val="1"/>
          <w:numId w:val="17"/>
        </w:numPr>
        <w:rPr>
          <w:rFonts w:cs="Arial"/>
          <w:bCs/>
          <w:szCs w:val="20"/>
        </w:rPr>
      </w:pPr>
      <w:r>
        <w:rPr>
          <w:rFonts w:cs="Arial"/>
        </w:rPr>
        <w:t>Additional approval criteria for Emflaza:</w:t>
      </w:r>
    </w:p>
    <w:p w14:paraId="124A8406" w14:textId="77777777" w:rsidR="007E368B" w:rsidRDefault="007E368B" w:rsidP="007E368B">
      <w:pPr>
        <w:pStyle w:val="ListParagraph"/>
        <w:numPr>
          <w:ilvl w:val="2"/>
          <w:numId w:val="17"/>
        </w:numPr>
        <w:rPr>
          <w:rFonts w:cs="Arial"/>
          <w:bCs/>
          <w:szCs w:val="20"/>
        </w:rPr>
      </w:pPr>
      <w:r w:rsidRPr="00582DD5">
        <w:rPr>
          <w:rFonts w:cs="Arial"/>
          <w:bCs/>
          <w:szCs w:val="20"/>
        </w:rPr>
        <w:t>Dosed at 0.9 mg/kg/day, rounding up to the nearest possible dose</w:t>
      </w:r>
      <w:r>
        <w:rPr>
          <w:rFonts w:cs="Arial"/>
          <w:bCs/>
          <w:szCs w:val="20"/>
        </w:rPr>
        <w:t>.</w:t>
      </w:r>
    </w:p>
    <w:p w14:paraId="4FB78603" w14:textId="77777777" w:rsidR="007E368B" w:rsidRPr="00BE03CC" w:rsidRDefault="007E368B" w:rsidP="007E368B">
      <w:pPr>
        <w:pStyle w:val="NoSpacing"/>
        <w:numPr>
          <w:ilvl w:val="0"/>
          <w:numId w:val="17"/>
        </w:numPr>
        <w:rPr>
          <w:sz w:val="20"/>
          <w:szCs w:val="20"/>
        </w:rPr>
      </w:pPr>
      <w:r w:rsidRPr="00BE03CC">
        <w:rPr>
          <w:sz w:val="20"/>
        </w:rPr>
        <w:t>Additional approval criteria for Duvyzat:</w:t>
      </w:r>
    </w:p>
    <w:p w14:paraId="4E9D04E5" w14:textId="77777777" w:rsidR="007E368B" w:rsidRPr="00BE03CC" w:rsidRDefault="007E368B" w:rsidP="007E368B">
      <w:pPr>
        <w:pStyle w:val="NoSpacing"/>
        <w:numPr>
          <w:ilvl w:val="1"/>
          <w:numId w:val="17"/>
        </w:numPr>
        <w:rPr>
          <w:sz w:val="20"/>
          <w:szCs w:val="20"/>
        </w:rPr>
      </w:pPr>
      <w:r w:rsidRPr="00BE03CC">
        <w:rPr>
          <w:sz w:val="20"/>
        </w:rPr>
        <w:t>Age 6 years and older;</w:t>
      </w:r>
    </w:p>
    <w:p w14:paraId="78D19CEE" w14:textId="77777777" w:rsidR="007E368B" w:rsidRPr="00BE03CC" w:rsidRDefault="007E368B" w:rsidP="007E368B">
      <w:pPr>
        <w:pStyle w:val="NoSpacing"/>
        <w:numPr>
          <w:ilvl w:val="1"/>
          <w:numId w:val="17"/>
        </w:numPr>
        <w:rPr>
          <w:sz w:val="20"/>
          <w:szCs w:val="20"/>
        </w:rPr>
      </w:pPr>
      <w:r w:rsidRPr="00BE03CC">
        <w:rPr>
          <w:sz w:val="20"/>
        </w:rPr>
        <w:t xml:space="preserve">Documentation of baseline values of platelet count, triglycerides (TG), and QT interval; </w:t>
      </w:r>
      <w:r w:rsidRPr="00BE03CC">
        <w:rPr>
          <w:b/>
          <w:bCs/>
          <w:sz w:val="20"/>
        </w:rPr>
        <w:t>AND</w:t>
      </w:r>
    </w:p>
    <w:p w14:paraId="1C7E4B34" w14:textId="77777777" w:rsidR="007E368B" w:rsidRPr="00BE03CC" w:rsidRDefault="007E368B" w:rsidP="007E368B">
      <w:pPr>
        <w:pStyle w:val="NoSpacing"/>
        <w:numPr>
          <w:ilvl w:val="1"/>
          <w:numId w:val="17"/>
        </w:numPr>
        <w:rPr>
          <w:sz w:val="20"/>
          <w:szCs w:val="20"/>
        </w:rPr>
      </w:pPr>
      <w:r w:rsidRPr="00BE03CC">
        <w:rPr>
          <w:sz w:val="20"/>
        </w:rPr>
        <w:t>Must meet one of the following:</w:t>
      </w:r>
    </w:p>
    <w:p w14:paraId="3417BD5E" w14:textId="77777777" w:rsidR="007E368B" w:rsidRPr="00BE03CC" w:rsidRDefault="007E368B" w:rsidP="007E368B">
      <w:pPr>
        <w:pStyle w:val="NoSpacing"/>
        <w:numPr>
          <w:ilvl w:val="2"/>
          <w:numId w:val="17"/>
        </w:numPr>
        <w:rPr>
          <w:sz w:val="20"/>
          <w:szCs w:val="20"/>
        </w:rPr>
      </w:pPr>
      <w:r w:rsidRPr="00BE03CC">
        <w:rPr>
          <w:sz w:val="20"/>
          <w:szCs w:val="20"/>
        </w:rPr>
        <w:t xml:space="preserve">Participant is on a stable dose of corticosteroids (CS) and will continue while on therapy; </w:t>
      </w:r>
      <w:r w:rsidRPr="00BE03CC">
        <w:rPr>
          <w:b/>
          <w:bCs/>
          <w:sz w:val="20"/>
          <w:szCs w:val="20"/>
        </w:rPr>
        <w:t>OR</w:t>
      </w:r>
    </w:p>
    <w:p w14:paraId="0DC890D3" w14:textId="77777777" w:rsidR="007E368B" w:rsidRPr="00BE03CC" w:rsidRDefault="007E368B" w:rsidP="007E368B">
      <w:pPr>
        <w:pStyle w:val="NoSpacing"/>
        <w:numPr>
          <w:ilvl w:val="2"/>
          <w:numId w:val="17"/>
        </w:numPr>
        <w:rPr>
          <w:sz w:val="20"/>
          <w:szCs w:val="20"/>
        </w:rPr>
      </w:pPr>
      <w:r w:rsidRPr="00BE03CC">
        <w:rPr>
          <w:sz w:val="20"/>
          <w:szCs w:val="20"/>
        </w:rPr>
        <w:t>Reason why CS are not medically appropriate as per provider’s professional judgement.</w:t>
      </w:r>
    </w:p>
    <w:p w14:paraId="6268A1AD" w14:textId="77777777" w:rsidR="007E368B" w:rsidRDefault="007E368B" w:rsidP="007E368B">
      <w:pPr>
        <w:pStyle w:val="ListParagraph"/>
        <w:numPr>
          <w:ilvl w:val="0"/>
          <w:numId w:val="17"/>
        </w:numPr>
        <w:rPr>
          <w:rFonts w:cs="Arial"/>
          <w:bCs/>
          <w:szCs w:val="20"/>
        </w:rPr>
      </w:pPr>
      <w:r>
        <w:rPr>
          <w:rFonts w:cs="Arial"/>
          <w:bCs/>
          <w:szCs w:val="20"/>
        </w:rPr>
        <w:t xml:space="preserve">Additional approval criteria for Exondys 51, Vyondys 53, Viltepso, or </w:t>
      </w:r>
      <w:r w:rsidRPr="00B16C45">
        <w:rPr>
          <w:rFonts w:cs="Arial"/>
          <w:bCs/>
          <w:szCs w:val="20"/>
        </w:rPr>
        <w:t>Amondys 45</w:t>
      </w:r>
      <w:r>
        <w:rPr>
          <w:rFonts w:cs="Arial"/>
          <w:bCs/>
          <w:szCs w:val="20"/>
        </w:rPr>
        <w:t>:</w:t>
      </w:r>
    </w:p>
    <w:p w14:paraId="630F5E6F" w14:textId="77777777" w:rsidR="007E368B" w:rsidRDefault="007E368B" w:rsidP="007E368B">
      <w:pPr>
        <w:pStyle w:val="ListParagraph"/>
        <w:numPr>
          <w:ilvl w:val="1"/>
          <w:numId w:val="17"/>
        </w:numPr>
        <w:rPr>
          <w:rFonts w:cs="Arial"/>
          <w:bCs/>
          <w:szCs w:val="20"/>
        </w:rPr>
      </w:pPr>
      <w:r>
        <w:rPr>
          <w:rFonts w:cs="Arial"/>
          <w:bCs/>
          <w:szCs w:val="20"/>
        </w:rPr>
        <w:t xml:space="preserve">Age ≥ 4 years and ≤ 19 years; </w:t>
      </w:r>
      <w:r w:rsidRPr="00255D18">
        <w:rPr>
          <w:rFonts w:cs="Arial"/>
          <w:b/>
          <w:szCs w:val="20"/>
        </w:rPr>
        <w:t>AND</w:t>
      </w:r>
    </w:p>
    <w:p w14:paraId="5FA6BA70" w14:textId="77777777" w:rsidR="007E368B" w:rsidRDefault="007E368B" w:rsidP="007E368B">
      <w:pPr>
        <w:pStyle w:val="ListParagraph"/>
        <w:numPr>
          <w:ilvl w:val="1"/>
          <w:numId w:val="17"/>
        </w:numPr>
        <w:rPr>
          <w:rFonts w:cs="Arial"/>
          <w:bCs/>
          <w:szCs w:val="20"/>
        </w:rPr>
      </w:pPr>
      <w:r>
        <w:rPr>
          <w:rFonts w:cs="Arial"/>
          <w:bCs/>
          <w:szCs w:val="20"/>
        </w:rPr>
        <w:t xml:space="preserve">Documentation of concurrent prednisone, </w:t>
      </w:r>
      <w:r w:rsidRPr="00F05E06">
        <w:rPr>
          <w:rFonts w:cs="Arial"/>
          <w:bCs/>
          <w:szCs w:val="20"/>
        </w:rPr>
        <w:t xml:space="preserve">deflazacort, or Agamree therapy, defined </w:t>
      </w:r>
      <w:r>
        <w:rPr>
          <w:rFonts w:cs="Arial"/>
          <w:bCs/>
          <w:szCs w:val="20"/>
        </w:rPr>
        <w:t>as 6 months in the past 9 months.</w:t>
      </w:r>
    </w:p>
    <w:p w14:paraId="1A4B4D08" w14:textId="77777777" w:rsidR="007E368B" w:rsidRDefault="007E368B" w:rsidP="007E368B">
      <w:pPr>
        <w:pStyle w:val="ListParagraph"/>
        <w:numPr>
          <w:ilvl w:val="0"/>
          <w:numId w:val="17"/>
        </w:numPr>
        <w:rPr>
          <w:rFonts w:cs="Arial"/>
          <w:bCs/>
          <w:szCs w:val="20"/>
        </w:rPr>
      </w:pPr>
      <w:r>
        <w:rPr>
          <w:rFonts w:cs="Arial"/>
          <w:bCs/>
          <w:szCs w:val="20"/>
        </w:rPr>
        <w:t xml:space="preserve">Additional approval criteria for Exondys 51 – must meet all of the following: </w:t>
      </w:r>
    </w:p>
    <w:p w14:paraId="55D6E66D" w14:textId="77777777" w:rsidR="007E368B" w:rsidRDefault="007E368B" w:rsidP="007E368B">
      <w:pPr>
        <w:pStyle w:val="ListParagraph"/>
        <w:numPr>
          <w:ilvl w:val="1"/>
          <w:numId w:val="17"/>
        </w:numPr>
        <w:rPr>
          <w:rFonts w:cs="Arial"/>
          <w:bCs/>
          <w:szCs w:val="20"/>
        </w:rPr>
      </w:pPr>
      <w:r>
        <w:rPr>
          <w:rFonts w:cs="Arial"/>
          <w:bCs/>
          <w:szCs w:val="20"/>
        </w:rPr>
        <w:t xml:space="preserve">Genetic testing to </w:t>
      </w:r>
      <w:r w:rsidRPr="00C3014F">
        <w:rPr>
          <w:rFonts w:cs="Arial"/>
          <w:bCs/>
          <w:szCs w:val="20"/>
        </w:rPr>
        <w:t xml:space="preserve">confirm pathogenic variant </w:t>
      </w:r>
      <w:r>
        <w:rPr>
          <w:rFonts w:cs="Arial"/>
          <w:bCs/>
          <w:szCs w:val="20"/>
        </w:rPr>
        <w:t xml:space="preserve">of </w:t>
      </w:r>
      <w:r w:rsidRPr="00323C3A">
        <w:rPr>
          <w:rFonts w:cs="Arial"/>
          <w:bCs/>
          <w:i/>
          <w:szCs w:val="20"/>
        </w:rPr>
        <w:t>DMD</w:t>
      </w:r>
      <w:r>
        <w:rPr>
          <w:rFonts w:cs="Arial"/>
          <w:bCs/>
          <w:szCs w:val="20"/>
        </w:rPr>
        <w:t xml:space="preserve"> gene amenable to exon 51 skipping; </w:t>
      </w:r>
      <w:r>
        <w:rPr>
          <w:rFonts w:cs="Arial"/>
          <w:b/>
          <w:bCs/>
          <w:szCs w:val="20"/>
        </w:rPr>
        <w:t>AND</w:t>
      </w:r>
    </w:p>
    <w:p w14:paraId="3052B81E" w14:textId="77777777" w:rsidR="007E368B" w:rsidRPr="00C016E4" w:rsidRDefault="007E368B" w:rsidP="007E368B">
      <w:pPr>
        <w:pStyle w:val="ListParagraph"/>
        <w:numPr>
          <w:ilvl w:val="1"/>
          <w:numId w:val="17"/>
        </w:numPr>
        <w:rPr>
          <w:rFonts w:cs="Arial"/>
          <w:bCs/>
          <w:szCs w:val="20"/>
        </w:rPr>
      </w:pPr>
      <w:r>
        <w:rPr>
          <w:rFonts w:cs="Arial"/>
          <w:bCs/>
          <w:szCs w:val="20"/>
        </w:rPr>
        <w:t>Dosed at 30 mg/kg once weekly.</w:t>
      </w:r>
    </w:p>
    <w:p w14:paraId="706E2C8A" w14:textId="77777777" w:rsidR="007E368B" w:rsidRDefault="007E368B" w:rsidP="007E368B">
      <w:pPr>
        <w:pStyle w:val="ListParagraph"/>
        <w:numPr>
          <w:ilvl w:val="0"/>
          <w:numId w:val="17"/>
        </w:numPr>
        <w:rPr>
          <w:rFonts w:cs="Arial"/>
          <w:bCs/>
          <w:szCs w:val="20"/>
        </w:rPr>
      </w:pPr>
      <w:r>
        <w:rPr>
          <w:rFonts w:cs="Arial"/>
          <w:bCs/>
          <w:szCs w:val="20"/>
        </w:rPr>
        <w:t>Additional approval criteria for Vyondys 53 – must meet all of the following:</w:t>
      </w:r>
    </w:p>
    <w:p w14:paraId="4DAF9B93" w14:textId="77777777" w:rsidR="007E368B" w:rsidRPr="00C016E4" w:rsidRDefault="007E368B" w:rsidP="007E368B">
      <w:pPr>
        <w:pStyle w:val="ListParagraph"/>
        <w:numPr>
          <w:ilvl w:val="1"/>
          <w:numId w:val="17"/>
        </w:numPr>
        <w:rPr>
          <w:rFonts w:cs="Arial"/>
          <w:bCs/>
          <w:szCs w:val="20"/>
        </w:rPr>
      </w:pPr>
      <w:r w:rsidRPr="00C016E4">
        <w:rPr>
          <w:rFonts w:cs="Arial"/>
          <w:bCs/>
          <w:szCs w:val="20"/>
        </w:rPr>
        <w:t xml:space="preserve">Genetic testing to confirm pathogenic variant of </w:t>
      </w:r>
      <w:r w:rsidRPr="00323C3A">
        <w:rPr>
          <w:rFonts w:cs="Arial"/>
          <w:bCs/>
          <w:i/>
          <w:szCs w:val="20"/>
        </w:rPr>
        <w:t>DMD</w:t>
      </w:r>
      <w:r w:rsidRPr="00C016E4">
        <w:rPr>
          <w:rFonts w:cs="Arial"/>
          <w:bCs/>
          <w:szCs w:val="20"/>
        </w:rPr>
        <w:t xml:space="preserve"> gene amenable to exon 53 skipping</w:t>
      </w:r>
      <w:r>
        <w:rPr>
          <w:rFonts w:cs="Arial"/>
          <w:bCs/>
          <w:szCs w:val="20"/>
        </w:rPr>
        <w:t>;</w:t>
      </w:r>
      <w:r w:rsidRPr="00C016E4">
        <w:rPr>
          <w:rFonts w:cs="Arial"/>
          <w:bCs/>
          <w:szCs w:val="20"/>
        </w:rPr>
        <w:t xml:space="preserve"> </w:t>
      </w:r>
    </w:p>
    <w:p w14:paraId="64F0308A" w14:textId="77777777" w:rsidR="007E368B" w:rsidRDefault="007E368B" w:rsidP="007E368B">
      <w:pPr>
        <w:pStyle w:val="ListParagraph"/>
        <w:numPr>
          <w:ilvl w:val="1"/>
          <w:numId w:val="17"/>
        </w:numPr>
        <w:rPr>
          <w:rFonts w:cs="Arial"/>
          <w:bCs/>
          <w:szCs w:val="20"/>
        </w:rPr>
      </w:pPr>
      <w:r>
        <w:rPr>
          <w:rFonts w:cs="Arial"/>
          <w:bCs/>
          <w:szCs w:val="20"/>
        </w:rPr>
        <w:t xml:space="preserve">Dosed at </w:t>
      </w:r>
      <w:r w:rsidRPr="00C3014F">
        <w:rPr>
          <w:rFonts w:cs="Arial"/>
          <w:bCs/>
          <w:szCs w:val="20"/>
        </w:rPr>
        <w:t>30</w:t>
      </w:r>
      <w:r>
        <w:rPr>
          <w:rFonts w:cs="Arial"/>
          <w:bCs/>
          <w:szCs w:val="20"/>
        </w:rPr>
        <w:t xml:space="preserve"> </w:t>
      </w:r>
      <w:r w:rsidRPr="00C3014F">
        <w:rPr>
          <w:rFonts w:cs="Arial"/>
          <w:bCs/>
          <w:szCs w:val="20"/>
        </w:rPr>
        <w:t>mg/kg once weekly</w:t>
      </w:r>
      <w:r>
        <w:rPr>
          <w:rFonts w:cs="Arial"/>
          <w:bCs/>
          <w:szCs w:val="20"/>
        </w:rPr>
        <w:t xml:space="preserve">; </w:t>
      </w:r>
      <w:r w:rsidRPr="00730399">
        <w:rPr>
          <w:rFonts w:cs="Arial"/>
          <w:b/>
          <w:szCs w:val="20"/>
        </w:rPr>
        <w:t>AND</w:t>
      </w:r>
    </w:p>
    <w:p w14:paraId="6D830BAD" w14:textId="77777777" w:rsidR="007E368B" w:rsidRPr="00442312" w:rsidRDefault="007E368B" w:rsidP="007E368B">
      <w:pPr>
        <w:pStyle w:val="ListParagraph"/>
        <w:numPr>
          <w:ilvl w:val="1"/>
          <w:numId w:val="17"/>
        </w:numPr>
        <w:rPr>
          <w:rFonts w:cs="Arial"/>
          <w:bCs/>
          <w:szCs w:val="20"/>
        </w:rPr>
      </w:pPr>
      <w:r w:rsidRPr="00442312">
        <w:rPr>
          <w:rFonts w:cs="Arial"/>
          <w:bCs/>
          <w:szCs w:val="20"/>
        </w:rPr>
        <w:t>Documentation of clinical reason why participant cannot take Viltepso.</w:t>
      </w:r>
    </w:p>
    <w:p w14:paraId="5763DB1D" w14:textId="77777777" w:rsidR="007E368B" w:rsidRDefault="007E368B" w:rsidP="007E368B">
      <w:pPr>
        <w:pStyle w:val="ListParagraph"/>
        <w:numPr>
          <w:ilvl w:val="0"/>
          <w:numId w:val="17"/>
        </w:numPr>
        <w:rPr>
          <w:rFonts w:cs="Arial"/>
          <w:bCs/>
          <w:szCs w:val="20"/>
        </w:rPr>
      </w:pPr>
      <w:r>
        <w:rPr>
          <w:rFonts w:cs="Arial"/>
          <w:bCs/>
          <w:szCs w:val="20"/>
        </w:rPr>
        <w:t>Additional approval criteria for Viltepso – must meet all of the following:</w:t>
      </w:r>
    </w:p>
    <w:p w14:paraId="2CD9DDB3" w14:textId="77777777" w:rsidR="007E368B" w:rsidRPr="00C016E4" w:rsidRDefault="007E368B" w:rsidP="007E368B">
      <w:pPr>
        <w:pStyle w:val="ListParagraph"/>
        <w:numPr>
          <w:ilvl w:val="1"/>
          <w:numId w:val="17"/>
        </w:numPr>
        <w:rPr>
          <w:rFonts w:cs="Arial"/>
          <w:bCs/>
          <w:szCs w:val="20"/>
        </w:rPr>
      </w:pPr>
      <w:r w:rsidRPr="00C016E4">
        <w:rPr>
          <w:rFonts w:cs="Arial"/>
          <w:bCs/>
          <w:szCs w:val="20"/>
        </w:rPr>
        <w:t xml:space="preserve">Genetic testing to confirm pathogenic variant of </w:t>
      </w:r>
      <w:r w:rsidRPr="00323C3A">
        <w:rPr>
          <w:rFonts w:cs="Arial"/>
          <w:bCs/>
          <w:i/>
          <w:szCs w:val="20"/>
        </w:rPr>
        <w:t>DMD</w:t>
      </w:r>
      <w:r w:rsidRPr="00C016E4">
        <w:rPr>
          <w:rFonts w:cs="Arial"/>
          <w:bCs/>
          <w:szCs w:val="20"/>
        </w:rPr>
        <w:t xml:space="preserve"> gene amenable to exon 53 skipping</w:t>
      </w:r>
      <w:r>
        <w:rPr>
          <w:rFonts w:cs="Arial"/>
          <w:bCs/>
          <w:szCs w:val="20"/>
        </w:rPr>
        <w:t xml:space="preserve">; </w:t>
      </w:r>
      <w:r w:rsidRPr="00C016E4">
        <w:rPr>
          <w:rFonts w:cs="Arial"/>
          <w:b/>
          <w:bCs/>
          <w:szCs w:val="20"/>
        </w:rPr>
        <w:t>AND</w:t>
      </w:r>
    </w:p>
    <w:p w14:paraId="3D1AE0AA" w14:textId="77777777" w:rsidR="007E368B" w:rsidRDefault="007E368B" w:rsidP="007E368B">
      <w:pPr>
        <w:pStyle w:val="ListParagraph"/>
        <w:numPr>
          <w:ilvl w:val="1"/>
          <w:numId w:val="17"/>
        </w:numPr>
        <w:rPr>
          <w:rFonts w:cs="Arial"/>
          <w:bCs/>
          <w:szCs w:val="20"/>
        </w:rPr>
      </w:pPr>
      <w:r>
        <w:rPr>
          <w:rFonts w:cs="Arial"/>
          <w:bCs/>
          <w:szCs w:val="20"/>
        </w:rPr>
        <w:t>Dosed at 8</w:t>
      </w:r>
      <w:r w:rsidRPr="00C3014F">
        <w:rPr>
          <w:rFonts w:cs="Arial"/>
          <w:bCs/>
          <w:szCs w:val="20"/>
        </w:rPr>
        <w:t>0</w:t>
      </w:r>
      <w:r>
        <w:rPr>
          <w:rFonts w:cs="Arial"/>
          <w:bCs/>
          <w:szCs w:val="20"/>
        </w:rPr>
        <w:t xml:space="preserve"> </w:t>
      </w:r>
      <w:r w:rsidRPr="00C3014F">
        <w:rPr>
          <w:rFonts w:cs="Arial"/>
          <w:bCs/>
          <w:szCs w:val="20"/>
        </w:rPr>
        <w:t>mg/kg once weekly.</w:t>
      </w:r>
    </w:p>
    <w:p w14:paraId="4B299BEB" w14:textId="77777777" w:rsidR="007E368B" w:rsidRPr="00B16C45" w:rsidRDefault="007E368B" w:rsidP="007E368B">
      <w:pPr>
        <w:pStyle w:val="ListParagraph"/>
        <w:numPr>
          <w:ilvl w:val="0"/>
          <w:numId w:val="17"/>
        </w:numPr>
        <w:rPr>
          <w:rFonts w:cs="Arial"/>
          <w:bCs/>
          <w:szCs w:val="20"/>
        </w:rPr>
      </w:pPr>
      <w:r>
        <w:rPr>
          <w:rFonts w:cs="Arial"/>
          <w:bCs/>
          <w:szCs w:val="20"/>
        </w:rPr>
        <w:t xml:space="preserve">Additional approval criteria for </w:t>
      </w:r>
      <w:r w:rsidRPr="00B16C45">
        <w:rPr>
          <w:rFonts w:cs="Arial"/>
          <w:bCs/>
          <w:szCs w:val="20"/>
        </w:rPr>
        <w:t>Amondys 45</w:t>
      </w:r>
      <w:r>
        <w:rPr>
          <w:rFonts w:cs="Arial"/>
          <w:bCs/>
          <w:szCs w:val="20"/>
        </w:rPr>
        <w:t xml:space="preserve"> – must meet all of the following</w:t>
      </w:r>
      <w:r w:rsidRPr="00B16C45">
        <w:rPr>
          <w:rFonts w:cs="Arial"/>
          <w:bCs/>
          <w:szCs w:val="20"/>
        </w:rPr>
        <w:t>:</w:t>
      </w:r>
    </w:p>
    <w:p w14:paraId="164F6F20" w14:textId="77777777" w:rsidR="007E368B" w:rsidRPr="00B16C45" w:rsidRDefault="007E368B" w:rsidP="007E368B">
      <w:pPr>
        <w:pStyle w:val="ListParagraph"/>
        <w:numPr>
          <w:ilvl w:val="1"/>
          <w:numId w:val="17"/>
        </w:numPr>
        <w:rPr>
          <w:rFonts w:cs="Arial"/>
          <w:bCs/>
          <w:szCs w:val="20"/>
        </w:rPr>
      </w:pPr>
      <w:r w:rsidRPr="00B16C45">
        <w:rPr>
          <w:rFonts w:cs="Arial"/>
          <w:bCs/>
          <w:szCs w:val="20"/>
        </w:rPr>
        <w:t xml:space="preserve">Genetic testing to confirm pathogenic variant of </w:t>
      </w:r>
      <w:r w:rsidRPr="00323C3A">
        <w:rPr>
          <w:rFonts w:cs="Arial"/>
          <w:bCs/>
          <w:i/>
          <w:szCs w:val="20"/>
        </w:rPr>
        <w:t>DMD</w:t>
      </w:r>
      <w:r w:rsidRPr="00B16C45">
        <w:rPr>
          <w:rFonts w:cs="Arial"/>
          <w:bCs/>
          <w:szCs w:val="20"/>
        </w:rPr>
        <w:t xml:space="preserve"> gene amenable to exon 45 skipping</w:t>
      </w:r>
      <w:r>
        <w:rPr>
          <w:rFonts w:cs="Arial"/>
          <w:bCs/>
          <w:szCs w:val="20"/>
        </w:rPr>
        <w:t>;</w:t>
      </w:r>
      <w:r w:rsidRPr="00B16C45">
        <w:rPr>
          <w:rFonts w:cs="Arial"/>
          <w:bCs/>
          <w:szCs w:val="20"/>
        </w:rPr>
        <w:t xml:space="preserve"> </w:t>
      </w:r>
      <w:r w:rsidRPr="00B16C45">
        <w:rPr>
          <w:rFonts w:cs="Arial"/>
          <w:b/>
          <w:szCs w:val="20"/>
        </w:rPr>
        <w:t>AND</w:t>
      </w:r>
    </w:p>
    <w:p w14:paraId="0066CF8F" w14:textId="77777777" w:rsidR="007E368B" w:rsidRDefault="007E368B" w:rsidP="007E368B">
      <w:pPr>
        <w:pStyle w:val="ListParagraph"/>
        <w:numPr>
          <w:ilvl w:val="1"/>
          <w:numId w:val="17"/>
        </w:numPr>
        <w:rPr>
          <w:rFonts w:cs="Arial"/>
          <w:bCs/>
          <w:szCs w:val="20"/>
        </w:rPr>
      </w:pPr>
      <w:r w:rsidRPr="00B16C45">
        <w:rPr>
          <w:rFonts w:cs="Arial"/>
          <w:bCs/>
          <w:szCs w:val="20"/>
        </w:rPr>
        <w:t>Dosed at 30 mg/kg once weekly.</w:t>
      </w:r>
    </w:p>
    <w:p w14:paraId="03354585" w14:textId="77777777" w:rsidR="007E368B" w:rsidRPr="002E6271" w:rsidRDefault="007E368B" w:rsidP="007E368B">
      <w:pPr>
        <w:pStyle w:val="ListParagraph"/>
        <w:numPr>
          <w:ilvl w:val="0"/>
          <w:numId w:val="17"/>
        </w:numPr>
        <w:rPr>
          <w:rFonts w:cs="Arial"/>
          <w:bCs/>
          <w:szCs w:val="20"/>
        </w:rPr>
      </w:pPr>
      <w:r w:rsidRPr="002E6271">
        <w:rPr>
          <w:rFonts w:cs="Arial"/>
          <w:bCs/>
          <w:szCs w:val="20"/>
        </w:rPr>
        <w:t>Additional approval criteria for Elevidys:</w:t>
      </w:r>
    </w:p>
    <w:p w14:paraId="2DB8A502" w14:textId="77777777" w:rsidR="007E368B" w:rsidRDefault="007E368B" w:rsidP="007E368B">
      <w:pPr>
        <w:pStyle w:val="ListParagraph"/>
        <w:numPr>
          <w:ilvl w:val="1"/>
          <w:numId w:val="17"/>
        </w:numPr>
        <w:rPr>
          <w:rFonts w:cs="Arial"/>
          <w:bCs/>
          <w:szCs w:val="20"/>
        </w:rPr>
      </w:pPr>
      <w:r w:rsidRPr="00D804DE">
        <w:rPr>
          <w:rFonts w:cs="Arial"/>
          <w:bCs/>
          <w:szCs w:val="20"/>
        </w:rPr>
        <w:t xml:space="preserve">Age ≥ 4 years and ≤ </w:t>
      </w:r>
      <w:r w:rsidRPr="002363F3">
        <w:rPr>
          <w:rFonts w:cs="Arial"/>
          <w:b/>
          <w:strike/>
          <w:color w:val="1F497D" w:themeColor="text2"/>
          <w:szCs w:val="20"/>
        </w:rPr>
        <w:t>19</w:t>
      </w:r>
      <w:r w:rsidRPr="002363F3">
        <w:rPr>
          <w:rFonts w:cs="Arial"/>
          <w:bCs/>
          <w:color w:val="1F497D" w:themeColor="text2"/>
          <w:szCs w:val="20"/>
        </w:rPr>
        <w:t xml:space="preserve"> </w:t>
      </w:r>
      <w:r w:rsidRPr="002363F3">
        <w:rPr>
          <w:rFonts w:cs="Arial"/>
          <w:b/>
          <w:color w:val="1F497D" w:themeColor="text2"/>
          <w:szCs w:val="20"/>
        </w:rPr>
        <w:t>9</w:t>
      </w:r>
      <w:r w:rsidRPr="002363F3">
        <w:rPr>
          <w:rFonts w:cs="Arial"/>
          <w:bCs/>
          <w:color w:val="1F497D" w:themeColor="text2"/>
          <w:szCs w:val="20"/>
        </w:rPr>
        <w:t xml:space="preserve"> </w:t>
      </w:r>
      <w:proofErr w:type="gramStart"/>
      <w:r w:rsidRPr="00D804DE">
        <w:rPr>
          <w:rFonts w:cs="Arial"/>
          <w:bCs/>
          <w:szCs w:val="20"/>
        </w:rPr>
        <w:t>years;</w:t>
      </w:r>
      <w:proofErr w:type="gramEnd"/>
    </w:p>
    <w:p w14:paraId="1F9F0D97" w14:textId="77777777" w:rsidR="007E368B" w:rsidRPr="002363F3" w:rsidRDefault="007E368B" w:rsidP="007E368B">
      <w:pPr>
        <w:pStyle w:val="ListParagraph"/>
        <w:numPr>
          <w:ilvl w:val="1"/>
          <w:numId w:val="17"/>
        </w:numPr>
        <w:rPr>
          <w:rFonts w:cs="Arial"/>
          <w:b/>
          <w:color w:val="1F497D" w:themeColor="text2"/>
          <w:szCs w:val="20"/>
        </w:rPr>
      </w:pPr>
      <w:r w:rsidRPr="002363F3">
        <w:rPr>
          <w:rFonts w:cs="Arial"/>
          <w:b/>
          <w:color w:val="1F497D" w:themeColor="text2"/>
          <w:szCs w:val="20"/>
        </w:rPr>
        <w:t>Participant is ambulatory;</w:t>
      </w:r>
    </w:p>
    <w:p w14:paraId="33D92592" w14:textId="77777777" w:rsidR="007E368B" w:rsidRPr="002363F3" w:rsidRDefault="007E368B" w:rsidP="007E368B">
      <w:pPr>
        <w:pStyle w:val="ListParagraph"/>
        <w:numPr>
          <w:ilvl w:val="1"/>
          <w:numId w:val="17"/>
        </w:numPr>
        <w:rPr>
          <w:rFonts w:cs="Arial"/>
          <w:b/>
          <w:color w:val="1F497D" w:themeColor="text2"/>
          <w:szCs w:val="20"/>
        </w:rPr>
      </w:pPr>
      <w:r w:rsidRPr="002363F3">
        <w:rPr>
          <w:rFonts w:cs="Arial"/>
          <w:b/>
          <w:color w:val="1F497D" w:themeColor="text2"/>
          <w:szCs w:val="20"/>
        </w:rPr>
        <w:t>Documentation of baseline liver function tests, including all of the following:</w:t>
      </w:r>
    </w:p>
    <w:p w14:paraId="2C832DB7" w14:textId="77777777" w:rsidR="007E368B" w:rsidRPr="002363F3" w:rsidRDefault="007E368B" w:rsidP="007E368B">
      <w:pPr>
        <w:pStyle w:val="ListParagraph"/>
        <w:numPr>
          <w:ilvl w:val="2"/>
          <w:numId w:val="17"/>
        </w:numPr>
        <w:rPr>
          <w:rFonts w:cs="Arial"/>
          <w:b/>
          <w:color w:val="1F497D" w:themeColor="text2"/>
          <w:szCs w:val="20"/>
        </w:rPr>
      </w:pPr>
      <w:r w:rsidRPr="002363F3">
        <w:rPr>
          <w:rFonts w:cs="Arial"/>
          <w:b/>
          <w:color w:val="1F497D" w:themeColor="text2"/>
          <w:szCs w:val="20"/>
        </w:rPr>
        <w:t>Aspartate aminotransferase (AST), alanine aminotransferase (ALT), gamma-glutamyl transferase (GGT), albumin, activated partial thromboplastin time (aPTT), international normalized ratio (INR), and total bilirubin.</w:t>
      </w:r>
    </w:p>
    <w:p w14:paraId="3F7D953E" w14:textId="77777777" w:rsidR="007E368B" w:rsidRPr="002E6271" w:rsidRDefault="007E368B" w:rsidP="007E368B">
      <w:pPr>
        <w:pStyle w:val="ListParagraph"/>
        <w:numPr>
          <w:ilvl w:val="1"/>
          <w:numId w:val="17"/>
        </w:numPr>
        <w:rPr>
          <w:rFonts w:cs="Arial"/>
          <w:bCs/>
          <w:szCs w:val="20"/>
        </w:rPr>
      </w:pPr>
      <w:r w:rsidRPr="002E6271">
        <w:rPr>
          <w:rFonts w:cs="Arial"/>
          <w:bCs/>
          <w:szCs w:val="20"/>
        </w:rPr>
        <w:t>Documentation of total anti-AAVrh74 antibody level &lt; 1:400;</w:t>
      </w:r>
      <w:r w:rsidRPr="00791297">
        <w:rPr>
          <w:rFonts w:cs="Arial"/>
          <w:b/>
          <w:szCs w:val="20"/>
        </w:rPr>
        <w:t xml:space="preserve"> </w:t>
      </w:r>
      <w:r w:rsidRPr="00D804DE">
        <w:rPr>
          <w:rFonts w:cs="Arial"/>
          <w:b/>
          <w:szCs w:val="20"/>
        </w:rPr>
        <w:t>AND</w:t>
      </w:r>
    </w:p>
    <w:p w14:paraId="4FD33FDB" w14:textId="77777777" w:rsidR="007E368B" w:rsidRPr="002363F3" w:rsidRDefault="007E368B" w:rsidP="007E368B">
      <w:pPr>
        <w:pStyle w:val="ListParagraph"/>
        <w:numPr>
          <w:ilvl w:val="1"/>
          <w:numId w:val="17"/>
        </w:numPr>
        <w:rPr>
          <w:rFonts w:cs="Arial"/>
          <w:bCs/>
          <w:color w:val="1F497D" w:themeColor="text2"/>
          <w:szCs w:val="20"/>
        </w:rPr>
      </w:pPr>
      <w:r w:rsidRPr="002363F3">
        <w:rPr>
          <w:rFonts w:cs="Arial"/>
          <w:b/>
          <w:color w:val="1F497D" w:themeColor="text2"/>
          <w:szCs w:val="20"/>
        </w:rPr>
        <w:t>Documentation of plan to initiate or continue corticosteroid therapy prior to Elevidys infusion and at least 60 days post infusion based on FDA approved label recommended dosing instructions.</w:t>
      </w:r>
      <w:r w:rsidRPr="002363F3">
        <w:rPr>
          <w:rFonts w:cs="Arial"/>
          <w:bCs/>
          <w:color w:val="1F497D" w:themeColor="text2"/>
          <w:szCs w:val="20"/>
        </w:rPr>
        <w:t xml:space="preserve"> </w:t>
      </w:r>
    </w:p>
    <w:p w14:paraId="76458BEC" w14:textId="77777777" w:rsidR="007E368B" w:rsidRPr="002363F3" w:rsidRDefault="007E368B" w:rsidP="007E368B">
      <w:pPr>
        <w:pStyle w:val="ListParagraph"/>
        <w:numPr>
          <w:ilvl w:val="1"/>
          <w:numId w:val="17"/>
        </w:numPr>
        <w:rPr>
          <w:rFonts w:cs="Arial"/>
          <w:b/>
          <w:strike/>
          <w:color w:val="1F497D" w:themeColor="text2"/>
          <w:szCs w:val="20"/>
        </w:rPr>
      </w:pPr>
      <w:r w:rsidRPr="002363F3">
        <w:rPr>
          <w:rFonts w:cs="Arial"/>
          <w:b/>
          <w:strike/>
          <w:color w:val="1F497D" w:themeColor="text2"/>
          <w:szCs w:val="20"/>
        </w:rPr>
        <w:t>Documentation of one of the following:</w:t>
      </w:r>
    </w:p>
    <w:p w14:paraId="6515D4FE" w14:textId="77777777" w:rsidR="007E368B" w:rsidRPr="002363F3" w:rsidRDefault="007E368B" w:rsidP="007E368B">
      <w:pPr>
        <w:pStyle w:val="ListParagraph"/>
        <w:numPr>
          <w:ilvl w:val="2"/>
          <w:numId w:val="17"/>
        </w:numPr>
        <w:rPr>
          <w:rFonts w:cs="Arial"/>
          <w:b/>
          <w:strike/>
          <w:color w:val="1F497D" w:themeColor="text2"/>
          <w:szCs w:val="20"/>
        </w:rPr>
      </w:pPr>
      <w:r w:rsidRPr="002363F3">
        <w:rPr>
          <w:rFonts w:cs="Arial"/>
          <w:b/>
          <w:strike/>
          <w:color w:val="1F497D" w:themeColor="text2"/>
          <w:szCs w:val="20"/>
        </w:rPr>
        <w:t xml:space="preserve">Stable corticosteroid regimen, defined as ≥ 12 weeks prior to screening for Elevidys infusion and following infusion; OR </w:t>
      </w:r>
    </w:p>
    <w:p w14:paraId="119902A5" w14:textId="77777777" w:rsidR="007E368B" w:rsidRPr="002363F3" w:rsidRDefault="007E368B" w:rsidP="007E368B">
      <w:pPr>
        <w:pStyle w:val="ListParagraph"/>
        <w:numPr>
          <w:ilvl w:val="2"/>
          <w:numId w:val="17"/>
        </w:numPr>
        <w:rPr>
          <w:rFonts w:cs="Arial"/>
          <w:b/>
          <w:strike/>
          <w:color w:val="1F497D" w:themeColor="text2"/>
          <w:szCs w:val="20"/>
        </w:rPr>
      </w:pPr>
      <w:r w:rsidRPr="002363F3">
        <w:rPr>
          <w:rFonts w:cs="Arial"/>
          <w:b/>
          <w:strike/>
          <w:color w:val="1F497D" w:themeColor="text2"/>
          <w:szCs w:val="20"/>
        </w:rPr>
        <w:lastRenderedPageBreak/>
        <w:t xml:space="preserve">Reason why corticosteroids are not medically appropriate as per the provider’s professional judgement; </w:t>
      </w:r>
    </w:p>
    <w:p w14:paraId="36073CC6" w14:textId="77777777" w:rsidR="007E368B" w:rsidRPr="002363F3" w:rsidRDefault="007E368B" w:rsidP="007E368B">
      <w:pPr>
        <w:pStyle w:val="ListParagraph"/>
        <w:numPr>
          <w:ilvl w:val="1"/>
          <w:numId w:val="17"/>
        </w:numPr>
        <w:spacing w:after="200"/>
        <w:rPr>
          <w:rFonts w:cs="Arial"/>
          <w:b/>
          <w:strike/>
          <w:color w:val="1F497D" w:themeColor="text2"/>
          <w:szCs w:val="20"/>
        </w:rPr>
      </w:pPr>
      <w:r w:rsidRPr="002363F3">
        <w:rPr>
          <w:rFonts w:cs="Arial"/>
          <w:b/>
          <w:strike/>
          <w:color w:val="1F497D" w:themeColor="text2"/>
          <w:szCs w:val="20"/>
        </w:rPr>
        <w:t>Must meet one of the following:</w:t>
      </w:r>
    </w:p>
    <w:p w14:paraId="4EB340AF" w14:textId="77777777" w:rsidR="007E368B" w:rsidRPr="002363F3" w:rsidRDefault="007E368B" w:rsidP="007E368B">
      <w:pPr>
        <w:pStyle w:val="ListParagraph"/>
        <w:numPr>
          <w:ilvl w:val="2"/>
          <w:numId w:val="17"/>
        </w:numPr>
        <w:spacing w:after="200"/>
        <w:rPr>
          <w:rFonts w:cs="Arial"/>
          <w:b/>
          <w:strike/>
          <w:color w:val="1F497D" w:themeColor="text2"/>
          <w:szCs w:val="20"/>
        </w:rPr>
      </w:pPr>
      <w:r w:rsidRPr="002363F3">
        <w:rPr>
          <w:rFonts w:cs="Arial"/>
          <w:b/>
          <w:strike/>
          <w:color w:val="1F497D" w:themeColor="text2"/>
          <w:szCs w:val="20"/>
        </w:rPr>
        <w:t>Participant is ambulatory; OR</w:t>
      </w:r>
    </w:p>
    <w:p w14:paraId="4DC561B9" w14:textId="77777777" w:rsidR="007E368B" w:rsidRPr="002363F3" w:rsidRDefault="007E368B" w:rsidP="007E368B">
      <w:pPr>
        <w:pStyle w:val="ListParagraph"/>
        <w:numPr>
          <w:ilvl w:val="2"/>
          <w:numId w:val="17"/>
        </w:numPr>
        <w:spacing w:after="200"/>
        <w:rPr>
          <w:rFonts w:cs="Arial"/>
          <w:b/>
          <w:strike/>
          <w:color w:val="1F497D" w:themeColor="text2"/>
          <w:szCs w:val="20"/>
        </w:rPr>
      </w:pPr>
      <w:r w:rsidRPr="002363F3">
        <w:rPr>
          <w:rFonts w:cs="Arial"/>
          <w:b/>
          <w:strike/>
          <w:color w:val="1F497D" w:themeColor="text2"/>
          <w:szCs w:val="20"/>
        </w:rPr>
        <w:t xml:space="preserve">Participant is non-ambulatory – Clinical Consultant Review required. </w:t>
      </w:r>
    </w:p>
    <w:p w14:paraId="2842E27B" w14:textId="77777777" w:rsidR="007E368B" w:rsidRDefault="007E368B" w:rsidP="007E368B">
      <w:pPr>
        <w:pStyle w:val="ListParagraph"/>
        <w:numPr>
          <w:ilvl w:val="0"/>
          <w:numId w:val="17"/>
        </w:numPr>
        <w:rPr>
          <w:rFonts w:cs="Arial"/>
          <w:bCs/>
          <w:szCs w:val="20"/>
        </w:rPr>
      </w:pPr>
      <w:r>
        <w:rPr>
          <w:rFonts w:cs="Arial"/>
          <w:bCs/>
          <w:szCs w:val="20"/>
        </w:rPr>
        <w:t>Initial a</w:t>
      </w:r>
      <w:r w:rsidRPr="00652854">
        <w:rPr>
          <w:rFonts w:cs="Arial"/>
          <w:bCs/>
          <w:szCs w:val="20"/>
        </w:rPr>
        <w:t>pproval</w:t>
      </w:r>
      <w:r>
        <w:rPr>
          <w:rFonts w:cs="Arial"/>
          <w:bCs/>
          <w:szCs w:val="20"/>
        </w:rPr>
        <w:t xml:space="preserve"> period:</w:t>
      </w:r>
    </w:p>
    <w:p w14:paraId="28F74E38" w14:textId="77777777" w:rsidR="007E368B" w:rsidRPr="002E6271" w:rsidRDefault="007E368B" w:rsidP="007E368B">
      <w:pPr>
        <w:pStyle w:val="ListParagraph"/>
        <w:numPr>
          <w:ilvl w:val="1"/>
          <w:numId w:val="17"/>
        </w:numPr>
        <w:rPr>
          <w:rFonts w:cs="Arial"/>
          <w:szCs w:val="20"/>
        </w:rPr>
      </w:pPr>
      <w:r w:rsidRPr="002E6271">
        <w:rPr>
          <w:rFonts w:cs="Arial"/>
          <w:szCs w:val="20"/>
        </w:rPr>
        <w:t xml:space="preserve">For Elevidys: 1 time approval; </w:t>
      </w:r>
      <w:r w:rsidRPr="002E6271">
        <w:rPr>
          <w:rFonts w:cs="Arial"/>
          <w:b/>
          <w:bCs/>
          <w:szCs w:val="20"/>
        </w:rPr>
        <w:t>OR</w:t>
      </w:r>
    </w:p>
    <w:p w14:paraId="32808366" w14:textId="77777777" w:rsidR="007E368B" w:rsidRDefault="007E368B" w:rsidP="007E368B">
      <w:pPr>
        <w:pStyle w:val="ListParagraph"/>
        <w:numPr>
          <w:ilvl w:val="1"/>
          <w:numId w:val="17"/>
        </w:numPr>
        <w:rPr>
          <w:rFonts w:cs="Arial"/>
          <w:bCs/>
          <w:szCs w:val="20"/>
        </w:rPr>
      </w:pPr>
      <w:r>
        <w:rPr>
          <w:rFonts w:cs="Arial"/>
          <w:bCs/>
          <w:szCs w:val="20"/>
        </w:rPr>
        <w:t xml:space="preserve">For all other agents: </w:t>
      </w:r>
      <w:r w:rsidRPr="00652854">
        <w:rPr>
          <w:rFonts w:cs="Arial"/>
          <w:bCs/>
          <w:szCs w:val="20"/>
        </w:rPr>
        <w:t>6 months</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59F531D2" w14:textId="77777777" w:rsidR="001D05D6" w:rsidRDefault="001D05D6" w:rsidP="001D05D6">
      <w:pPr>
        <w:pStyle w:val="ListParagraph"/>
        <w:numPr>
          <w:ilvl w:val="0"/>
          <w:numId w:val="17"/>
        </w:numPr>
        <w:rPr>
          <w:rFonts w:cs="Arial"/>
          <w:bCs/>
          <w:szCs w:val="20"/>
        </w:rPr>
      </w:pPr>
      <w:r w:rsidRPr="00B62185">
        <w:rPr>
          <w:rFonts w:cs="Arial"/>
          <w:bCs/>
          <w:szCs w:val="20"/>
        </w:rPr>
        <w:t>Must meet all of the following:</w:t>
      </w:r>
    </w:p>
    <w:p w14:paraId="2E852E6A" w14:textId="77777777" w:rsidR="001D05D6" w:rsidRPr="003F1493" w:rsidRDefault="001D05D6" w:rsidP="001D05D6">
      <w:pPr>
        <w:pStyle w:val="NoSpacing"/>
        <w:numPr>
          <w:ilvl w:val="1"/>
          <w:numId w:val="18"/>
        </w:numPr>
        <w:rPr>
          <w:sz w:val="20"/>
          <w:szCs w:val="20"/>
        </w:rPr>
      </w:pPr>
      <w:r w:rsidRPr="003F1493">
        <w:rPr>
          <w:sz w:val="20"/>
          <w:szCs w:val="20"/>
        </w:rPr>
        <w:t xml:space="preserve">Renewal requests must provide documentation of clinical benefit by improvement, stabilization, or less than expected decline in disease progression of motor function from baseline measures that were initially utilized, defined as one of the following: </w:t>
      </w:r>
    </w:p>
    <w:p w14:paraId="46526C47" w14:textId="77777777" w:rsidR="001D05D6" w:rsidRPr="003F1493" w:rsidRDefault="001D05D6" w:rsidP="001D05D6">
      <w:pPr>
        <w:pStyle w:val="NoSpacing"/>
        <w:numPr>
          <w:ilvl w:val="2"/>
          <w:numId w:val="19"/>
        </w:numPr>
        <w:rPr>
          <w:sz w:val="20"/>
          <w:szCs w:val="20"/>
        </w:rPr>
      </w:pPr>
      <w:r w:rsidRPr="003F1493">
        <w:rPr>
          <w:sz w:val="20"/>
          <w:szCs w:val="20"/>
        </w:rPr>
        <w:t>For ambulatory participants – 6MWT, NSAA, or comparable scale or assessment for ambulation.</w:t>
      </w:r>
    </w:p>
    <w:p w14:paraId="6310BC7A" w14:textId="77777777" w:rsidR="001D05D6" w:rsidRPr="003F1493" w:rsidRDefault="001D05D6" w:rsidP="001D05D6">
      <w:pPr>
        <w:pStyle w:val="NoSpacing"/>
        <w:numPr>
          <w:ilvl w:val="2"/>
          <w:numId w:val="19"/>
        </w:numPr>
        <w:rPr>
          <w:sz w:val="20"/>
          <w:szCs w:val="20"/>
        </w:rPr>
      </w:pPr>
      <w:r w:rsidRPr="003F1493">
        <w:rPr>
          <w:sz w:val="20"/>
          <w:szCs w:val="20"/>
        </w:rPr>
        <w:t>For non-ambulatory participants – Brooke upper extremity function scale, PUL scale, or comparable scale or assessment.</w:t>
      </w:r>
    </w:p>
    <w:p w14:paraId="141B889D" w14:textId="77777777" w:rsidR="001D05D6" w:rsidRPr="00B62185" w:rsidRDefault="001D05D6" w:rsidP="001D05D6">
      <w:pPr>
        <w:pStyle w:val="ListParagraph"/>
        <w:numPr>
          <w:ilvl w:val="0"/>
          <w:numId w:val="17"/>
        </w:numPr>
        <w:rPr>
          <w:rFonts w:cs="Arial"/>
          <w:bCs/>
          <w:szCs w:val="20"/>
        </w:rPr>
      </w:pPr>
      <w:r>
        <w:rPr>
          <w:rFonts w:cs="Arial"/>
          <w:bCs/>
          <w:szCs w:val="20"/>
        </w:rPr>
        <w:t xml:space="preserve">Additional continuation criteria for </w:t>
      </w:r>
      <w:r w:rsidRPr="00B62185">
        <w:rPr>
          <w:rFonts w:cs="Arial"/>
          <w:bCs/>
          <w:szCs w:val="20"/>
        </w:rPr>
        <w:t>Emflaza</w:t>
      </w:r>
      <w:r>
        <w:rPr>
          <w:rFonts w:cs="Arial"/>
          <w:bCs/>
          <w:szCs w:val="20"/>
        </w:rPr>
        <w:t xml:space="preserve"> </w:t>
      </w:r>
      <w:r w:rsidRPr="002C100B">
        <w:rPr>
          <w:rFonts w:cs="Arial"/>
          <w:bCs/>
          <w:szCs w:val="20"/>
        </w:rPr>
        <w:t>or Agamree:</w:t>
      </w:r>
    </w:p>
    <w:p w14:paraId="7F549EE9" w14:textId="77777777" w:rsidR="001D05D6" w:rsidRDefault="001D05D6" w:rsidP="001D05D6">
      <w:pPr>
        <w:pStyle w:val="ListParagraph"/>
        <w:numPr>
          <w:ilvl w:val="1"/>
          <w:numId w:val="17"/>
        </w:numPr>
        <w:rPr>
          <w:rFonts w:cs="Arial"/>
          <w:bCs/>
          <w:szCs w:val="20"/>
        </w:rPr>
      </w:pPr>
      <w:r w:rsidRPr="00B67CC4">
        <w:rPr>
          <w:rFonts w:cs="Arial"/>
          <w:bCs/>
          <w:szCs w:val="20"/>
        </w:rPr>
        <w:t xml:space="preserve">Documentation that adverse events associated with prednisone therapy were resolved through treatment with </w:t>
      </w:r>
      <w:r w:rsidRPr="002C100B">
        <w:rPr>
          <w:rFonts w:cs="Arial"/>
          <w:bCs/>
          <w:szCs w:val="20"/>
        </w:rPr>
        <w:t>Emflaza or Agamree.</w:t>
      </w:r>
    </w:p>
    <w:p w14:paraId="6C615378" w14:textId="77777777" w:rsidR="001D05D6" w:rsidRPr="003F1493" w:rsidRDefault="001D05D6" w:rsidP="001D05D6">
      <w:pPr>
        <w:pStyle w:val="ListParagraph"/>
        <w:numPr>
          <w:ilvl w:val="0"/>
          <w:numId w:val="17"/>
        </w:numPr>
        <w:rPr>
          <w:rFonts w:cs="Arial"/>
          <w:bCs/>
          <w:szCs w:val="20"/>
        </w:rPr>
      </w:pPr>
      <w:r w:rsidRPr="003F1493">
        <w:rPr>
          <w:rFonts w:cs="Arial"/>
          <w:bCs/>
          <w:szCs w:val="20"/>
        </w:rPr>
        <w:t>Additional continuation criteria for Duvyzat:</w:t>
      </w:r>
    </w:p>
    <w:p w14:paraId="6CCC0220" w14:textId="77777777" w:rsidR="001D05D6" w:rsidRPr="003F1493" w:rsidRDefault="001D05D6" w:rsidP="001D05D6">
      <w:pPr>
        <w:pStyle w:val="NoSpacing"/>
        <w:numPr>
          <w:ilvl w:val="1"/>
          <w:numId w:val="17"/>
        </w:numPr>
        <w:rPr>
          <w:bCs/>
          <w:sz w:val="20"/>
          <w:szCs w:val="20"/>
        </w:rPr>
      </w:pPr>
      <w:r w:rsidRPr="003F1493">
        <w:rPr>
          <w:bCs/>
          <w:sz w:val="20"/>
          <w:szCs w:val="20"/>
        </w:rPr>
        <w:t>Documentation of routine monitoring of platelet count, TG, and QT interval.</w:t>
      </w:r>
    </w:p>
    <w:p w14:paraId="697A763D" w14:textId="77777777" w:rsidR="001D05D6" w:rsidRDefault="001D05D6" w:rsidP="001D05D6">
      <w:pPr>
        <w:pStyle w:val="ListParagraph"/>
        <w:numPr>
          <w:ilvl w:val="0"/>
          <w:numId w:val="17"/>
        </w:numPr>
        <w:rPr>
          <w:rFonts w:cs="Arial"/>
          <w:bCs/>
          <w:szCs w:val="20"/>
        </w:rPr>
      </w:pPr>
      <w:r>
        <w:rPr>
          <w:rFonts w:cs="Arial"/>
          <w:bCs/>
          <w:szCs w:val="20"/>
        </w:rPr>
        <w:t xml:space="preserve">Additional continuation criteria for </w:t>
      </w:r>
      <w:r w:rsidRPr="00730399">
        <w:rPr>
          <w:rFonts w:cs="Arial"/>
          <w:bCs/>
          <w:szCs w:val="20"/>
        </w:rPr>
        <w:t>Exondys 51</w:t>
      </w:r>
      <w:r>
        <w:rPr>
          <w:rFonts w:cs="Arial"/>
          <w:bCs/>
          <w:szCs w:val="20"/>
        </w:rPr>
        <w:t xml:space="preserve">, </w:t>
      </w:r>
      <w:r w:rsidRPr="00AA1CBF">
        <w:rPr>
          <w:rFonts w:cs="Arial"/>
          <w:color w:val="000000"/>
          <w:szCs w:val="20"/>
        </w:rPr>
        <w:t>Vyondys 53, Viltepso, or Amondys 45</w:t>
      </w:r>
      <w:r>
        <w:rPr>
          <w:rFonts w:cs="Arial"/>
          <w:bCs/>
          <w:szCs w:val="20"/>
        </w:rPr>
        <w:t>:</w:t>
      </w:r>
    </w:p>
    <w:p w14:paraId="1A1702AA" w14:textId="77777777" w:rsidR="001D05D6" w:rsidRPr="00B67CC4" w:rsidRDefault="001D05D6" w:rsidP="001D05D6">
      <w:pPr>
        <w:pStyle w:val="ListParagraph"/>
        <w:numPr>
          <w:ilvl w:val="1"/>
          <w:numId w:val="17"/>
        </w:numPr>
        <w:rPr>
          <w:rFonts w:cs="Arial"/>
          <w:bCs/>
          <w:szCs w:val="20"/>
        </w:rPr>
      </w:pPr>
      <w:r>
        <w:rPr>
          <w:rFonts w:cs="Arial"/>
          <w:bCs/>
          <w:szCs w:val="20"/>
        </w:rPr>
        <w:t>Documentation that p</w:t>
      </w:r>
      <w:r w:rsidRPr="00B67CC4">
        <w:rPr>
          <w:rFonts w:cs="Arial"/>
          <w:bCs/>
          <w:szCs w:val="20"/>
        </w:rPr>
        <w:t>articipant retains meaningful voluntary motor function (ex: participant is able to speak, manipulate objects using upper extremities, ambulate)</w:t>
      </w:r>
      <w:r>
        <w:rPr>
          <w:rFonts w:cs="Arial"/>
          <w:bCs/>
          <w:szCs w:val="20"/>
        </w:rPr>
        <w:t>.</w:t>
      </w:r>
    </w:p>
    <w:p w14:paraId="01D837D5" w14:textId="53837481" w:rsidR="00800A5D" w:rsidRPr="00800A5D" w:rsidRDefault="00800A5D" w:rsidP="00167DEF">
      <w:pPr>
        <w:pStyle w:val="ListParagraph"/>
      </w:pPr>
      <w:r w:rsidRPr="00800A5D">
        <w:t xml:space="preserve">Additional continuation criteria for Vyondys 53, Viltepso, or Amondys 45 – must meet </w:t>
      </w:r>
      <w:proofErr w:type="gramStart"/>
      <w:r w:rsidRPr="00800A5D">
        <w:t>all of</w:t>
      </w:r>
      <w:proofErr w:type="gramEnd"/>
      <w:r w:rsidRPr="00800A5D">
        <w:t xml:space="preserve"> the following:</w:t>
      </w:r>
    </w:p>
    <w:p w14:paraId="5EE2A9D0" w14:textId="623174DE" w:rsidR="00800A5D" w:rsidRPr="00800A5D" w:rsidRDefault="00800A5D" w:rsidP="00167DEF">
      <w:pPr>
        <w:pStyle w:val="ListParagraph"/>
        <w:numPr>
          <w:ilvl w:val="1"/>
          <w:numId w:val="6"/>
        </w:numPr>
      </w:pPr>
      <w:r w:rsidRPr="00800A5D">
        <w:t xml:space="preserve">Documentation of monthly monitoring for proteinuria &lt; 2+; </w:t>
      </w:r>
      <w:r w:rsidRPr="00167DEF">
        <w:rPr>
          <w:b/>
          <w:bCs/>
        </w:rPr>
        <w:t>AND</w:t>
      </w:r>
    </w:p>
    <w:p w14:paraId="0B0C0D72" w14:textId="45A911E4" w:rsidR="005328B2" w:rsidRDefault="00800A5D" w:rsidP="00800A5D">
      <w:pPr>
        <w:pStyle w:val="ListParagraph"/>
        <w:numPr>
          <w:ilvl w:val="1"/>
          <w:numId w:val="6"/>
        </w:numPr>
      </w:pPr>
      <w:r w:rsidRPr="00800A5D">
        <w:t>Documentation of appropriate monitoring for renal function every three months.</w:t>
      </w:r>
    </w:p>
    <w:p w14:paraId="5F468E93" w14:textId="77777777" w:rsidR="00800A5D" w:rsidRPr="002C2C41" w:rsidRDefault="00800A5D" w:rsidP="00167DEF">
      <w:pPr>
        <w:pStyle w:val="ListParagraph"/>
        <w:numPr>
          <w:ilvl w:val="0"/>
          <w:numId w:val="0"/>
        </w:numPr>
        <w:ind w:left="720"/>
      </w:pPr>
    </w:p>
    <w:p w14:paraId="6413C03A" w14:textId="77777777" w:rsidR="00AE77DB" w:rsidRPr="00C02553" w:rsidRDefault="00AE77DB" w:rsidP="005A2F1E">
      <w:pPr>
        <w:pStyle w:val="Heading1"/>
        <w:rPr>
          <w:lang w:val="en-US"/>
        </w:rPr>
      </w:pPr>
      <w:r w:rsidRPr="00C02553">
        <w:rPr>
          <w:lang w:val="en-US"/>
        </w:rPr>
        <w:t>Denial Criteria</w:t>
      </w:r>
    </w:p>
    <w:p w14:paraId="6C56B236" w14:textId="77777777" w:rsidR="00DB5415" w:rsidRDefault="00DB5415" w:rsidP="00DB5415">
      <w:pPr>
        <w:pStyle w:val="ListParagraph"/>
        <w:numPr>
          <w:ilvl w:val="0"/>
          <w:numId w:val="20"/>
        </w:numPr>
        <w:rPr>
          <w:rFonts w:cs="Arial"/>
          <w:noProof/>
          <w:szCs w:val="20"/>
        </w:rPr>
      </w:pPr>
      <w:r>
        <w:rPr>
          <w:rFonts w:cs="Arial"/>
          <w:noProof/>
          <w:szCs w:val="20"/>
        </w:rPr>
        <w:t>Therapy will deny with presence of the following:</w:t>
      </w:r>
    </w:p>
    <w:p w14:paraId="54FFC4F7" w14:textId="77777777" w:rsidR="00DB5415" w:rsidRDefault="00DB5415" w:rsidP="00DB5415">
      <w:pPr>
        <w:pStyle w:val="ListParagraph"/>
        <w:numPr>
          <w:ilvl w:val="1"/>
          <w:numId w:val="20"/>
        </w:numPr>
        <w:rPr>
          <w:rFonts w:cs="Arial"/>
          <w:noProof/>
          <w:szCs w:val="20"/>
        </w:rPr>
      </w:pPr>
      <w:r>
        <w:rPr>
          <w:rFonts w:cs="Arial"/>
          <w:noProof/>
          <w:szCs w:val="20"/>
        </w:rPr>
        <w:t>Any</w:t>
      </w:r>
      <w:r w:rsidRPr="006C3949">
        <w:rPr>
          <w:rFonts w:cs="Arial"/>
          <w:noProof/>
          <w:szCs w:val="20"/>
        </w:rPr>
        <w:t xml:space="preserve"> approval criteria are </w:t>
      </w:r>
      <w:r>
        <w:rPr>
          <w:rFonts w:cs="Arial"/>
          <w:noProof/>
          <w:szCs w:val="20"/>
        </w:rPr>
        <w:t xml:space="preserve">not </w:t>
      </w:r>
      <w:r w:rsidRPr="006C3949">
        <w:rPr>
          <w:rFonts w:cs="Arial"/>
          <w:noProof/>
          <w:szCs w:val="20"/>
        </w:rPr>
        <w:t>met</w:t>
      </w:r>
      <w:r>
        <w:rPr>
          <w:rFonts w:cs="Arial"/>
          <w:noProof/>
          <w:szCs w:val="20"/>
        </w:rPr>
        <w:t xml:space="preserve">; </w:t>
      </w:r>
      <w:r w:rsidRPr="00976A66">
        <w:rPr>
          <w:rFonts w:cs="Arial"/>
          <w:b/>
          <w:bCs/>
          <w:noProof/>
          <w:szCs w:val="20"/>
        </w:rPr>
        <w:t>OR</w:t>
      </w:r>
    </w:p>
    <w:p w14:paraId="7334219A" w14:textId="77777777" w:rsidR="00DB5415" w:rsidRPr="008F1557" w:rsidRDefault="00DB5415" w:rsidP="00DB5415">
      <w:pPr>
        <w:pStyle w:val="ListParagraph"/>
        <w:numPr>
          <w:ilvl w:val="1"/>
          <w:numId w:val="20"/>
        </w:numPr>
        <w:tabs>
          <w:tab w:val="num" w:pos="1080"/>
        </w:tabs>
        <w:rPr>
          <w:rFonts w:cs="Arial"/>
          <w:szCs w:val="20"/>
        </w:rPr>
      </w:pPr>
      <w:r w:rsidRPr="008F1557">
        <w:rPr>
          <w:rFonts w:cs="Arial"/>
        </w:rPr>
        <w:t>Claim exceeds maximum dosing limitations for the following:</w:t>
      </w:r>
    </w:p>
    <w:tbl>
      <w:tblPr>
        <w:tblW w:w="81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2385"/>
        <w:gridCol w:w="2385"/>
      </w:tblGrid>
      <w:tr w:rsidR="00DB5415" w:rsidRPr="008F1557" w14:paraId="569C6DDB" w14:textId="77777777" w:rsidTr="00DB5415">
        <w:trPr>
          <w:trHeight w:val="20"/>
        </w:trPr>
        <w:tc>
          <w:tcPr>
            <w:tcW w:w="3330" w:type="dxa"/>
            <w:shd w:val="clear" w:color="auto" w:fill="FABF8F" w:themeFill="accent6" w:themeFillTint="99"/>
            <w:noWrap/>
            <w:vAlign w:val="center"/>
            <w:hideMark/>
          </w:tcPr>
          <w:p w14:paraId="31FA0409" w14:textId="77777777" w:rsidR="00DB5415" w:rsidRPr="00687074" w:rsidRDefault="00DB5415" w:rsidP="00EE6EF3">
            <w:pPr>
              <w:rPr>
                <w:rFonts w:cs="Arial"/>
                <w:b/>
                <w:bCs/>
                <w:szCs w:val="20"/>
              </w:rPr>
            </w:pPr>
            <w:bookmarkStart w:id="1" w:name="_Hlk88172735"/>
            <w:r w:rsidRPr="00687074">
              <w:rPr>
                <w:rFonts w:cs="Arial"/>
                <w:b/>
                <w:bCs/>
                <w:szCs w:val="20"/>
              </w:rPr>
              <w:t>Drug Description</w:t>
            </w:r>
          </w:p>
        </w:tc>
        <w:tc>
          <w:tcPr>
            <w:tcW w:w="2385" w:type="dxa"/>
            <w:shd w:val="clear" w:color="auto" w:fill="FABF8F" w:themeFill="accent6" w:themeFillTint="99"/>
            <w:vAlign w:val="center"/>
          </w:tcPr>
          <w:p w14:paraId="5F79A71B" w14:textId="77777777" w:rsidR="00DB5415" w:rsidRPr="00687074" w:rsidRDefault="00DB5415" w:rsidP="00EE6EF3">
            <w:pPr>
              <w:rPr>
                <w:rFonts w:cs="Arial"/>
                <w:b/>
                <w:bCs/>
                <w:szCs w:val="20"/>
              </w:rPr>
            </w:pPr>
            <w:r w:rsidRPr="00687074">
              <w:rPr>
                <w:rFonts w:cs="Arial"/>
                <w:b/>
                <w:bCs/>
                <w:szCs w:val="20"/>
              </w:rPr>
              <w:t>Generic Equivalent</w:t>
            </w:r>
          </w:p>
        </w:tc>
        <w:tc>
          <w:tcPr>
            <w:tcW w:w="2385" w:type="dxa"/>
            <w:shd w:val="clear" w:color="auto" w:fill="FABF8F" w:themeFill="accent6" w:themeFillTint="99"/>
            <w:noWrap/>
            <w:vAlign w:val="center"/>
            <w:hideMark/>
          </w:tcPr>
          <w:p w14:paraId="590CAED8" w14:textId="77777777" w:rsidR="00DB5415" w:rsidRPr="00687074" w:rsidRDefault="00DB5415" w:rsidP="00EE6EF3">
            <w:pPr>
              <w:rPr>
                <w:rFonts w:cs="Arial"/>
                <w:b/>
                <w:bCs/>
                <w:szCs w:val="20"/>
              </w:rPr>
            </w:pPr>
            <w:r w:rsidRPr="00687074">
              <w:rPr>
                <w:rFonts w:cs="Arial"/>
                <w:b/>
                <w:bCs/>
                <w:szCs w:val="20"/>
              </w:rPr>
              <w:t>Max Units Per Day</w:t>
            </w:r>
          </w:p>
        </w:tc>
      </w:tr>
      <w:tr w:rsidR="00DB5415" w:rsidRPr="008F1557" w14:paraId="780719FA" w14:textId="77777777" w:rsidTr="00EE6EF3">
        <w:trPr>
          <w:trHeight w:val="20"/>
        </w:trPr>
        <w:tc>
          <w:tcPr>
            <w:tcW w:w="3330" w:type="dxa"/>
            <w:tcBorders>
              <w:top w:val="single" w:sz="4" w:space="0" w:color="auto"/>
              <w:left w:val="single" w:sz="4" w:space="0" w:color="auto"/>
              <w:bottom w:val="single" w:sz="4" w:space="0" w:color="auto"/>
              <w:right w:val="single" w:sz="4" w:space="0" w:color="auto"/>
            </w:tcBorders>
            <w:noWrap/>
            <w:vAlign w:val="center"/>
          </w:tcPr>
          <w:p w14:paraId="4A2F5F26" w14:textId="77777777" w:rsidR="00DB5415" w:rsidRPr="008F1557" w:rsidRDefault="00DB5415" w:rsidP="00EE6EF3">
            <w:pPr>
              <w:rPr>
                <w:rFonts w:cs="Arial"/>
                <w:caps/>
                <w:szCs w:val="20"/>
              </w:rPr>
            </w:pPr>
            <w:r w:rsidRPr="008F1557">
              <w:rPr>
                <w:rFonts w:cs="Arial"/>
                <w:szCs w:val="20"/>
              </w:rPr>
              <w:t>AGAMREE 40 MG/ML SUSP</w:t>
            </w:r>
          </w:p>
        </w:tc>
        <w:tc>
          <w:tcPr>
            <w:tcW w:w="2385" w:type="dxa"/>
            <w:vAlign w:val="center"/>
          </w:tcPr>
          <w:p w14:paraId="1662008F" w14:textId="77777777" w:rsidR="00DB5415" w:rsidRPr="008F1557" w:rsidRDefault="00DB5415" w:rsidP="00EE6EF3">
            <w:pPr>
              <w:rPr>
                <w:rFonts w:cs="Arial"/>
                <w:caps/>
                <w:szCs w:val="20"/>
              </w:rPr>
            </w:pPr>
            <w:r w:rsidRPr="008F1557">
              <w:rPr>
                <w:rFonts w:cs="Arial"/>
                <w:szCs w:val="20"/>
              </w:rPr>
              <w:t>VAMOROLONE</w:t>
            </w:r>
          </w:p>
        </w:tc>
        <w:tc>
          <w:tcPr>
            <w:tcW w:w="2385" w:type="dxa"/>
            <w:noWrap/>
            <w:vAlign w:val="center"/>
          </w:tcPr>
          <w:p w14:paraId="48BC39ED" w14:textId="77777777" w:rsidR="00DB5415" w:rsidRPr="008F1557" w:rsidRDefault="00DB5415" w:rsidP="00EE6EF3">
            <w:pPr>
              <w:rPr>
                <w:rFonts w:cs="Arial"/>
                <w:szCs w:val="20"/>
              </w:rPr>
            </w:pPr>
            <w:r w:rsidRPr="008F1557">
              <w:rPr>
                <w:rFonts w:cs="Arial"/>
                <w:szCs w:val="20"/>
              </w:rPr>
              <w:t>7.5 mL per day</w:t>
            </w:r>
          </w:p>
        </w:tc>
      </w:tr>
    </w:tbl>
    <w:bookmarkEnd w:id="1"/>
    <w:p w14:paraId="437C86B4" w14:textId="77777777" w:rsidR="00DB5415" w:rsidRPr="008F1557" w:rsidRDefault="00DB5415" w:rsidP="00DB5415">
      <w:pPr>
        <w:pStyle w:val="ListParagraph"/>
        <w:numPr>
          <w:ilvl w:val="0"/>
          <w:numId w:val="21"/>
        </w:numPr>
        <w:rPr>
          <w:rFonts w:cs="Arial"/>
          <w:noProof/>
          <w:szCs w:val="20"/>
        </w:rPr>
      </w:pPr>
      <w:r w:rsidRPr="008F1557">
        <w:rPr>
          <w:rFonts w:cs="Arial"/>
          <w:noProof/>
          <w:szCs w:val="20"/>
        </w:rPr>
        <w:t xml:space="preserve">Additional denial criteria for </w:t>
      </w:r>
      <w:r w:rsidRPr="008F1557">
        <w:rPr>
          <w:rFonts w:cs="Arial"/>
          <w:szCs w:val="20"/>
        </w:rPr>
        <w:t>Exondys 51, Vyondys 53, Viltepso, or Amondys 45</w:t>
      </w:r>
      <w:r w:rsidRPr="008F1557">
        <w:rPr>
          <w:rFonts w:cs="Arial"/>
          <w:noProof/>
          <w:szCs w:val="20"/>
        </w:rPr>
        <w:t>:</w:t>
      </w:r>
    </w:p>
    <w:p w14:paraId="1B487D09" w14:textId="77777777" w:rsidR="00DB5415" w:rsidRPr="008F1557" w:rsidRDefault="00DB5415" w:rsidP="00DB5415">
      <w:pPr>
        <w:pStyle w:val="ListParagraph"/>
        <w:numPr>
          <w:ilvl w:val="1"/>
          <w:numId w:val="20"/>
        </w:numPr>
        <w:rPr>
          <w:rFonts w:cs="Arial"/>
          <w:noProof/>
          <w:szCs w:val="20"/>
        </w:rPr>
      </w:pPr>
      <w:r w:rsidRPr="008F1557">
        <w:rPr>
          <w:rFonts w:cs="Arial"/>
          <w:noProof/>
          <w:szCs w:val="20"/>
        </w:rPr>
        <w:t>Previous gene therapy for DMD at anytime.</w:t>
      </w:r>
    </w:p>
    <w:p w14:paraId="46F18D59" w14:textId="77777777" w:rsidR="00DB5415" w:rsidRPr="00AC1FCD" w:rsidRDefault="00DB5415" w:rsidP="00DB5415">
      <w:pPr>
        <w:pStyle w:val="ListParagraph"/>
        <w:numPr>
          <w:ilvl w:val="0"/>
          <w:numId w:val="21"/>
        </w:numPr>
        <w:rPr>
          <w:rFonts w:cs="Arial"/>
          <w:noProof/>
          <w:szCs w:val="20"/>
        </w:rPr>
      </w:pPr>
      <w:r w:rsidRPr="00AC1FCD">
        <w:rPr>
          <w:rFonts w:cs="Arial"/>
          <w:noProof/>
          <w:szCs w:val="20"/>
        </w:rPr>
        <w:t>Additional denial criteria for Elevidys:</w:t>
      </w:r>
    </w:p>
    <w:p w14:paraId="3BC86952" w14:textId="77777777" w:rsidR="00DB5415" w:rsidRPr="000C5F90" w:rsidRDefault="00DB5415" w:rsidP="00DB5415">
      <w:pPr>
        <w:pStyle w:val="ListParagraph"/>
        <w:numPr>
          <w:ilvl w:val="1"/>
          <w:numId w:val="20"/>
        </w:numPr>
        <w:rPr>
          <w:rFonts w:cs="Arial"/>
          <w:noProof/>
          <w:szCs w:val="20"/>
        </w:rPr>
      </w:pPr>
      <w:r w:rsidRPr="000C5F90">
        <w:rPr>
          <w:rFonts w:cs="Arial"/>
          <w:noProof/>
          <w:szCs w:val="20"/>
        </w:rPr>
        <w:t xml:space="preserve">Participants with any deletion in exon 8 and/or exon 9 in the </w:t>
      </w:r>
      <w:r w:rsidRPr="000C5F90">
        <w:rPr>
          <w:rFonts w:cs="Arial"/>
          <w:i/>
          <w:iCs/>
          <w:noProof/>
          <w:szCs w:val="20"/>
        </w:rPr>
        <w:t>DMD</w:t>
      </w:r>
      <w:r w:rsidRPr="000C5F90">
        <w:rPr>
          <w:rFonts w:cs="Arial"/>
          <w:noProof/>
          <w:szCs w:val="20"/>
        </w:rPr>
        <w:t xml:space="preserve"> gene; </w:t>
      </w:r>
      <w:r w:rsidRPr="000C5F90">
        <w:rPr>
          <w:rFonts w:cs="Arial"/>
          <w:b/>
          <w:bCs/>
          <w:noProof/>
          <w:szCs w:val="20"/>
        </w:rPr>
        <w:t>OR</w:t>
      </w:r>
    </w:p>
    <w:p w14:paraId="127D4E67" w14:textId="77777777" w:rsidR="00DB5415" w:rsidRPr="000C5F90" w:rsidRDefault="00DB5415" w:rsidP="00DB5415">
      <w:pPr>
        <w:pStyle w:val="ListParagraph"/>
        <w:numPr>
          <w:ilvl w:val="1"/>
          <w:numId w:val="20"/>
        </w:numPr>
        <w:rPr>
          <w:rFonts w:cs="Arial"/>
          <w:noProof/>
          <w:szCs w:val="20"/>
        </w:rPr>
      </w:pPr>
      <w:r w:rsidRPr="000C5F90">
        <w:rPr>
          <w:rFonts w:cs="Arial"/>
          <w:noProof/>
          <w:szCs w:val="20"/>
        </w:rPr>
        <w:t>Previous gene therapy for DMD at anytime</w:t>
      </w:r>
      <w:r>
        <w:rPr>
          <w:rFonts w:cs="Arial"/>
          <w:noProof/>
          <w:szCs w:val="20"/>
        </w:rPr>
        <w:t>.</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17DBE1B4" w14:textId="77777777" w:rsidR="00CA6ECE" w:rsidRPr="006C3949" w:rsidRDefault="00343D6B" w:rsidP="00CA6ECE">
      <w:pPr>
        <w:rPr>
          <w:rFonts w:cs="Arial"/>
          <w:szCs w:val="20"/>
        </w:rPr>
      </w:pPr>
      <w:r w:rsidRPr="00696E3A">
        <w:rPr>
          <w:b/>
          <w:bCs/>
        </w:rPr>
        <w:t>Default Approval Period:</w:t>
      </w:r>
      <w:r w:rsidR="00973BD6">
        <w:t xml:space="preserve"> </w:t>
      </w:r>
      <w:r w:rsidR="00CA6ECE">
        <w:rPr>
          <w:rFonts w:cs="Arial"/>
          <w:szCs w:val="20"/>
        </w:rPr>
        <w:t>6 months</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1E28C1EE" w14:textId="77777777" w:rsidR="002363F3" w:rsidRPr="00BB178D" w:rsidRDefault="002363F3" w:rsidP="002363F3">
      <w:pPr>
        <w:numPr>
          <w:ilvl w:val="0"/>
          <w:numId w:val="22"/>
        </w:numPr>
        <w:rPr>
          <w:rFonts w:cs="Arial"/>
          <w:szCs w:val="20"/>
        </w:rPr>
      </w:pPr>
      <w:bookmarkStart w:id="3" w:name="_Hlk34121003"/>
      <w:r w:rsidRPr="00BB178D">
        <w:rPr>
          <w:rFonts w:cs="Arial"/>
          <w:szCs w:val="20"/>
        </w:rPr>
        <w:t xml:space="preserve">Evidence-Based Medicine and Fiscal Analysis: “Therapeutic Class Review: </w:t>
      </w:r>
      <w:r w:rsidRPr="00AF7CC6">
        <w:rPr>
          <w:rFonts w:cs="Arial"/>
          <w:szCs w:val="20"/>
        </w:rPr>
        <w:t>MUSCULOSKELETAL:</w:t>
      </w:r>
      <w:r>
        <w:rPr>
          <w:rFonts w:cs="Arial"/>
          <w:szCs w:val="20"/>
        </w:rPr>
        <w:t xml:space="preserve"> </w:t>
      </w:r>
      <w:r w:rsidRPr="00F10420">
        <w:rPr>
          <w:rFonts w:cs="Arial"/>
          <w:szCs w:val="20"/>
        </w:rPr>
        <w:t>DMD-Steroids</w:t>
      </w:r>
      <w:r w:rsidRPr="00BB178D">
        <w:rPr>
          <w:rFonts w:cs="Arial"/>
          <w:szCs w:val="20"/>
        </w:rPr>
        <w:t xml:space="preserve">”, Gainwell Technologies; Last updated May </w:t>
      </w:r>
      <w:r>
        <w:rPr>
          <w:rFonts w:cs="Arial"/>
          <w:szCs w:val="20"/>
        </w:rPr>
        <w:t>8</w:t>
      </w:r>
      <w:r w:rsidRPr="00BB178D">
        <w:rPr>
          <w:rFonts w:cs="Arial"/>
          <w:szCs w:val="20"/>
        </w:rPr>
        <w:t>, 2024.</w:t>
      </w:r>
    </w:p>
    <w:bookmarkEnd w:id="3"/>
    <w:p w14:paraId="1CA495C3" w14:textId="77777777" w:rsidR="002363F3" w:rsidRPr="009F79A9" w:rsidRDefault="002363F3" w:rsidP="002363F3">
      <w:pPr>
        <w:numPr>
          <w:ilvl w:val="0"/>
          <w:numId w:val="22"/>
        </w:numPr>
        <w:rPr>
          <w:szCs w:val="20"/>
        </w:rPr>
      </w:pPr>
      <w:r w:rsidRPr="003C1637">
        <w:rPr>
          <w:rFonts w:cs="Arial"/>
          <w:szCs w:val="20"/>
        </w:rPr>
        <w:lastRenderedPageBreak/>
        <w:t>Evidence-Based Medicine Analysis: “</w:t>
      </w:r>
      <w:r w:rsidRPr="00D5162B">
        <w:rPr>
          <w:rFonts w:cs="Arial"/>
          <w:szCs w:val="20"/>
        </w:rPr>
        <w:t>Steroids for Muscular Dystrophy</w:t>
      </w:r>
      <w:r w:rsidRPr="003C1637">
        <w:rPr>
          <w:rFonts w:cs="Arial"/>
          <w:szCs w:val="20"/>
        </w:rPr>
        <w:t xml:space="preserve">”, UMKC-DIC; </w:t>
      </w:r>
      <w:r>
        <w:rPr>
          <w:rFonts w:cs="Arial"/>
          <w:szCs w:val="20"/>
        </w:rPr>
        <w:t>May</w:t>
      </w:r>
      <w:r w:rsidRPr="003C1637">
        <w:rPr>
          <w:rFonts w:cs="Arial"/>
          <w:szCs w:val="20"/>
        </w:rPr>
        <w:t xml:space="preserve"> 2024. </w:t>
      </w:r>
    </w:p>
    <w:p w14:paraId="71122C8F" w14:textId="77777777" w:rsidR="002363F3" w:rsidRPr="00DD1A2A" w:rsidRDefault="002363F3" w:rsidP="002363F3">
      <w:pPr>
        <w:numPr>
          <w:ilvl w:val="0"/>
          <w:numId w:val="22"/>
        </w:numPr>
        <w:rPr>
          <w:rFonts w:cs="Arial"/>
          <w:szCs w:val="20"/>
        </w:rPr>
      </w:pPr>
      <w:r w:rsidRPr="00DE7DA7">
        <w:rPr>
          <w:rFonts w:cs="Arial"/>
          <w:szCs w:val="20"/>
        </w:rPr>
        <w:t xml:space="preserve">IPD Analytics. CNS: Duchenne Muscular Dystrophy. Accessed </w:t>
      </w:r>
      <w:r>
        <w:rPr>
          <w:rFonts w:cs="Arial"/>
          <w:szCs w:val="20"/>
        </w:rPr>
        <w:t>June</w:t>
      </w:r>
      <w:r w:rsidRPr="00DE7DA7">
        <w:rPr>
          <w:rFonts w:cs="Arial"/>
          <w:szCs w:val="20"/>
        </w:rPr>
        <w:t xml:space="preserve"> </w:t>
      </w:r>
      <w:r>
        <w:rPr>
          <w:rFonts w:cs="Arial"/>
          <w:szCs w:val="20"/>
        </w:rPr>
        <w:t>5</w:t>
      </w:r>
      <w:r w:rsidRPr="00DE7DA7">
        <w:rPr>
          <w:rFonts w:cs="Arial"/>
          <w:szCs w:val="20"/>
        </w:rPr>
        <w:t>, 202</w:t>
      </w:r>
      <w:r>
        <w:rPr>
          <w:rFonts w:cs="Arial"/>
          <w:szCs w:val="20"/>
        </w:rPr>
        <w:t>4</w:t>
      </w:r>
      <w:r w:rsidRPr="00DE7DA7">
        <w:rPr>
          <w:rFonts w:cs="Arial"/>
          <w:szCs w:val="20"/>
        </w:rPr>
        <w:t>.</w:t>
      </w:r>
    </w:p>
    <w:p w14:paraId="6144582B" w14:textId="77777777" w:rsidR="002363F3" w:rsidRPr="008A0096" w:rsidRDefault="002363F3" w:rsidP="002363F3">
      <w:pPr>
        <w:numPr>
          <w:ilvl w:val="0"/>
          <w:numId w:val="22"/>
        </w:numPr>
        <w:rPr>
          <w:rFonts w:cs="Arial"/>
          <w:szCs w:val="20"/>
        </w:rPr>
      </w:pPr>
      <w:r w:rsidRPr="009F79A9">
        <w:rPr>
          <w:szCs w:val="20"/>
        </w:rPr>
        <w:t>Exondys 51 (eteplirsen) [package insert]. Cambridge, MA: Sarepta Therapeutics, Inc.; January 2022.</w:t>
      </w:r>
      <w:r w:rsidRPr="009F79A9">
        <w:t> </w:t>
      </w:r>
    </w:p>
    <w:p w14:paraId="15F74AF5" w14:textId="77777777" w:rsidR="002363F3" w:rsidRDefault="002363F3" w:rsidP="002363F3">
      <w:pPr>
        <w:numPr>
          <w:ilvl w:val="0"/>
          <w:numId w:val="22"/>
        </w:numPr>
        <w:rPr>
          <w:rFonts w:cs="Arial"/>
          <w:szCs w:val="20"/>
        </w:rPr>
      </w:pPr>
      <w:r w:rsidRPr="008A0096">
        <w:rPr>
          <w:rFonts w:cs="Arial"/>
          <w:szCs w:val="20"/>
        </w:rPr>
        <w:t>V</w:t>
      </w:r>
      <w:r>
        <w:rPr>
          <w:rFonts w:cs="Arial"/>
          <w:szCs w:val="20"/>
        </w:rPr>
        <w:t>yondys</w:t>
      </w:r>
      <w:r w:rsidRPr="008A0096">
        <w:rPr>
          <w:rFonts w:cs="Arial"/>
          <w:szCs w:val="20"/>
        </w:rPr>
        <w:t xml:space="preserve"> 53 (golodirsen) [package insert]. Cambridge, MA: Sarepta Therapeutics, Inc.; </w:t>
      </w:r>
      <w:r>
        <w:rPr>
          <w:rFonts w:cs="Arial"/>
          <w:szCs w:val="20"/>
        </w:rPr>
        <w:t>February 2021</w:t>
      </w:r>
      <w:r w:rsidRPr="008A0096">
        <w:rPr>
          <w:rFonts w:cs="Arial"/>
          <w:szCs w:val="20"/>
        </w:rPr>
        <w:t>.</w:t>
      </w:r>
    </w:p>
    <w:p w14:paraId="4B034A9B" w14:textId="77777777" w:rsidR="002363F3" w:rsidRDefault="002363F3" w:rsidP="002363F3">
      <w:pPr>
        <w:numPr>
          <w:ilvl w:val="0"/>
          <w:numId w:val="22"/>
        </w:numPr>
        <w:rPr>
          <w:rFonts w:cs="Arial"/>
          <w:szCs w:val="20"/>
        </w:rPr>
      </w:pPr>
      <w:r w:rsidRPr="00CA7DE6">
        <w:rPr>
          <w:rFonts w:cs="Arial"/>
          <w:szCs w:val="20"/>
        </w:rPr>
        <w:t>V</w:t>
      </w:r>
      <w:r>
        <w:rPr>
          <w:rFonts w:cs="Arial"/>
          <w:szCs w:val="20"/>
        </w:rPr>
        <w:t>iltepso</w:t>
      </w:r>
      <w:r w:rsidRPr="00CA7DE6">
        <w:rPr>
          <w:rFonts w:cs="Arial"/>
          <w:szCs w:val="20"/>
        </w:rPr>
        <w:t xml:space="preserve"> (viltolarsen) [package insert]. Paramus, NJ: NS Pharma, Inc.; </w:t>
      </w:r>
      <w:r>
        <w:rPr>
          <w:rFonts w:cs="Arial"/>
          <w:szCs w:val="20"/>
        </w:rPr>
        <w:t>March 2021</w:t>
      </w:r>
      <w:r w:rsidRPr="00CA7DE6">
        <w:rPr>
          <w:rFonts w:cs="Arial"/>
          <w:szCs w:val="20"/>
        </w:rPr>
        <w:t xml:space="preserve">. </w:t>
      </w:r>
    </w:p>
    <w:p w14:paraId="5851FF96" w14:textId="77777777" w:rsidR="002363F3" w:rsidRPr="00C016E4" w:rsidRDefault="002363F3" w:rsidP="002363F3">
      <w:pPr>
        <w:numPr>
          <w:ilvl w:val="0"/>
          <w:numId w:val="22"/>
        </w:numPr>
        <w:rPr>
          <w:rFonts w:cs="Arial"/>
          <w:szCs w:val="20"/>
        </w:rPr>
      </w:pPr>
      <w:r w:rsidRPr="00C016E4">
        <w:rPr>
          <w:rFonts w:cs="Arial"/>
          <w:szCs w:val="20"/>
        </w:rPr>
        <w:t>A</w:t>
      </w:r>
      <w:r>
        <w:rPr>
          <w:rFonts w:cs="Arial"/>
          <w:szCs w:val="20"/>
        </w:rPr>
        <w:t>mondys</w:t>
      </w:r>
      <w:r w:rsidRPr="00C016E4">
        <w:rPr>
          <w:rFonts w:cs="Arial"/>
          <w:szCs w:val="20"/>
        </w:rPr>
        <w:t xml:space="preserve"> 45 (casimersen) [package insert]. Cambridge, MA: Sarepta Therapeutics; </w:t>
      </w:r>
      <w:r>
        <w:rPr>
          <w:rFonts w:cs="Arial"/>
          <w:szCs w:val="20"/>
        </w:rPr>
        <w:t>March 2023.</w:t>
      </w:r>
    </w:p>
    <w:p w14:paraId="5CC7112E" w14:textId="77777777" w:rsidR="002363F3" w:rsidRPr="00CA7DE6" w:rsidRDefault="002363F3" w:rsidP="002363F3">
      <w:pPr>
        <w:numPr>
          <w:ilvl w:val="0"/>
          <w:numId w:val="22"/>
        </w:numPr>
        <w:rPr>
          <w:rFonts w:cs="Arial"/>
          <w:szCs w:val="20"/>
        </w:rPr>
      </w:pPr>
      <w:r w:rsidRPr="008A0096">
        <w:rPr>
          <w:rFonts w:cs="Arial"/>
          <w:szCs w:val="20"/>
        </w:rPr>
        <w:t xml:space="preserve">IPD Analytics. New Drug Review: </w:t>
      </w:r>
      <w:r w:rsidRPr="00CA7DE6">
        <w:rPr>
          <w:rFonts w:cs="Arial"/>
          <w:szCs w:val="20"/>
        </w:rPr>
        <w:t>Viltepso (viltolarsen)</w:t>
      </w:r>
      <w:r>
        <w:rPr>
          <w:rFonts w:cs="Arial"/>
          <w:szCs w:val="20"/>
        </w:rPr>
        <w:t>.  August 2020</w:t>
      </w:r>
      <w:r w:rsidRPr="008A0096">
        <w:rPr>
          <w:rFonts w:cs="Arial"/>
          <w:szCs w:val="20"/>
        </w:rPr>
        <w:t>.</w:t>
      </w:r>
    </w:p>
    <w:p w14:paraId="5BEAFCEF" w14:textId="77777777" w:rsidR="002363F3" w:rsidRDefault="002363F3" w:rsidP="002363F3">
      <w:pPr>
        <w:numPr>
          <w:ilvl w:val="0"/>
          <w:numId w:val="22"/>
        </w:numPr>
        <w:rPr>
          <w:rFonts w:cs="Arial"/>
          <w:szCs w:val="20"/>
        </w:rPr>
      </w:pPr>
      <w:r w:rsidRPr="008A0096">
        <w:rPr>
          <w:rFonts w:cs="Arial"/>
          <w:szCs w:val="20"/>
        </w:rPr>
        <w:t>IPD Analytics. New Drug Review: V</w:t>
      </w:r>
      <w:r>
        <w:rPr>
          <w:rFonts w:cs="Arial"/>
          <w:szCs w:val="20"/>
        </w:rPr>
        <w:t>yondys</w:t>
      </w:r>
      <w:r w:rsidRPr="008A0096">
        <w:rPr>
          <w:rFonts w:cs="Arial"/>
          <w:szCs w:val="20"/>
        </w:rPr>
        <w:t xml:space="preserve"> 53 (golodirsen). December 2019.</w:t>
      </w:r>
    </w:p>
    <w:p w14:paraId="60F633E4" w14:textId="77777777" w:rsidR="002363F3" w:rsidRPr="00051AC4" w:rsidRDefault="002363F3" w:rsidP="002363F3">
      <w:pPr>
        <w:numPr>
          <w:ilvl w:val="0"/>
          <w:numId w:val="22"/>
        </w:numPr>
        <w:rPr>
          <w:rFonts w:cs="Arial"/>
          <w:szCs w:val="20"/>
        </w:rPr>
      </w:pPr>
      <w:r w:rsidRPr="00C016E4">
        <w:rPr>
          <w:rFonts w:cs="Arial"/>
          <w:szCs w:val="20"/>
        </w:rPr>
        <w:t>IPD Analytics</w:t>
      </w:r>
      <w:r>
        <w:rPr>
          <w:rFonts w:cs="Arial"/>
          <w:szCs w:val="20"/>
        </w:rPr>
        <w:t>. N</w:t>
      </w:r>
      <w:r w:rsidRPr="00C016E4">
        <w:rPr>
          <w:rFonts w:cs="Arial"/>
          <w:szCs w:val="20"/>
        </w:rPr>
        <w:t>ew Drug Review: Amondys</w:t>
      </w:r>
      <w:r>
        <w:rPr>
          <w:rFonts w:cs="Arial"/>
          <w:szCs w:val="20"/>
        </w:rPr>
        <w:t xml:space="preserve"> 45 (casimersen)</w:t>
      </w:r>
      <w:r w:rsidRPr="00C016E4">
        <w:rPr>
          <w:rFonts w:cs="Arial"/>
          <w:szCs w:val="20"/>
        </w:rPr>
        <w:t xml:space="preserve">. </w:t>
      </w:r>
      <w:r>
        <w:rPr>
          <w:rFonts w:cs="Arial"/>
          <w:szCs w:val="20"/>
        </w:rPr>
        <w:t>March</w:t>
      </w:r>
      <w:r w:rsidRPr="00C016E4">
        <w:rPr>
          <w:rFonts w:cs="Arial"/>
          <w:szCs w:val="20"/>
        </w:rPr>
        <w:t xml:space="preserve"> 2021.</w:t>
      </w:r>
    </w:p>
    <w:p w14:paraId="60318E37" w14:textId="77777777" w:rsidR="002363F3" w:rsidRPr="00CA7DE6" w:rsidRDefault="002363F3" w:rsidP="002363F3">
      <w:pPr>
        <w:numPr>
          <w:ilvl w:val="0"/>
          <w:numId w:val="22"/>
        </w:numPr>
        <w:rPr>
          <w:rFonts w:cs="Arial"/>
          <w:szCs w:val="20"/>
        </w:rPr>
      </w:pPr>
      <w:r w:rsidRPr="008A0096">
        <w:rPr>
          <w:rFonts w:cs="Arial"/>
          <w:szCs w:val="20"/>
        </w:rPr>
        <w:t xml:space="preserve">IPD Analytics. New Drug Review: </w:t>
      </w:r>
      <w:r w:rsidRPr="00CA7DE6">
        <w:rPr>
          <w:rFonts w:cs="Arial"/>
          <w:szCs w:val="20"/>
        </w:rPr>
        <w:t>Viltepso (viltolarsen)</w:t>
      </w:r>
      <w:r>
        <w:rPr>
          <w:rFonts w:cs="Arial"/>
          <w:szCs w:val="20"/>
        </w:rPr>
        <w:t>.  August 2020</w:t>
      </w:r>
      <w:r w:rsidRPr="008A0096">
        <w:rPr>
          <w:rFonts w:cs="Arial"/>
          <w:szCs w:val="20"/>
        </w:rPr>
        <w:t>.</w:t>
      </w:r>
    </w:p>
    <w:p w14:paraId="6829AC65" w14:textId="77777777" w:rsidR="002363F3" w:rsidRDefault="002363F3" w:rsidP="002363F3">
      <w:pPr>
        <w:numPr>
          <w:ilvl w:val="0"/>
          <w:numId w:val="22"/>
        </w:numPr>
        <w:rPr>
          <w:rFonts w:cs="Arial"/>
          <w:szCs w:val="20"/>
        </w:rPr>
      </w:pPr>
      <w:r w:rsidRPr="008A0096">
        <w:rPr>
          <w:rFonts w:cs="Arial"/>
          <w:szCs w:val="20"/>
        </w:rPr>
        <w:t>IPD Analytics. New Drug Review: V</w:t>
      </w:r>
      <w:r>
        <w:rPr>
          <w:rFonts w:cs="Arial"/>
          <w:szCs w:val="20"/>
        </w:rPr>
        <w:t>yondys</w:t>
      </w:r>
      <w:r w:rsidRPr="008A0096">
        <w:rPr>
          <w:rFonts w:cs="Arial"/>
          <w:szCs w:val="20"/>
        </w:rPr>
        <w:t xml:space="preserve"> 53 (golodirsen). December 2019.</w:t>
      </w:r>
    </w:p>
    <w:p w14:paraId="21C7856C" w14:textId="77777777" w:rsidR="002363F3" w:rsidRPr="00DD1A2A" w:rsidRDefault="002363F3" w:rsidP="002363F3">
      <w:pPr>
        <w:numPr>
          <w:ilvl w:val="0"/>
          <w:numId w:val="22"/>
        </w:numPr>
        <w:rPr>
          <w:rFonts w:cs="Arial"/>
          <w:szCs w:val="20"/>
        </w:rPr>
      </w:pPr>
      <w:r w:rsidRPr="00C016E4">
        <w:rPr>
          <w:rFonts w:cs="Arial"/>
          <w:szCs w:val="20"/>
        </w:rPr>
        <w:t>IPD Analytics</w:t>
      </w:r>
      <w:r>
        <w:rPr>
          <w:rFonts w:cs="Arial"/>
          <w:szCs w:val="20"/>
        </w:rPr>
        <w:t>. N</w:t>
      </w:r>
      <w:r w:rsidRPr="00C016E4">
        <w:rPr>
          <w:rFonts w:cs="Arial"/>
          <w:szCs w:val="20"/>
        </w:rPr>
        <w:t>ew Drug Review: Amondys</w:t>
      </w:r>
      <w:r>
        <w:rPr>
          <w:rFonts w:cs="Arial"/>
          <w:szCs w:val="20"/>
        </w:rPr>
        <w:t xml:space="preserve"> 45 (casimersen)</w:t>
      </w:r>
      <w:r w:rsidRPr="00C016E4">
        <w:rPr>
          <w:rFonts w:cs="Arial"/>
          <w:szCs w:val="20"/>
        </w:rPr>
        <w:t xml:space="preserve">. </w:t>
      </w:r>
      <w:r>
        <w:rPr>
          <w:rFonts w:cs="Arial"/>
          <w:szCs w:val="20"/>
        </w:rPr>
        <w:t>March</w:t>
      </w:r>
      <w:r w:rsidRPr="00C016E4">
        <w:rPr>
          <w:rFonts w:cs="Arial"/>
          <w:szCs w:val="20"/>
        </w:rPr>
        <w:t xml:space="preserve"> 2021. </w:t>
      </w:r>
    </w:p>
    <w:p w14:paraId="7E5634D5" w14:textId="77777777" w:rsidR="002363F3" w:rsidRPr="009F79A9" w:rsidRDefault="002363F3" w:rsidP="002363F3">
      <w:pPr>
        <w:numPr>
          <w:ilvl w:val="0"/>
          <w:numId w:val="22"/>
        </w:numPr>
        <w:rPr>
          <w:rFonts w:cs="Arial"/>
          <w:szCs w:val="20"/>
        </w:rPr>
      </w:pPr>
      <w:r w:rsidRPr="009F79A9">
        <w:rPr>
          <w:rFonts w:cs="Arial"/>
          <w:szCs w:val="20"/>
        </w:rPr>
        <w:t>IPD Analytics. Emflaza (deflazacort)/Marathon: Summary of issues and management in patients with DMD. February 2017.</w:t>
      </w:r>
    </w:p>
    <w:p w14:paraId="4C35BCD9" w14:textId="77777777" w:rsidR="002363F3" w:rsidRPr="00DD1A2A" w:rsidRDefault="002363F3" w:rsidP="002363F3">
      <w:pPr>
        <w:numPr>
          <w:ilvl w:val="0"/>
          <w:numId w:val="22"/>
        </w:numPr>
        <w:rPr>
          <w:rStyle w:val="eop"/>
          <w:rFonts w:cs="Arial"/>
          <w:szCs w:val="20"/>
        </w:rPr>
      </w:pPr>
      <w:r w:rsidRPr="009F79A9">
        <w:rPr>
          <w:rFonts w:cs="Arial"/>
          <w:szCs w:val="20"/>
        </w:rPr>
        <w:t>Institute for Clinical and Economic Review (ICER). Final Evidence Report on Deflazacort, Eteplirsen, and Golodirsen for Duchenne Muscular Dystrophy: Effectiveness and Value. Published August 15,</w:t>
      </w:r>
      <w:r w:rsidRPr="009F79A9">
        <w:t xml:space="preserve"> </w:t>
      </w:r>
      <w:r w:rsidRPr="009F79A9">
        <w:rPr>
          <w:rFonts w:cs="Arial"/>
          <w:szCs w:val="20"/>
        </w:rPr>
        <w:t>2019</w:t>
      </w:r>
    </w:p>
    <w:p w14:paraId="449AB935" w14:textId="7F93E9B4" w:rsidR="002363F3" w:rsidRPr="00CA7DE6" w:rsidRDefault="002363F3" w:rsidP="002363F3">
      <w:pPr>
        <w:pStyle w:val="ListParagraph"/>
        <w:numPr>
          <w:ilvl w:val="0"/>
          <w:numId w:val="22"/>
        </w:numPr>
        <w:rPr>
          <w:rFonts w:cs="Arial"/>
          <w:szCs w:val="20"/>
        </w:rPr>
      </w:pPr>
      <w:r w:rsidRPr="00CA7DE6">
        <w:rPr>
          <w:rFonts w:cs="Arial"/>
          <w:szCs w:val="20"/>
        </w:rPr>
        <w:t>NIH: U.S. National Library of Medicine. “Safety and Dose Finding Study of NS-065/NCNP-01 in Boys with Duchenne Muscular Dystrophy (DMD).</w:t>
      </w:r>
      <w:r>
        <w:rPr>
          <w:rFonts w:cs="Arial"/>
          <w:szCs w:val="20"/>
        </w:rPr>
        <w:t xml:space="preserve"> </w:t>
      </w:r>
      <w:r w:rsidRPr="00DC2045">
        <w:rPr>
          <w:rFonts w:eastAsiaTheme="majorEastAsia" w:cs="Arial"/>
          <w:szCs w:val="20"/>
        </w:rPr>
        <w:t>https://clinicaltrials.gov/ct2/show/NCT02740972?term=NCT02740972&amp;draw=2&amp;rank=1</w:t>
      </w:r>
      <w:r>
        <w:rPr>
          <w:rFonts w:cs="Arial"/>
          <w:szCs w:val="20"/>
        </w:rPr>
        <w:t xml:space="preserve"> </w:t>
      </w:r>
      <w:r w:rsidRPr="00CA7DE6">
        <w:rPr>
          <w:rFonts w:cs="Arial"/>
          <w:szCs w:val="20"/>
        </w:rPr>
        <w:t xml:space="preserve">Accessed </w:t>
      </w:r>
      <w:r>
        <w:rPr>
          <w:rFonts w:cs="Arial"/>
          <w:szCs w:val="20"/>
        </w:rPr>
        <w:t xml:space="preserve">May 16, 2022. </w:t>
      </w:r>
    </w:p>
    <w:p w14:paraId="7EC00110" w14:textId="77777777" w:rsidR="002363F3" w:rsidRPr="008A0096" w:rsidRDefault="002363F3" w:rsidP="002363F3">
      <w:pPr>
        <w:pStyle w:val="paragraph"/>
        <w:numPr>
          <w:ilvl w:val="0"/>
          <w:numId w:val="22"/>
        </w:numPr>
        <w:spacing w:before="0" w:beforeAutospacing="0" w:after="0" w:afterAutospacing="0"/>
        <w:textAlignment w:val="baseline"/>
        <w:rPr>
          <w:rFonts w:cs="Arial"/>
          <w:szCs w:val="20"/>
        </w:rPr>
      </w:pPr>
      <w:r w:rsidRPr="008A0096">
        <w:rPr>
          <w:rFonts w:cs="Arial"/>
          <w:szCs w:val="20"/>
        </w:rPr>
        <w:t>Birnkrant DJ, Bushby K, Bann CM, et al.  Diagnosis and management of Duchenne muscular dystrophy, part 1: diagnosis, and neuromuscular, rehabilitation, endocrine, and gastrointestinal and nutritional management. Lancet Neurol. 2018 Mar;17(3):251-267. doi: 10.1016/S1474-4422(18)30024-3. Epub 2018 Feb 3.</w:t>
      </w:r>
    </w:p>
    <w:p w14:paraId="26F5C8B6" w14:textId="77777777" w:rsidR="002363F3" w:rsidRPr="008A0096" w:rsidRDefault="002363F3" w:rsidP="002363F3">
      <w:pPr>
        <w:pStyle w:val="paragraph"/>
        <w:numPr>
          <w:ilvl w:val="0"/>
          <w:numId w:val="22"/>
        </w:numPr>
        <w:spacing w:before="0" w:beforeAutospacing="0" w:after="0" w:afterAutospacing="0"/>
        <w:textAlignment w:val="baseline"/>
        <w:rPr>
          <w:rFonts w:cs="Arial"/>
          <w:szCs w:val="20"/>
        </w:rPr>
      </w:pPr>
      <w:r w:rsidRPr="008A0096">
        <w:rPr>
          <w:rFonts w:cs="Arial"/>
          <w:szCs w:val="20"/>
        </w:rPr>
        <w:t>Birnkrant DJ, Bushby K, Bann CM, et al.  Diagnosis and management of Duchenne muscular dystrophy, part 2: respiratory, cardiac, bone health, and orthopaedic management. Lancet Neurol. 2018 Apr;17(4):347-361. doi: 10.1016/S1474-4422(18)30025-5. Epub 2018 Feb 3.</w:t>
      </w:r>
    </w:p>
    <w:p w14:paraId="3E21B85F" w14:textId="77777777" w:rsidR="002363F3" w:rsidRPr="008A0096" w:rsidRDefault="002363F3" w:rsidP="002363F3">
      <w:pPr>
        <w:pStyle w:val="paragraph"/>
        <w:numPr>
          <w:ilvl w:val="0"/>
          <w:numId w:val="22"/>
        </w:numPr>
        <w:spacing w:before="0" w:beforeAutospacing="0" w:after="0" w:afterAutospacing="0"/>
        <w:textAlignment w:val="baseline"/>
        <w:rPr>
          <w:rFonts w:cs="Arial"/>
          <w:szCs w:val="20"/>
        </w:rPr>
      </w:pPr>
      <w:r w:rsidRPr="008A0096">
        <w:rPr>
          <w:rFonts w:cs="Arial"/>
          <w:szCs w:val="20"/>
        </w:rPr>
        <w:t>Birnkrant DJ, Bushby K, Bann CM, et al.  Diagnosis and management of Duchenne muscular dystrophy, part 3: primary care, emergency management, psychosocial care, and transitions of care across the lifespan. Lancet Neurol. 2018 May;17(5):445-455. doi: 10.1016/S1474-4422(18)30026-7. Epub 2018 Feb 2.</w:t>
      </w:r>
    </w:p>
    <w:p w14:paraId="2EAAEE94" w14:textId="77777777" w:rsidR="002363F3" w:rsidRDefault="002363F3" w:rsidP="002363F3">
      <w:pPr>
        <w:pStyle w:val="paragraph"/>
        <w:numPr>
          <w:ilvl w:val="0"/>
          <w:numId w:val="22"/>
        </w:numPr>
        <w:spacing w:before="0" w:beforeAutospacing="0" w:after="0" w:afterAutospacing="0"/>
        <w:textAlignment w:val="baseline"/>
        <w:rPr>
          <w:rFonts w:cs="Arial"/>
          <w:szCs w:val="20"/>
        </w:rPr>
      </w:pPr>
      <w:r w:rsidRPr="002C3850">
        <w:rPr>
          <w:rFonts w:cs="Arial"/>
          <w:szCs w:val="20"/>
          <w:lang w:val="it-IT"/>
        </w:rPr>
        <w:t xml:space="preserve">Guglieri M, Bushby K, McDermott M, et al. </w:t>
      </w:r>
      <w:r w:rsidRPr="008A0096">
        <w:rPr>
          <w:rFonts w:cs="Arial"/>
          <w:szCs w:val="20"/>
        </w:rPr>
        <w:t>Developing Standardized Corticosteroid Treatment for Duchenne Muscular Dystrophy. Contemp Clin Trials. 2017 July;58: 34–39. doi:10.1016/j.cct.2017.04.008.</w:t>
      </w:r>
    </w:p>
    <w:p w14:paraId="6E8F63FA" w14:textId="77777777" w:rsidR="002363F3" w:rsidRDefault="002363F3" w:rsidP="002363F3">
      <w:pPr>
        <w:pStyle w:val="paragraph"/>
        <w:numPr>
          <w:ilvl w:val="0"/>
          <w:numId w:val="22"/>
        </w:numPr>
        <w:spacing w:before="0" w:beforeAutospacing="0" w:after="0" w:afterAutospacing="0"/>
        <w:textAlignment w:val="baseline"/>
        <w:rPr>
          <w:rFonts w:cs="Arial"/>
          <w:szCs w:val="20"/>
        </w:rPr>
      </w:pPr>
      <w:r w:rsidRPr="00DE7DA7">
        <w:rPr>
          <w:rFonts w:cs="Arial"/>
          <w:szCs w:val="20"/>
        </w:rPr>
        <w:t>Elevidys [package insert]. Cambridge, MA: Sarepta Therapeutics, Inc.; October 2023</w:t>
      </w:r>
    </w:p>
    <w:p w14:paraId="0DFB6137" w14:textId="77777777" w:rsidR="002363F3" w:rsidRDefault="002363F3" w:rsidP="002363F3">
      <w:pPr>
        <w:pStyle w:val="paragraph"/>
        <w:numPr>
          <w:ilvl w:val="0"/>
          <w:numId w:val="22"/>
        </w:numPr>
        <w:spacing w:before="0" w:beforeAutospacing="0" w:after="0" w:afterAutospacing="0"/>
        <w:textAlignment w:val="baseline"/>
        <w:rPr>
          <w:rFonts w:cs="Arial"/>
          <w:szCs w:val="20"/>
        </w:rPr>
      </w:pPr>
      <w:r w:rsidRPr="00DE7DA7">
        <w:rPr>
          <w:rFonts w:cs="Arial"/>
          <w:szCs w:val="20"/>
        </w:rPr>
        <w:t>IPD analytics. New drug review. Elevidys (delandistrogene moxeparvovec-rokl). July 2023.</w:t>
      </w:r>
    </w:p>
    <w:p w14:paraId="7FCD23F6" w14:textId="77777777" w:rsidR="002363F3" w:rsidRDefault="002363F3" w:rsidP="002363F3">
      <w:pPr>
        <w:pStyle w:val="paragraph"/>
        <w:numPr>
          <w:ilvl w:val="0"/>
          <w:numId w:val="22"/>
        </w:numPr>
        <w:spacing w:before="0" w:beforeAutospacing="0" w:after="0" w:afterAutospacing="0"/>
        <w:textAlignment w:val="baseline"/>
        <w:rPr>
          <w:rFonts w:cs="Arial"/>
          <w:szCs w:val="20"/>
        </w:rPr>
      </w:pPr>
      <w:r w:rsidRPr="00DE7DA7">
        <w:rPr>
          <w:rFonts w:cs="Arial"/>
          <w:szCs w:val="20"/>
        </w:rPr>
        <w:t>IPD Analytics. CNS: Duchenne Muscular Dystrophy. Accessed November 6, 2023.</w:t>
      </w:r>
    </w:p>
    <w:p w14:paraId="7BE9A247" w14:textId="77777777" w:rsidR="002363F3" w:rsidRPr="0017656D" w:rsidRDefault="002363F3" w:rsidP="002363F3">
      <w:pPr>
        <w:pStyle w:val="paragraph"/>
        <w:numPr>
          <w:ilvl w:val="0"/>
          <w:numId w:val="22"/>
        </w:numPr>
        <w:textAlignment w:val="baseline"/>
        <w:rPr>
          <w:rFonts w:cs="Arial"/>
          <w:szCs w:val="20"/>
        </w:rPr>
      </w:pPr>
      <w:r w:rsidRPr="0017656D">
        <w:rPr>
          <w:rFonts w:cs="Arial"/>
          <w:szCs w:val="20"/>
        </w:rPr>
        <w:t xml:space="preserve">Emflaza (deflazacort) [package insert]. South Plainfield, NJ: PTC Therapeutics, Inc.; May 2024. </w:t>
      </w:r>
    </w:p>
    <w:p w14:paraId="4D037F32" w14:textId="77777777" w:rsidR="002363F3" w:rsidRPr="0017656D" w:rsidRDefault="002363F3" w:rsidP="002363F3">
      <w:pPr>
        <w:pStyle w:val="paragraph"/>
        <w:numPr>
          <w:ilvl w:val="0"/>
          <w:numId w:val="22"/>
        </w:numPr>
        <w:textAlignment w:val="baseline"/>
        <w:rPr>
          <w:rFonts w:cs="Arial"/>
          <w:szCs w:val="20"/>
        </w:rPr>
      </w:pPr>
      <w:r w:rsidRPr="0017656D">
        <w:rPr>
          <w:rFonts w:cs="Arial"/>
          <w:szCs w:val="20"/>
        </w:rPr>
        <w:t>Agamree (vamorolone) [package insert]. Coral Gables, FL: Catalyst Pharmaceuticals, Inc.; March 2024.</w:t>
      </w:r>
    </w:p>
    <w:p w14:paraId="1A336F51" w14:textId="77777777" w:rsidR="002363F3" w:rsidRDefault="002363F3" w:rsidP="002363F3">
      <w:pPr>
        <w:pStyle w:val="paragraph"/>
        <w:numPr>
          <w:ilvl w:val="0"/>
          <w:numId w:val="22"/>
        </w:numPr>
        <w:textAlignment w:val="baseline"/>
        <w:rPr>
          <w:rFonts w:cs="Arial"/>
          <w:szCs w:val="20"/>
        </w:rPr>
      </w:pPr>
      <w:r w:rsidRPr="0017656D">
        <w:rPr>
          <w:rFonts w:cs="Arial"/>
          <w:szCs w:val="20"/>
        </w:rPr>
        <w:t>IPD Analytics. New Drug Review: Agamree (vamorolone). Published November 2023. Accessed June 3, 2024.</w:t>
      </w:r>
    </w:p>
    <w:p w14:paraId="42423B36" w14:textId="77777777" w:rsidR="002363F3" w:rsidRPr="0060057D" w:rsidRDefault="002363F3" w:rsidP="002363F3">
      <w:pPr>
        <w:pStyle w:val="ListParagraph"/>
        <w:numPr>
          <w:ilvl w:val="0"/>
          <w:numId w:val="22"/>
        </w:numPr>
        <w:spacing w:after="200" w:line="276" w:lineRule="auto"/>
        <w:rPr>
          <w:rFonts w:cs="Arial"/>
          <w:szCs w:val="20"/>
          <w:shd w:val="clear" w:color="auto" w:fill="FFFFFF"/>
        </w:rPr>
      </w:pPr>
      <w:r w:rsidRPr="0060057D">
        <w:rPr>
          <w:rFonts w:cs="Arial"/>
          <w:szCs w:val="20"/>
          <w:shd w:val="clear" w:color="auto" w:fill="FFFFFF"/>
        </w:rPr>
        <w:t xml:space="preserve">Duvyzat (givinostat) [package insert]. </w:t>
      </w:r>
      <w:sdt>
        <w:sdtPr>
          <w:rPr>
            <w:rFonts w:cs="Arial"/>
            <w:szCs w:val="20"/>
            <w:shd w:val="clear" w:color="auto" w:fill="FFFFFF"/>
          </w:rPr>
          <w:id w:val="-1095638733"/>
          <w:placeholder>
            <w:docPart w:val="85366618E85F4316836671212AB567E6"/>
          </w:placeholder>
          <w:text/>
        </w:sdtPr>
        <w:sdtEndPr/>
        <w:sdtContent>
          <w:r w:rsidRPr="0060057D">
            <w:rPr>
              <w:rFonts w:cs="Arial"/>
              <w:szCs w:val="20"/>
              <w:shd w:val="clear" w:color="auto" w:fill="FFFFFF"/>
            </w:rPr>
            <w:t>Concord, MA</w:t>
          </w:r>
        </w:sdtContent>
      </w:sdt>
      <w:r w:rsidRPr="0060057D">
        <w:rPr>
          <w:rFonts w:cs="Arial"/>
          <w:szCs w:val="20"/>
          <w:shd w:val="clear" w:color="auto" w:fill="FFFFFF"/>
        </w:rPr>
        <w:t xml:space="preserve">: </w:t>
      </w:r>
      <w:sdt>
        <w:sdtPr>
          <w:rPr>
            <w:rFonts w:cs="Arial"/>
            <w:szCs w:val="20"/>
            <w:shd w:val="clear" w:color="auto" w:fill="FFFFFF"/>
          </w:rPr>
          <w:id w:val="1787229472"/>
          <w:placeholder>
            <w:docPart w:val="5FC382B1CD324DD1B5959374D1824FC8"/>
          </w:placeholder>
          <w:text/>
        </w:sdtPr>
        <w:sdtEndPr/>
        <w:sdtContent>
          <w:r w:rsidRPr="0060057D">
            <w:rPr>
              <w:rFonts w:cs="Arial"/>
              <w:szCs w:val="20"/>
              <w:shd w:val="clear" w:color="auto" w:fill="FFFFFF"/>
            </w:rPr>
            <w:t>ITF Therapeutics, LLC</w:t>
          </w:r>
        </w:sdtContent>
      </w:sdt>
      <w:r w:rsidRPr="0060057D">
        <w:rPr>
          <w:rFonts w:cs="Arial"/>
          <w:szCs w:val="20"/>
          <w:shd w:val="clear" w:color="auto" w:fill="FFFFFF"/>
        </w:rPr>
        <w:t xml:space="preserve">; </w:t>
      </w:r>
      <w:sdt>
        <w:sdtPr>
          <w:rPr>
            <w:rFonts w:cs="Arial"/>
            <w:szCs w:val="20"/>
            <w:shd w:val="clear" w:color="auto" w:fill="FFFFFF"/>
          </w:rPr>
          <w:id w:val="-2063005349"/>
          <w:placeholder>
            <w:docPart w:val="E0F704C1672748748F64E76F832576EE"/>
          </w:placeholder>
          <w:text/>
        </w:sdtPr>
        <w:sdtEndPr/>
        <w:sdtContent>
          <w:r w:rsidRPr="0060057D">
            <w:rPr>
              <w:rFonts w:cs="Arial"/>
              <w:szCs w:val="20"/>
              <w:shd w:val="clear" w:color="auto" w:fill="FFFFFF"/>
            </w:rPr>
            <w:t>March 2024</w:t>
          </w:r>
        </w:sdtContent>
      </w:sdt>
    </w:p>
    <w:p w14:paraId="3FA1E7DB" w14:textId="67C46B35" w:rsidR="00777CA4" w:rsidRPr="002363F3" w:rsidRDefault="002363F3" w:rsidP="002363F3">
      <w:pPr>
        <w:pStyle w:val="ListParagraph"/>
        <w:numPr>
          <w:ilvl w:val="0"/>
          <w:numId w:val="22"/>
        </w:numPr>
        <w:spacing w:after="200" w:line="276" w:lineRule="auto"/>
        <w:rPr>
          <w:rFonts w:cs="Arial"/>
          <w:szCs w:val="20"/>
          <w:shd w:val="clear" w:color="auto" w:fill="FFFFFF"/>
        </w:rPr>
      </w:pPr>
      <w:r w:rsidRPr="0060057D">
        <w:rPr>
          <w:rFonts w:cs="Arial"/>
          <w:szCs w:val="20"/>
          <w:shd w:val="clear" w:color="auto" w:fill="FFFFFF"/>
        </w:rPr>
        <w:t>IPD Analytics. New Drug Review: Duvyzat (givinostat). Published May 2024. Accessed September 20, 2024</w:t>
      </w:r>
      <w:r>
        <w:rPr>
          <w:rFonts w:cs="Arial"/>
          <w:szCs w:val="20"/>
          <w:shd w:val="clear" w:color="auto" w:fill="FFFFFF"/>
        </w:rPr>
        <w:t>.</w:t>
      </w:r>
    </w:p>
    <w:sectPr w:rsidR="00777CA4" w:rsidRPr="002363F3"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3738" w14:textId="77777777" w:rsidR="00A07E88" w:rsidRPr="00C02553" w:rsidRDefault="00A07E88" w:rsidP="00AE77DB">
      <w:r w:rsidRPr="00C02553">
        <w:separator/>
      </w:r>
    </w:p>
  </w:endnote>
  <w:endnote w:type="continuationSeparator" w:id="0">
    <w:p w14:paraId="3F65E59B" w14:textId="77777777" w:rsidR="00A07E88" w:rsidRPr="00C02553" w:rsidRDefault="00A07E88" w:rsidP="00AE77DB">
      <w:r w:rsidRPr="00C02553">
        <w:continuationSeparator/>
      </w:r>
    </w:p>
  </w:endnote>
  <w:endnote w:type="continuationNotice" w:id="1">
    <w:p w14:paraId="2E967036" w14:textId="77777777" w:rsidR="00A07E88" w:rsidRPr="00C02553" w:rsidRDefault="00A07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B90B" w14:textId="77777777" w:rsidR="00A07E88" w:rsidRPr="00C02553" w:rsidRDefault="00A07E88" w:rsidP="00AE77DB">
      <w:r w:rsidRPr="00C02553">
        <w:separator/>
      </w:r>
    </w:p>
  </w:footnote>
  <w:footnote w:type="continuationSeparator" w:id="0">
    <w:p w14:paraId="5AF60F51" w14:textId="77777777" w:rsidR="00A07E88" w:rsidRPr="00C02553" w:rsidRDefault="00A07E88" w:rsidP="00AE77DB">
      <w:r w:rsidRPr="00C02553">
        <w:continuationSeparator/>
      </w:r>
    </w:p>
  </w:footnote>
  <w:footnote w:type="continuationNotice" w:id="1">
    <w:p w14:paraId="7219C30A" w14:textId="77777777" w:rsidR="00A07E88" w:rsidRPr="00C02553" w:rsidRDefault="00A07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F06CEB">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F06CEB">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F06CEB">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1EB0EE2"/>
    <w:multiLevelType w:val="hybridMultilevel"/>
    <w:tmpl w:val="3AC89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FA15D5"/>
    <w:multiLevelType w:val="hybridMultilevel"/>
    <w:tmpl w:val="68668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D4B29"/>
    <w:multiLevelType w:val="hybridMultilevel"/>
    <w:tmpl w:val="9054689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DEE49578">
      <w:start w:val="1"/>
      <w:numFmt w:val="bullet"/>
      <w:lvlText w:val=""/>
      <w:lvlJc w:val="left"/>
      <w:pPr>
        <w:ind w:left="1080" w:hanging="360"/>
      </w:pPr>
      <w:rPr>
        <w:rFonts w:ascii="Wingdings" w:hAnsi="Wingdings" w:hint="default"/>
        <w:color w:val="auto"/>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CDA2D99"/>
    <w:multiLevelType w:val="hybridMultilevel"/>
    <w:tmpl w:val="397A90F6"/>
    <w:lvl w:ilvl="0" w:tplc="04090001">
      <w:start w:val="1"/>
      <w:numFmt w:val="bullet"/>
      <w:lvlText w:val=""/>
      <w:lvlJc w:val="left"/>
      <w:pPr>
        <w:ind w:left="360" w:hanging="360"/>
      </w:pPr>
      <w:rPr>
        <w:rFonts w:ascii="Symbol" w:hAnsi="Symbol" w:hint="default"/>
      </w:rPr>
    </w:lvl>
    <w:lvl w:ilvl="1" w:tplc="3AA65EA6">
      <w:start w:val="1"/>
      <w:numFmt w:val="bullet"/>
      <w:lvlText w:val="o"/>
      <w:lvlJc w:val="left"/>
      <w:pPr>
        <w:ind w:left="720" w:hanging="360"/>
      </w:pPr>
      <w:rPr>
        <w:rFonts w:ascii="Courier New" w:hAnsi="Courier New" w:hint="default"/>
      </w:rPr>
    </w:lvl>
    <w:lvl w:ilvl="2" w:tplc="5A525322">
      <w:start w:val="1"/>
      <w:numFmt w:val="bullet"/>
      <w:lvlText w:val=""/>
      <w:lvlJc w:val="left"/>
      <w:pPr>
        <w:ind w:left="360" w:firstLine="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AD7092"/>
    <w:multiLevelType w:val="hybridMultilevel"/>
    <w:tmpl w:val="E834C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865CE9"/>
    <w:multiLevelType w:val="hybridMultilevel"/>
    <w:tmpl w:val="D29670BE"/>
    <w:lvl w:ilvl="0" w:tplc="FEFE08B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064CF6"/>
    <w:multiLevelType w:val="hybridMultilevel"/>
    <w:tmpl w:val="3E2812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1"/>
  </w:num>
  <w:num w:numId="3" w16cid:durableId="1729067566">
    <w:abstractNumId w:val="4"/>
  </w:num>
  <w:num w:numId="4" w16cid:durableId="320159068">
    <w:abstractNumId w:val="10"/>
  </w:num>
  <w:num w:numId="5" w16cid:durableId="1769498754">
    <w:abstractNumId w:val="3"/>
  </w:num>
  <w:num w:numId="6" w16cid:durableId="1094596320">
    <w:abstractNumId w:val="18"/>
  </w:num>
  <w:num w:numId="7" w16cid:durableId="2110008555">
    <w:abstractNumId w:val="2"/>
  </w:num>
  <w:num w:numId="8" w16cid:durableId="489712751">
    <w:abstractNumId w:val="8"/>
  </w:num>
  <w:num w:numId="9" w16cid:durableId="1085147965">
    <w:abstractNumId w:val="14"/>
  </w:num>
  <w:num w:numId="10" w16cid:durableId="917518096">
    <w:abstractNumId w:val="11"/>
  </w:num>
  <w:num w:numId="11" w16cid:durableId="1894998475">
    <w:abstractNumId w:val="1"/>
  </w:num>
  <w:num w:numId="12" w16cid:durableId="1418215296">
    <w:abstractNumId w:val="19"/>
  </w:num>
  <w:num w:numId="13" w16cid:durableId="604729665">
    <w:abstractNumId w:val="6"/>
  </w:num>
  <w:num w:numId="14" w16cid:durableId="1805081292">
    <w:abstractNumId w:val="17"/>
  </w:num>
  <w:num w:numId="15" w16cid:durableId="1911186802">
    <w:abstractNumId w:val="7"/>
  </w:num>
  <w:num w:numId="16" w16cid:durableId="751321465">
    <w:abstractNumId w:val="16"/>
  </w:num>
  <w:num w:numId="17" w16cid:durableId="270086867">
    <w:abstractNumId w:val="5"/>
  </w:num>
  <w:num w:numId="18" w16cid:durableId="183176770">
    <w:abstractNumId w:val="13"/>
  </w:num>
  <w:num w:numId="19" w16cid:durableId="682165292">
    <w:abstractNumId w:val="12"/>
  </w:num>
  <w:num w:numId="20" w16cid:durableId="1857772971">
    <w:abstractNumId w:val="20"/>
  </w:num>
  <w:num w:numId="21" w16cid:durableId="1825583791">
    <w:abstractNumId w:val="9"/>
  </w:num>
  <w:num w:numId="22" w16cid:durableId="28161895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1038"/>
    <w:rsid w:val="0000390A"/>
    <w:rsid w:val="0000457E"/>
    <w:rsid w:val="00006A61"/>
    <w:rsid w:val="00025D48"/>
    <w:rsid w:val="000276D9"/>
    <w:rsid w:val="000344C5"/>
    <w:rsid w:val="00040AD3"/>
    <w:rsid w:val="00053807"/>
    <w:rsid w:val="000572E5"/>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15A04"/>
    <w:rsid w:val="00125F5F"/>
    <w:rsid w:val="00126951"/>
    <w:rsid w:val="00126B60"/>
    <w:rsid w:val="00127EF6"/>
    <w:rsid w:val="001310AD"/>
    <w:rsid w:val="001314A5"/>
    <w:rsid w:val="00132C7F"/>
    <w:rsid w:val="00144DBE"/>
    <w:rsid w:val="00152C8B"/>
    <w:rsid w:val="0015636A"/>
    <w:rsid w:val="00167DEF"/>
    <w:rsid w:val="00172053"/>
    <w:rsid w:val="00174E1A"/>
    <w:rsid w:val="001774DC"/>
    <w:rsid w:val="00177A80"/>
    <w:rsid w:val="001A50CB"/>
    <w:rsid w:val="001A74B7"/>
    <w:rsid w:val="001B2D47"/>
    <w:rsid w:val="001C0250"/>
    <w:rsid w:val="001C6DA4"/>
    <w:rsid w:val="001C73B1"/>
    <w:rsid w:val="001D05D6"/>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363F3"/>
    <w:rsid w:val="00246564"/>
    <w:rsid w:val="00246A3B"/>
    <w:rsid w:val="00250FBF"/>
    <w:rsid w:val="00255404"/>
    <w:rsid w:val="0025594F"/>
    <w:rsid w:val="002654F2"/>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2D8D"/>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7532E"/>
    <w:rsid w:val="003878C1"/>
    <w:rsid w:val="003962DF"/>
    <w:rsid w:val="00396C0B"/>
    <w:rsid w:val="003A630F"/>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46BBC"/>
    <w:rsid w:val="004472C0"/>
    <w:rsid w:val="00450705"/>
    <w:rsid w:val="00451928"/>
    <w:rsid w:val="00460B5D"/>
    <w:rsid w:val="0046618B"/>
    <w:rsid w:val="0048608C"/>
    <w:rsid w:val="00496E57"/>
    <w:rsid w:val="004A1F82"/>
    <w:rsid w:val="004B26FB"/>
    <w:rsid w:val="004B3E10"/>
    <w:rsid w:val="004C0F5D"/>
    <w:rsid w:val="004C375A"/>
    <w:rsid w:val="004C4954"/>
    <w:rsid w:val="004C5767"/>
    <w:rsid w:val="004D0080"/>
    <w:rsid w:val="004D5322"/>
    <w:rsid w:val="004D78B0"/>
    <w:rsid w:val="004E611F"/>
    <w:rsid w:val="004F237A"/>
    <w:rsid w:val="004F2A79"/>
    <w:rsid w:val="004F4D37"/>
    <w:rsid w:val="004F6E1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C49CF"/>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0B31"/>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1931"/>
    <w:rsid w:val="00757826"/>
    <w:rsid w:val="00762B13"/>
    <w:rsid w:val="007632B7"/>
    <w:rsid w:val="0076382F"/>
    <w:rsid w:val="00765768"/>
    <w:rsid w:val="00765D10"/>
    <w:rsid w:val="00766AC8"/>
    <w:rsid w:val="00767486"/>
    <w:rsid w:val="0077070E"/>
    <w:rsid w:val="0077296A"/>
    <w:rsid w:val="00777CA4"/>
    <w:rsid w:val="00786F6F"/>
    <w:rsid w:val="00792DF0"/>
    <w:rsid w:val="0079438F"/>
    <w:rsid w:val="007A3034"/>
    <w:rsid w:val="007A527E"/>
    <w:rsid w:val="007A53E7"/>
    <w:rsid w:val="007A78F7"/>
    <w:rsid w:val="007B3333"/>
    <w:rsid w:val="007B379F"/>
    <w:rsid w:val="007B37D6"/>
    <w:rsid w:val="007B5D30"/>
    <w:rsid w:val="007D2920"/>
    <w:rsid w:val="007D42DD"/>
    <w:rsid w:val="007E368B"/>
    <w:rsid w:val="007E6A37"/>
    <w:rsid w:val="007F1774"/>
    <w:rsid w:val="007F593C"/>
    <w:rsid w:val="00800A5D"/>
    <w:rsid w:val="00811A70"/>
    <w:rsid w:val="00811C6E"/>
    <w:rsid w:val="0081406E"/>
    <w:rsid w:val="00832211"/>
    <w:rsid w:val="008325F4"/>
    <w:rsid w:val="00832AC8"/>
    <w:rsid w:val="00846FA4"/>
    <w:rsid w:val="008524BA"/>
    <w:rsid w:val="00852B74"/>
    <w:rsid w:val="00856928"/>
    <w:rsid w:val="00856D87"/>
    <w:rsid w:val="00865538"/>
    <w:rsid w:val="00870875"/>
    <w:rsid w:val="0088225C"/>
    <w:rsid w:val="00884026"/>
    <w:rsid w:val="00884C78"/>
    <w:rsid w:val="008859E1"/>
    <w:rsid w:val="00896264"/>
    <w:rsid w:val="008A5D88"/>
    <w:rsid w:val="008B12E7"/>
    <w:rsid w:val="008B2851"/>
    <w:rsid w:val="008C000E"/>
    <w:rsid w:val="008D0F2F"/>
    <w:rsid w:val="008D237F"/>
    <w:rsid w:val="008D6B05"/>
    <w:rsid w:val="008E7D2D"/>
    <w:rsid w:val="008F06E7"/>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07E88"/>
    <w:rsid w:val="00A13266"/>
    <w:rsid w:val="00A14FA6"/>
    <w:rsid w:val="00A15D64"/>
    <w:rsid w:val="00A20575"/>
    <w:rsid w:val="00A32452"/>
    <w:rsid w:val="00A325CC"/>
    <w:rsid w:val="00A32BBF"/>
    <w:rsid w:val="00A35BD4"/>
    <w:rsid w:val="00A37444"/>
    <w:rsid w:val="00A4281A"/>
    <w:rsid w:val="00A459CF"/>
    <w:rsid w:val="00A5014D"/>
    <w:rsid w:val="00A53E96"/>
    <w:rsid w:val="00A56F18"/>
    <w:rsid w:val="00A628F8"/>
    <w:rsid w:val="00A62BAA"/>
    <w:rsid w:val="00A66172"/>
    <w:rsid w:val="00A6793A"/>
    <w:rsid w:val="00A744C3"/>
    <w:rsid w:val="00AA70AB"/>
    <w:rsid w:val="00AB0B9F"/>
    <w:rsid w:val="00AB1713"/>
    <w:rsid w:val="00AB63BE"/>
    <w:rsid w:val="00AC1EBC"/>
    <w:rsid w:val="00AC2599"/>
    <w:rsid w:val="00AC2DE9"/>
    <w:rsid w:val="00AC3CD9"/>
    <w:rsid w:val="00AD2C5F"/>
    <w:rsid w:val="00AE1481"/>
    <w:rsid w:val="00AE27F9"/>
    <w:rsid w:val="00AE77DB"/>
    <w:rsid w:val="00AF7453"/>
    <w:rsid w:val="00B00FFF"/>
    <w:rsid w:val="00B06084"/>
    <w:rsid w:val="00B12419"/>
    <w:rsid w:val="00B16735"/>
    <w:rsid w:val="00B17EDE"/>
    <w:rsid w:val="00B22585"/>
    <w:rsid w:val="00B33693"/>
    <w:rsid w:val="00B34C53"/>
    <w:rsid w:val="00B43922"/>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A4098"/>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27DC"/>
    <w:rsid w:val="00C349E8"/>
    <w:rsid w:val="00C34E72"/>
    <w:rsid w:val="00C4723C"/>
    <w:rsid w:val="00C56B1F"/>
    <w:rsid w:val="00C61B52"/>
    <w:rsid w:val="00C62745"/>
    <w:rsid w:val="00C654CA"/>
    <w:rsid w:val="00C763BD"/>
    <w:rsid w:val="00C779A8"/>
    <w:rsid w:val="00C82E19"/>
    <w:rsid w:val="00C94D82"/>
    <w:rsid w:val="00C96873"/>
    <w:rsid w:val="00CA1735"/>
    <w:rsid w:val="00CA207E"/>
    <w:rsid w:val="00CA3C4B"/>
    <w:rsid w:val="00CA6ECE"/>
    <w:rsid w:val="00CA7252"/>
    <w:rsid w:val="00CB2C5A"/>
    <w:rsid w:val="00CE0C1C"/>
    <w:rsid w:val="00CE34AF"/>
    <w:rsid w:val="00CF00A4"/>
    <w:rsid w:val="00CF25FB"/>
    <w:rsid w:val="00CF614C"/>
    <w:rsid w:val="00D02F34"/>
    <w:rsid w:val="00D13D87"/>
    <w:rsid w:val="00D16590"/>
    <w:rsid w:val="00D17442"/>
    <w:rsid w:val="00D20720"/>
    <w:rsid w:val="00D232D9"/>
    <w:rsid w:val="00D250D9"/>
    <w:rsid w:val="00D2642A"/>
    <w:rsid w:val="00D27533"/>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B5415"/>
    <w:rsid w:val="00DC034A"/>
    <w:rsid w:val="00DC2045"/>
    <w:rsid w:val="00DC51CB"/>
    <w:rsid w:val="00DD4819"/>
    <w:rsid w:val="00DD4B8A"/>
    <w:rsid w:val="00DD5403"/>
    <w:rsid w:val="00DE1388"/>
    <w:rsid w:val="00DE7501"/>
    <w:rsid w:val="00DF218D"/>
    <w:rsid w:val="00DF3146"/>
    <w:rsid w:val="00DF57C3"/>
    <w:rsid w:val="00E008D9"/>
    <w:rsid w:val="00E02FE0"/>
    <w:rsid w:val="00E07ABE"/>
    <w:rsid w:val="00E11A3F"/>
    <w:rsid w:val="00E1386E"/>
    <w:rsid w:val="00E2369B"/>
    <w:rsid w:val="00E23EC0"/>
    <w:rsid w:val="00E27FB3"/>
    <w:rsid w:val="00E354AA"/>
    <w:rsid w:val="00E43D54"/>
    <w:rsid w:val="00E442FB"/>
    <w:rsid w:val="00E529DB"/>
    <w:rsid w:val="00E53A5E"/>
    <w:rsid w:val="00E6466A"/>
    <w:rsid w:val="00E71266"/>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06CEB"/>
    <w:rsid w:val="00F1527A"/>
    <w:rsid w:val="00F219E9"/>
    <w:rsid w:val="00F2696B"/>
    <w:rsid w:val="00F27808"/>
    <w:rsid w:val="00F27821"/>
    <w:rsid w:val="00F31E5A"/>
    <w:rsid w:val="00F4092A"/>
    <w:rsid w:val="00F41F69"/>
    <w:rsid w:val="00F43E41"/>
    <w:rsid w:val="00F4790C"/>
    <w:rsid w:val="00F50C4B"/>
    <w:rsid w:val="00F54C08"/>
    <w:rsid w:val="00F553A2"/>
    <w:rsid w:val="00F6068C"/>
    <w:rsid w:val="00F62F33"/>
    <w:rsid w:val="00F63A52"/>
    <w:rsid w:val="00F64887"/>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00FF36E9"/>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customStyle="1" w:styleId="CommentTextChar">
    <w:name w:val="Comment Text Char"/>
    <w:basedOn w:val="DefaultParagraphFont"/>
    <w:link w:val="CommentText"/>
    <w:semiHidden/>
    <w:rsid w:val="007E368B"/>
    <w:rPr>
      <w:rFonts w:ascii="Arial" w:hAnsi="Arial"/>
    </w:rPr>
  </w:style>
  <w:style w:type="character" w:styleId="CommentReference">
    <w:name w:val="annotation reference"/>
    <w:basedOn w:val="DefaultParagraphFont"/>
    <w:uiPriority w:val="99"/>
    <w:semiHidden/>
    <w:unhideWhenUsed/>
    <w:rsid w:val="007E368B"/>
    <w:rPr>
      <w:sz w:val="16"/>
      <w:szCs w:val="16"/>
    </w:rPr>
  </w:style>
  <w:style w:type="paragraph" w:styleId="CommentSubject">
    <w:name w:val="annotation subject"/>
    <w:basedOn w:val="CommentText"/>
    <w:next w:val="CommentText"/>
    <w:link w:val="CommentSubjectChar"/>
    <w:uiPriority w:val="99"/>
    <w:semiHidden/>
    <w:unhideWhenUsed/>
    <w:rsid w:val="00630B31"/>
    <w:rPr>
      <w:b/>
      <w:bCs/>
    </w:rPr>
  </w:style>
  <w:style w:type="character" w:customStyle="1" w:styleId="CommentSubjectChar">
    <w:name w:val="Comment Subject Char"/>
    <w:basedOn w:val="CommentTextChar"/>
    <w:link w:val="CommentSubject"/>
    <w:uiPriority w:val="99"/>
    <w:semiHidden/>
    <w:rsid w:val="00630B31"/>
    <w:rPr>
      <w:rFonts w:ascii="Arial" w:hAnsi="Arial"/>
      <w:b/>
      <w:bCs/>
    </w:rPr>
  </w:style>
  <w:style w:type="paragraph" w:styleId="Revision">
    <w:name w:val="Revision"/>
    <w:hidden/>
    <w:uiPriority w:val="99"/>
    <w:semiHidden/>
    <w:rsid w:val="004A1F8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66618E85F4316836671212AB567E6"/>
        <w:category>
          <w:name w:val="General"/>
          <w:gallery w:val="placeholder"/>
        </w:category>
        <w:types>
          <w:type w:val="bbPlcHdr"/>
        </w:types>
        <w:behaviors>
          <w:behavior w:val="content"/>
        </w:behaviors>
        <w:guid w:val="{2B02456B-05BB-4019-85EC-B8A4C95004FD}"/>
      </w:docPartPr>
      <w:docPartBody>
        <w:p w:rsidR="00D96C83" w:rsidRDefault="00D96C83" w:rsidP="00D96C83">
          <w:pPr>
            <w:pStyle w:val="85366618E85F4316836671212AB567E6"/>
          </w:pPr>
          <w:r w:rsidRPr="00790B4B">
            <w:rPr>
              <w:sz w:val="18"/>
              <w:szCs w:val="18"/>
              <w:shd w:val="clear" w:color="auto" w:fill="FFFFFF"/>
            </w:rPr>
            <w:t>Place of publication</w:t>
          </w:r>
        </w:p>
      </w:docPartBody>
    </w:docPart>
    <w:docPart>
      <w:docPartPr>
        <w:name w:val="5FC382B1CD324DD1B5959374D1824FC8"/>
        <w:category>
          <w:name w:val="General"/>
          <w:gallery w:val="placeholder"/>
        </w:category>
        <w:types>
          <w:type w:val="bbPlcHdr"/>
        </w:types>
        <w:behaviors>
          <w:behavior w:val="content"/>
        </w:behaviors>
        <w:guid w:val="{744592F0-2B50-4B38-97C7-4B9A000AC564}"/>
      </w:docPartPr>
      <w:docPartBody>
        <w:p w:rsidR="00D96C83" w:rsidRDefault="00D96C83" w:rsidP="00D96C83">
          <w:pPr>
            <w:pStyle w:val="5FC382B1CD324DD1B5959374D1824FC8"/>
          </w:pPr>
          <w:r w:rsidRPr="00790B4B">
            <w:rPr>
              <w:sz w:val="18"/>
              <w:szCs w:val="18"/>
              <w:shd w:val="clear" w:color="auto" w:fill="FFFFFF"/>
            </w:rPr>
            <w:t>Publisher</w:t>
          </w:r>
        </w:p>
      </w:docPartBody>
    </w:docPart>
    <w:docPart>
      <w:docPartPr>
        <w:name w:val="E0F704C1672748748F64E76F832576EE"/>
        <w:category>
          <w:name w:val="General"/>
          <w:gallery w:val="placeholder"/>
        </w:category>
        <w:types>
          <w:type w:val="bbPlcHdr"/>
        </w:types>
        <w:behaviors>
          <w:behavior w:val="content"/>
        </w:behaviors>
        <w:guid w:val="{73B69884-B312-4296-97E9-5E7392952F9B}"/>
      </w:docPartPr>
      <w:docPartBody>
        <w:p w:rsidR="00D96C83" w:rsidRDefault="00D96C83" w:rsidP="00D96C83">
          <w:pPr>
            <w:pStyle w:val="E0F704C1672748748F64E76F832576EE"/>
          </w:pPr>
          <w:r w:rsidRPr="00790B4B">
            <w:rPr>
              <w:sz w:val="18"/>
              <w:szCs w:val="18"/>
              <w:shd w:val="clear" w:color="auto" w:fill="FFFFFF"/>
            </w:rPr>
            <w:t>Year of publication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83"/>
    <w:rsid w:val="004B26FB"/>
    <w:rsid w:val="00751931"/>
    <w:rsid w:val="00786F6F"/>
    <w:rsid w:val="00856D87"/>
    <w:rsid w:val="00946528"/>
    <w:rsid w:val="00BA4098"/>
    <w:rsid w:val="00C4723C"/>
    <w:rsid w:val="00D9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366618E85F4316836671212AB567E6">
    <w:name w:val="85366618E85F4316836671212AB567E6"/>
    <w:rsid w:val="00D96C83"/>
  </w:style>
  <w:style w:type="paragraph" w:customStyle="1" w:styleId="5FC382B1CD324DD1B5959374D1824FC8">
    <w:name w:val="5FC382B1CD324DD1B5959374D1824FC8"/>
    <w:rsid w:val="00D96C83"/>
  </w:style>
  <w:style w:type="paragraph" w:customStyle="1" w:styleId="E0F704C1672748748F64E76F832576EE">
    <w:name w:val="E0F704C1672748748F64E76F832576EE"/>
    <w:rsid w:val="00D96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CE12FF22-52E8-4421-ABA9-80E88BAE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http://schemas.microsoft.com/office/2006/documentManagement/types"/>
    <ds:schemaRef ds:uri="http://schemas.openxmlformats.org/package/2006/metadata/core-properties"/>
    <ds:schemaRef ds:uri="http://purl.org/dc/elements/1.1/"/>
    <ds:schemaRef ds:uri="http://www.w3.org/XML/1998/namespace"/>
    <ds:schemaRef ds:uri="f5eefb00-5952-4f7e-8cf8-96f81cfadd01"/>
    <ds:schemaRef ds:uri="http://schemas.microsoft.com/sharepoint/v3"/>
    <ds:schemaRef ds:uri="http://purl.org/dc/terms/"/>
    <ds:schemaRef ds:uri="http://schemas.microsoft.com/office/2006/metadata/properties"/>
    <ds:schemaRef ds:uri="http://schemas.microsoft.com/office/infopath/2007/PartnerControls"/>
    <ds:schemaRef ds:uri="aba01ddc-ae9a-4c9e-819c-7140b4239cde"/>
    <ds:schemaRef ds:uri="http://purl.org/dc/dcmityp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48</TotalTime>
  <Pages>5</Pages>
  <Words>2249</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Duchenne Muscular Dystrophy (DMD) Clinical Edit</dc:title>
  <dc:subject/>
  <dc:creator>DMS</dc:creator>
  <cp:keywords/>
  <cp:lastModifiedBy>Dolan, John</cp:lastModifiedBy>
  <cp:revision>52</cp:revision>
  <cp:lastPrinted>2018-10-31T18:17:00Z</cp:lastPrinted>
  <dcterms:created xsi:type="dcterms:W3CDTF">2025-11-19T15:39:00Z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