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2553" w:rsidR="00AE77DB" w:rsidP="00D02F34" w:rsidRDefault="000C3940" w14:paraId="6413BFD8" w14:textId="7F9C5CD2">
      <w:pPr>
        <w:pStyle w:val="Heading1"/>
        <w:rPr>
          <w:lang w:val="en-US"/>
        </w:rPr>
      </w:pPr>
      <w:bookmarkStart w:name="_Hlk792159" w:id="0"/>
      <w:r w:rsidRPr="00C02553">
        <w:rPr>
          <w:lang w:val="en-US"/>
        </w:rPr>
        <w:t>SmartPA Criteria Proposal</w:t>
      </w:r>
      <w:bookmarkEnd w:id="0"/>
    </w:p>
    <w:p w:rsidRPr="00C02553" w:rsidR="00AE77DB" w:rsidP="00074464" w:rsidRDefault="00AE77DB" w14:paraId="6413BFE7" w14:textId="506D81F7">
      <w:pPr>
        <w:rPr>
          <w:rFonts w:cs="Arial"/>
          <w:b/>
          <w:spacing w:val="-3"/>
          <w:szCs w:val="20"/>
        </w:rPr>
      </w:pPr>
    </w:p>
    <w:p w:rsidRPr="008859E1" w:rsidR="004C5767" w:rsidP="00D27533" w:rsidRDefault="004C5767" w14:paraId="52CF6EBC" w14:textId="45EAA877">
      <w:pPr>
        <w:pStyle w:val="tbody"/>
        <w:rPr>
          <w:b w:val="0"/>
          <w:bCs/>
        </w:rPr>
      </w:pPr>
      <w:r w:rsidRPr="00C02553">
        <w:t>Drug/Drug Class:</w:t>
      </w:r>
      <w:r w:rsidRPr="00573856" w:rsidR="003B4820">
        <w:rPr>
          <w:b w:val="0"/>
          <w:bCs/>
        </w:rPr>
        <w:t xml:space="preserve"> </w:t>
      </w:r>
      <w:r w:rsidRPr="004344B8" w:rsidR="004344B8">
        <w:rPr>
          <w:b w:val="0"/>
          <w:bCs/>
        </w:rPr>
        <w:t>Cephalosporin Agents PDL Edit</w:t>
      </w:r>
    </w:p>
    <w:p w:rsidRPr="00C02553" w:rsidR="004C5767" w:rsidP="00D27533" w:rsidRDefault="004C5767" w14:paraId="7AD7FFCE" w14:textId="12000057">
      <w:pPr>
        <w:pStyle w:val="tbody"/>
      </w:pPr>
      <w:r w:rsidRPr="00C02553">
        <w:t>First Implementation Date:</w:t>
      </w:r>
      <w:r w:rsidRPr="00573856">
        <w:rPr>
          <w:b w:val="0"/>
          <w:bCs/>
        </w:rPr>
        <w:t xml:space="preserve"> </w:t>
      </w:r>
      <w:r w:rsidRPr="002D6ACF" w:rsidR="002D6ACF">
        <w:rPr>
          <w:b w:val="0"/>
          <w:bCs/>
        </w:rPr>
        <w:t>October 5, 2017</w:t>
      </w:r>
    </w:p>
    <w:p w:rsidRPr="00057F84" w:rsidR="004C5767" w:rsidP="70E341D6" w:rsidRDefault="00F41F69" w14:paraId="4B7D760D" w14:textId="77F84E4D">
      <w:pPr>
        <w:pStyle w:val="tbody"/>
        <w:rPr>
          <w:b w:val="0"/>
        </w:rPr>
      </w:pPr>
      <w:proofErr w:type="gramStart"/>
      <w:r>
        <w:t>Propo</w:t>
      </w:r>
      <w:r w:rsidR="004C5767">
        <w:t>sed Date</w:t>
      </w:r>
      <w:proofErr w:type="gramEnd"/>
      <w:r w:rsidR="004C5767">
        <w:t>:</w:t>
      </w:r>
      <w:r w:rsidR="00065C22">
        <w:t xml:space="preserve"> </w:t>
      </w:r>
      <w:r w:rsidR="00057F84">
        <w:rPr>
          <w:b w:val="0"/>
        </w:rPr>
        <w:t>January 20, 202</w:t>
      </w:r>
      <w:r w:rsidR="6EB7A09E">
        <w:rPr>
          <w:b w:val="0"/>
        </w:rPr>
        <w:t>6</w:t>
      </w:r>
    </w:p>
    <w:p w:rsidRPr="00C02553" w:rsidR="004C5767" w:rsidP="00D27533" w:rsidRDefault="004C5767" w14:paraId="2726A013" w14:textId="3C40E9DA">
      <w:pPr>
        <w:pStyle w:val="tbody"/>
      </w:pPr>
      <w:r w:rsidRPr="00C02553">
        <w:t xml:space="preserve">Prepared For: </w:t>
      </w:r>
      <w:r w:rsidRPr="00D27533" w:rsidR="00EE613F">
        <w:rPr>
          <w:b w:val="0"/>
          <w:bCs/>
        </w:rPr>
        <w:t>MO HealthNet</w:t>
      </w:r>
      <w:r w:rsidRPr="00C02553">
        <w:tab/>
      </w:r>
    </w:p>
    <w:p w:rsidRPr="00C02553" w:rsidR="004C5767" w:rsidP="00D27533" w:rsidRDefault="004C5767" w14:paraId="0FD7BA18" w14:textId="61E24131">
      <w:pPr>
        <w:pStyle w:val="tbody"/>
      </w:pPr>
      <w:r w:rsidRPr="00C02553">
        <w:t xml:space="preserve">Prepared By: </w:t>
      </w:r>
      <w:r w:rsidRPr="00D27533" w:rsidR="00303B21">
        <w:rPr>
          <w:b w:val="0"/>
          <w:bCs/>
        </w:rPr>
        <w:t>MO HealthNet and Conduent</w:t>
      </w:r>
      <w:r w:rsidRPr="00C02553">
        <w:tab/>
      </w:r>
    </w:p>
    <w:p w:rsidRPr="00D27533" w:rsidR="004C5767" w:rsidP="00D27533" w:rsidRDefault="004C5767" w14:paraId="227AEF75" w14:textId="5ED5DE11">
      <w:pPr>
        <w:pStyle w:val="tbody"/>
        <w:rPr>
          <w:b w:val="0"/>
          <w:bCs/>
          <w:spacing w:val="-3"/>
        </w:rPr>
      </w:pPr>
      <w:r w:rsidRPr="00C02553">
        <w:t xml:space="preserve">Criteria Status: </w:t>
      </w:r>
      <w:r w:rsidRPr="00D27533" w:rsidR="00566BE4">
        <w:rPr>
          <w:b w:val="0"/>
          <w:bCs/>
          <w:spacing w:val="-3"/>
        </w:rPr>
        <w:t>Existing Criteria</w:t>
      </w:r>
    </w:p>
    <w:p w:rsidRPr="002C2C41" w:rsidR="004C5767" w:rsidP="00E23EC0" w:rsidRDefault="004C5767" w14:paraId="03479354" w14:textId="77777777">
      <w:pPr>
        <w:rPr>
          <w:rFonts w:cs="Arial"/>
          <w:szCs w:val="20"/>
        </w:rPr>
      </w:pPr>
    </w:p>
    <w:p w:rsidRPr="00C02553" w:rsidR="00AE77DB" w:rsidP="004C5767" w:rsidRDefault="00AE77DB" w14:paraId="6413BFE8" w14:textId="77777777">
      <w:pPr>
        <w:pStyle w:val="Heading1"/>
        <w:rPr>
          <w:lang w:val="en-US"/>
        </w:rPr>
      </w:pPr>
      <w:r w:rsidRPr="00C02553">
        <w:rPr>
          <w:lang w:val="en-US"/>
        </w:rPr>
        <w:t xml:space="preserve">Executive Summary </w:t>
      </w:r>
    </w:p>
    <w:p w:rsidRPr="00696E3A" w:rsidR="00B33693" w:rsidP="00696E3A" w:rsidRDefault="00E23EC0" w14:paraId="706FFC95" w14:textId="77777777">
      <w:pPr>
        <w:rPr>
          <w:b/>
          <w:bCs/>
        </w:rPr>
      </w:pPr>
      <w:r w:rsidRPr="00696E3A">
        <w:rPr>
          <w:b/>
          <w:bCs/>
        </w:rPr>
        <w:t>Purpose:</w:t>
      </w:r>
      <w:r w:rsidRPr="00696E3A" w:rsidR="00290A03">
        <w:rPr>
          <w:b/>
          <w:bCs/>
        </w:rPr>
        <w:t xml:space="preserve"> </w:t>
      </w:r>
    </w:p>
    <w:p w:rsidR="00D47996" w:rsidP="00696E3A" w:rsidRDefault="00D47996" w14:paraId="33DF7A62" w14:textId="77777777">
      <w:r w:rsidRPr="00D47996">
        <w:t xml:space="preserve">The MO HealthNet Pharmacy Program will implement a state-specific preferred drug list.  </w:t>
      </w:r>
    </w:p>
    <w:p w:rsidRPr="002C2C41" w:rsidR="00E23EC0" w:rsidP="00696E3A" w:rsidRDefault="00E23EC0" w14:paraId="2320C114" w14:textId="4452B466">
      <w:pPr>
        <w:rPr>
          <w:rFonts w:cs="Arial"/>
          <w:szCs w:val="20"/>
        </w:rPr>
      </w:pPr>
      <w:r w:rsidRPr="00C02553">
        <w:tab/>
      </w:r>
    </w:p>
    <w:p w:rsidRPr="00696E3A" w:rsidR="00E23EC0" w:rsidP="00696E3A" w:rsidRDefault="00E23EC0" w14:paraId="3A9BE506" w14:textId="11761DC1">
      <w:pPr>
        <w:rPr>
          <w:b/>
          <w:bCs/>
        </w:rPr>
      </w:pPr>
      <w:r w:rsidRPr="00696E3A">
        <w:rPr>
          <w:b/>
          <w:bCs/>
        </w:rPr>
        <w:t>Why Issue Selected:</w:t>
      </w:r>
    </w:p>
    <w:p w:rsidR="00040083" w:rsidP="00040083" w:rsidRDefault="00040083" w14:paraId="0A420F31" w14:textId="77777777">
      <w:pPr>
        <w:rPr>
          <w:rFonts w:cs="Arial"/>
          <w:spacing w:val="-3"/>
        </w:rPr>
      </w:pPr>
      <w:r w:rsidRPr="002D7E94">
        <w:rPr>
          <w:rFonts w:cs="Arial"/>
          <w:spacing w:val="-3"/>
        </w:rPr>
        <w:t xml:space="preserve">Oral cephalosporins are divided into 3 generations of agents. First generation oral cephalosporins are active against gram-positive organisms. Second generation oral cephalosporins are active against some gram-positive and gram-negative organisms. Third generation oral cephalosporins have enhanced activity against many gram-negative organisms and are more effective against many resistant bacteria. Many third generation oral cephalosporins also have activity against gram-positive organisms.  </w:t>
      </w:r>
      <w:r>
        <w:rPr>
          <w:rFonts w:cs="Arial"/>
          <w:spacing w:val="-3"/>
        </w:rPr>
        <w:t xml:space="preserve">Cephalosporins are considered a part of the beta-lactam antibiotics group. Beta-lactam antibiotics inhibit the growth of bacteria by inactivating the beta-lactamase enzyme located in the bacterial cell membrane which is involved in its cell wall synthesis.  </w:t>
      </w:r>
      <w:r w:rsidRPr="002D7E94">
        <w:rPr>
          <w:rFonts w:cs="Arial"/>
          <w:spacing w:val="-3"/>
        </w:rPr>
        <w:t xml:space="preserve">The oral cephalosporins have been </w:t>
      </w:r>
      <w:r>
        <w:rPr>
          <w:rFonts w:cs="Arial"/>
          <w:spacing w:val="-3"/>
        </w:rPr>
        <w:t>available</w:t>
      </w:r>
      <w:r w:rsidRPr="002D7E94">
        <w:rPr>
          <w:rFonts w:cs="Arial"/>
          <w:spacing w:val="-3"/>
        </w:rPr>
        <w:t xml:space="preserve"> for a long time and continue to be useful, especially for uncomplicated infections of the skin and skin structures. They may also be utilized for streptococcal pharyngitis in </w:t>
      </w:r>
      <w:r>
        <w:rPr>
          <w:rFonts w:cs="Arial"/>
          <w:spacing w:val="-3"/>
        </w:rPr>
        <w:t>participants</w:t>
      </w:r>
      <w:r w:rsidRPr="002D7E94">
        <w:rPr>
          <w:rFonts w:cs="Arial"/>
          <w:spacing w:val="-3"/>
        </w:rPr>
        <w:t xml:space="preserve"> who are </w:t>
      </w:r>
      <w:proofErr w:type="gramStart"/>
      <w:r w:rsidRPr="002D7E94">
        <w:rPr>
          <w:rFonts w:cs="Arial"/>
          <w:spacing w:val="-3"/>
        </w:rPr>
        <w:t>penicillin-allergic</w:t>
      </w:r>
      <w:proofErr w:type="gramEnd"/>
      <w:r w:rsidRPr="002D7E94">
        <w:rPr>
          <w:rFonts w:cs="Arial"/>
          <w:spacing w:val="-3"/>
        </w:rPr>
        <w:t xml:space="preserve">. Adult and pediatric dosing recommendations are available in the literature for most of the available products, as well as liquid formulations. In general, the oral cephalosporins are well tolerated. In many cases, third generation cephalosporins may be given once or twice daily to promote </w:t>
      </w:r>
      <w:r>
        <w:rPr>
          <w:rFonts w:cs="Arial"/>
          <w:spacing w:val="-3"/>
        </w:rPr>
        <w:t>participant</w:t>
      </w:r>
      <w:r w:rsidRPr="002D7E94">
        <w:rPr>
          <w:rFonts w:cs="Arial"/>
          <w:spacing w:val="-3"/>
        </w:rPr>
        <w:t xml:space="preserve"> adherence.</w:t>
      </w:r>
    </w:p>
    <w:p w:rsidR="00B56DCC" w:rsidP="00696E3A" w:rsidRDefault="00B56DCC" w14:paraId="7ACECC9F" w14:textId="77777777"/>
    <w:p w:rsidR="00E354AA" w:rsidP="009A0FB1" w:rsidRDefault="009A0FB1" w14:paraId="28C91F1C" w14:textId="548F95B5">
      <w:r>
        <w:t>Total program savings for the PDL classes will be regularly reviewed.</w:t>
      </w:r>
    </w:p>
    <w:p w:rsidRPr="002C2C41" w:rsidR="007A3034" w:rsidP="009A0FB1" w:rsidRDefault="007A3034" w14:paraId="05964CF2" w14:textId="77777777">
      <w:pPr>
        <w:rPr>
          <w:rFonts w:cs="Arial"/>
          <w:szCs w:val="20"/>
        </w:rPr>
      </w:pPr>
    </w:p>
    <w:p w:rsidR="00E90D11" w:rsidP="00696E3A" w:rsidRDefault="009A0FB1" w14:paraId="6CBEE541" w14:textId="3A362043">
      <w:pPr>
        <w:rPr>
          <w:b/>
          <w:bCs/>
        </w:rPr>
      </w:pPr>
      <w:r>
        <w:rPr>
          <w:b/>
          <w:bCs/>
        </w:rPr>
        <w:t>Preferred Agents:</w:t>
      </w:r>
    </w:p>
    <w:p w:rsidRPr="002272E3" w:rsidR="00DF2B07" w:rsidP="00DF2B07" w:rsidRDefault="00DF2B07" w14:paraId="53B91853" w14:textId="77777777">
      <w:pPr>
        <w:pStyle w:val="ListParagraph"/>
      </w:pPr>
      <w:r w:rsidRPr="002272E3">
        <w:t>Cefadroxil Caps</w:t>
      </w:r>
    </w:p>
    <w:p w:rsidRPr="002272E3" w:rsidR="00DF2B07" w:rsidP="00DF2B07" w:rsidRDefault="00DF2B07" w14:paraId="7EE71432" w14:textId="77777777">
      <w:pPr>
        <w:pStyle w:val="ListParagraph"/>
      </w:pPr>
      <w:r w:rsidRPr="002272E3">
        <w:t>Cefdinir Caps/Susp</w:t>
      </w:r>
    </w:p>
    <w:p w:rsidRPr="002272E3" w:rsidR="00DF2B07" w:rsidP="00DF2B07" w:rsidRDefault="00DF2B07" w14:paraId="01FEBF86" w14:textId="77777777">
      <w:pPr>
        <w:pStyle w:val="ListParagraph"/>
      </w:pPr>
      <w:proofErr w:type="spellStart"/>
      <w:r w:rsidRPr="002272E3">
        <w:t>Cefprozil</w:t>
      </w:r>
      <w:proofErr w:type="spellEnd"/>
      <w:r w:rsidRPr="002272E3">
        <w:t xml:space="preserve"> Susp/Tabs</w:t>
      </w:r>
    </w:p>
    <w:p w:rsidRPr="002272E3" w:rsidR="00DF2B07" w:rsidP="00DF2B07" w:rsidRDefault="00DF2B07" w14:paraId="250626D0" w14:textId="77777777">
      <w:pPr>
        <w:pStyle w:val="ListParagraph"/>
      </w:pPr>
      <w:r w:rsidRPr="002272E3">
        <w:t>Cefuroxime Tabs</w:t>
      </w:r>
    </w:p>
    <w:p w:rsidR="00846FA4" w:rsidP="00DF2B07" w:rsidRDefault="00DF2B07" w14:paraId="1B21829C" w14:textId="0860AAF0">
      <w:pPr>
        <w:pStyle w:val="ListParagraph"/>
      </w:pPr>
      <w:r w:rsidRPr="002272E3">
        <w:t>Cephalexin Caps/Susp</w:t>
      </w:r>
      <w:r w:rsidRPr="00846FA4">
        <w:rPr>
          <w:vertAlign w:val="superscript"/>
        </w:rPr>
        <w:t xml:space="preserve"> </w:t>
      </w:r>
    </w:p>
    <w:p w:rsidR="00FD34EA" w:rsidP="00696E3A" w:rsidRDefault="00FD34EA" w14:paraId="47320590" w14:textId="77777777">
      <w:pPr>
        <w:rPr>
          <w:rFonts w:cs="Arial"/>
          <w:szCs w:val="20"/>
        </w:rPr>
      </w:pPr>
    </w:p>
    <w:p w:rsidR="00846FA4" w:rsidP="00846FA4" w:rsidRDefault="00846FA4" w14:paraId="56404718" w14:textId="252714AD">
      <w:pPr>
        <w:rPr>
          <w:b/>
          <w:bCs/>
        </w:rPr>
      </w:pPr>
      <w:r>
        <w:rPr>
          <w:b/>
          <w:bCs/>
        </w:rPr>
        <w:t>Non-Preferred Agents:</w:t>
      </w:r>
    </w:p>
    <w:p w:rsidRPr="002272E3" w:rsidR="001D73FF" w:rsidP="001D73FF" w:rsidRDefault="001D73FF" w14:paraId="14C6E197" w14:textId="77777777">
      <w:pPr>
        <w:pStyle w:val="ListParagraph"/>
      </w:pPr>
      <w:r w:rsidRPr="002272E3">
        <w:t>Cefaclor Caps/Susp</w:t>
      </w:r>
    </w:p>
    <w:p w:rsidRPr="002272E3" w:rsidR="001D73FF" w:rsidP="001D73FF" w:rsidRDefault="001D73FF" w14:paraId="2CC90E7C" w14:textId="77777777">
      <w:pPr>
        <w:pStyle w:val="ListParagraph"/>
      </w:pPr>
      <w:r w:rsidRPr="002272E3">
        <w:t>Cefaclor ER Tabs</w:t>
      </w:r>
    </w:p>
    <w:p w:rsidRPr="002272E3" w:rsidR="001D73FF" w:rsidP="001D73FF" w:rsidRDefault="001D73FF" w14:paraId="383D8077" w14:textId="77777777">
      <w:pPr>
        <w:pStyle w:val="ListParagraph"/>
      </w:pPr>
      <w:r w:rsidRPr="002272E3">
        <w:t>Cefadroxil Susp/Tabs</w:t>
      </w:r>
    </w:p>
    <w:p w:rsidRPr="002272E3" w:rsidR="001D73FF" w:rsidP="001D73FF" w:rsidRDefault="001D73FF" w14:paraId="2A7631C5" w14:textId="77777777">
      <w:pPr>
        <w:pStyle w:val="ListParagraph"/>
      </w:pPr>
      <w:r w:rsidRPr="002272E3">
        <w:t>Cefixime Caps/Susp</w:t>
      </w:r>
    </w:p>
    <w:p w:rsidRPr="002272E3" w:rsidR="001D73FF" w:rsidP="001D73FF" w:rsidRDefault="001D73FF" w14:paraId="1360128F" w14:textId="77777777">
      <w:pPr>
        <w:pStyle w:val="ListParagraph"/>
      </w:pPr>
      <w:r w:rsidRPr="002272E3">
        <w:t>Cefpodoxime Susp/Tabs</w:t>
      </w:r>
    </w:p>
    <w:p w:rsidRPr="002272E3" w:rsidR="001D73FF" w:rsidP="001D73FF" w:rsidRDefault="001D73FF" w14:paraId="67B4B012" w14:textId="77777777">
      <w:pPr>
        <w:pStyle w:val="ListParagraph"/>
      </w:pPr>
      <w:r w:rsidRPr="002272E3">
        <w:t>Cephalexin Tabs</w:t>
      </w:r>
    </w:p>
    <w:p w:rsidRPr="002272E3" w:rsidR="001D73FF" w:rsidP="001D73FF" w:rsidRDefault="001D73FF" w14:paraId="19D37E41" w14:textId="77777777">
      <w:pPr>
        <w:pStyle w:val="ListParagraph"/>
      </w:pPr>
      <w:r w:rsidRPr="002272E3">
        <w:t>Keflex</w:t>
      </w:r>
      <w:r w:rsidRPr="002272E3">
        <w:rPr>
          <w:vertAlign w:val="superscript"/>
        </w:rPr>
        <w:t>®</w:t>
      </w:r>
    </w:p>
    <w:p w:rsidRPr="00696E3A" w:rsidR="00846FA4" w:rsidP="001D73FF" w:rsidRDefault="001D73FF" w14:paraId="079F807A" w14:textId="5AD82B28">
      <w:pPr>
        <w:pStyle w:val="ListParagraph"/>
      </w:pPr>
      <w:proofErr w:type="spellStart"/>
      <w:r w:rsidRPr="002272E3">
        <w:t>Suprax</w:t>
      </w:r>
      <w:proofErr w:type="spellEnd"/>
      <w:r w:rsidRPr="002272E3">
        <w:rPr>
          <w:vertAlign w:val="superscript"/>
        </w:rPr>
        <w:t>®</w:t>
      </w:r>
      <w:r w:rsidRPr="00F43E41">
        <w:rPr>
          <w:vertAlign w:val="superscript"/>
        </w:rPr>
        <w:t xml:space="preserve"> </w:t>
      </w:r>
    </w:p>
    <w:p w:rsidRPr="002C2C41" w:rsidR="00E23EC0" w:rsidP="00314430" w:rsidRDefault="00E23EC0" w14:paraId="6D696800" w14:textId="28E4C3DB">
      <w:pPr>
        <w:rPr>
          <w:rFonts w:cs="Arial"/>
          <w:spacing w:val="-3"/>
          <w:szCs w:val="20"/>
        </w:rPr>
      </w:pPr>
    </w:p>
    <w:p w:rsidRPr="00C02553" w:rsidR="00AE77DB" w:rsidP="00E354AA" w:rsidRDefault="00AE77DB" w14:paraId="6413C027" w14:textId="18F824F6">
      <w:pPr>
        <w:pStyle w:val="Heading1"/>
        <w:rPr>
          <w:lang w:val="en-US"/>
        </w:rPr>
      </w:pPr>
      <w:r w:rsidRPr="00C02553">
        <w:rPr>
          <w:lang w:val="en-US"/>
        </w:rPr>
        <w:lastRenderedPageBreak/>
        <w:t xml:space="preserve">Setting &amp; Population </w:t>
      </w:r>
    </w:p>
    <w:p w:rsidRPr="0079438F" w:rsidR="0097028A" w:rsidP="00696E3A" w:rsidRDefault="0097028A" w14:paraId="04B7FBFB" w14:textId="2DEE88DD">
      <w:pPr>
        <w:rPr>
          <w:b/>
        </w:rPr>
      </w:pPr>
      <w:r w:rsidRPr="00696E3A">
        <w:rPr>
          <w:b/>
          <w:bCs/>
        </w:rPr>
        <w:t>Drug class for review:</w:t>
      </w:r>
      <w:r w:rsidRPr="00C02553">
        <w:t xml:space="preserve"> </w:t>
      </w:r>
      <w:r w:rsidRPr="00A52F8C" w:rsidR="009F1559">
        <w:rPr>
          <w:rFonts w:cs="Arial"/>
          <w:szCs w:val="20"/>
        </w:rPr>
        <w:t>Cephalosporins</w:t>
      </w:r>
    </w:p>
    <w:p w:rsidR="008524BA" w:rsidP="00696E3A" w:rsidRDefault="0097028A" w14:paraId="26CFE8A0" w14:textId="0FA64B60">
      <w:pPr>
        <w:rPr>
          <w:rFonts w:cs="Arial"/>
          <w:b/>
        </w:rPr>
      </w:pPr>
      <w:r w:rsidRPr="00696E3A">
        <w:rPr>
          <w:b/>
          <w:bCs/>
        </w:rPr>
        <w:t>Age range:</w:t>
      </w:r>
      <w:r w:rsidRPr="00C02553">
        <w:t xml:space="preserve"> </w:t>
      </w:r>
      <w:r w:rsidRPr="00551668" w:rsidR="00551668">
        <w:rPr>
          <w:rFonts w:cs="Arial"/>
        </w:rPr>
        <w:t>All appropriate MO HealthNet participants</w:t>
      </w:r>
    </w:p>
    <w:p w:rsidRPr="002C2C41" w:rsidR="005328B2" w:rsidP="005328B2" w:rsidRDefault="005328B2" w14:paraId="7F2A9816" w14:textId="77777777">
      <w:pPr>
        <w:rPr>
          <w:rFonts w:cs="Arial"/>
          <w:szCs w:val="20"/>
        </w:rPr>
      </w:pPr>
    </w:p>
    <w:p w:rsidRPr="00C02553" w:rsidR="00AE77DB" w:rsidP="0097028A" w:rsidRDefault="00AE77DB" w14:paraId="6413C035" w14:textId="4FE30429">
      <w:pPr>
        <w:pStyle w:val="Heading1"/>
        <w:rPr>
          <w:lang w:val="en-US"/>
        </w:rPr>
      </w:pPr>
      <w:r w:rsidRPr="00C02553">
        <w:rPr>
          <w:lang w:val="en-US"/>
        </w:rPr>
        <w:t>Approval Criteria</w:t>
      </w:r>
    </w:p>
    <w:p w:rsidR="00037CCB" w:rsidP="00037CCB" w:rsidRDefault="00037CCB" w14:paraId="19A498EE" w14:textId="77777777">
      <w:pPr>
        <w:numPr>
          <w:ilvl w:val="0"/>
          <w:numId w:val="17"/>
        </w:numPr>
        <w:rPr>
          <w:rFonts w:cs="Arial"/>
          <w:szCs w:val="20"/>
        </w:rPr>
      </w:pPr>
      <w:r>
        <w:rPr>
          <w:rFonts w:cs="Arial"/>
          <w:szCs w:val="20"/>
        </w:rPr>
        <w:t>Must meet one of the following:</w:t>
      </w:r>
    </w:p>
    <w:p w:rsidR="00037CCB" w:rsidP="00037CCB" w:rsidRDefault="00037CCB" w14:paraId="5A8B981C" w14:textId="77777777">
      <w:pPr>
        <w:numPr>
          <w:ilvl w:val="1"/>
          <w:numId w:val="17"/>
        </w:numPr>
        <w:rPr>
          <w:rFonts w:cs="Arial"/>
          <w:szCs w:val="20"/>
        </w:rPr>
      </w:pPr>
      <w:r>
        <w:rPr>
          <w:rFonts w:cs="Arial"/>
          <w:szCs w:val="20"/>
        </w:rPr>
        <w:t xml:space="preserve">Claim is for a preferred </w:t>
      </w:r>
      <w:proofErr w:type="gramStart"/>
      <w:r>
        <w:rPr>
          <w:rFonts w:cs="Arial"/>
          <w:szCs w:val="20"/>
        </w:rPr>
        <w:t>agent;</w:t>
      </w:r>
      <w:proofErr w:type="gramEnd"/>
    </w:p>
    <w:p w:rsidRPr="00C1018C" w:rsidR="00037CCB" w:rsidP="00037CCB" w:rsidRDefault="00037CCB" w14:paraId="3857461C" w14:textId="77777777">
      <w:pPr>
        <w:numPr>
          <w:ilvl w:val="1"/>
          <w:numId w:val="17"/>
        </w:numPr>
        <w:rPr>
          <w:rFonts w:cs="Arial"/>
          <w:szCs w:val="20"/>
        </w:rPr>
      </w:pPr>
      <w:r w:rsidRPr="00C1018C">
        <w:rPr>
          <w:rFonts w:cs="Arial"/>
          <w:szCs w:val="20"/>
        </w:rPr>
        <w:t xml:space="preserve">Failure to achieve desired therapeutic outcomes with trial on </w:t>
      </w:r>
      <w:r>
        <w:rPr>
          <w:rFonts w:cs="Arial"/>
          <w:szCs w:val="20"/>
        </w:rPr>
        <w:t>2</w:t>
      </w:r>
      <w:r w:rsidRPr="00C1018C">
        <w:rPr>
          <w:rFonts w:cs="Arial"/>
          <w:szCs w:val="20"/>
        </w:rPr>
        <w:t xml:space="preserve"> or more preferred </w:t>
      </w:r>
      <w:proofErr w:type="gramStart"/>
      <w:r w:rsidRPr="00C1018C">
        <w:rPr>
          <w:rFonts w:cs="Arial"/>
          <w:szCs w:val="20"/>
        </w:rPr>
        <w:t>agents</w:t>
      </w:r>
      <w:r>
        <w:rPr>
          <w:rFonts w:cs="Arial"/>
          <w:szCs w:val="20"/>
        </w:rPr>
        <w:t>;</w:t>
      </w:r>
      <w:proofErr w:type="gramEnd"/>
    </w:p>
    <w:p w:rsidRPr="00C1018C" w:rsidR="00037CCB" w:rsidP="00037CCB" w:rsidRDefault="00037CCB" w14:paraId="07297525" w14:textId="77777777">
      <w:pPr>
        <w:numPr>
          <w:ilvl w:val="2"/>
          <w:numId w:val="17"/>
        </w:numPr>
        <w:jc w:val="both"/>
        <w:rPr>
          <w:rFonts w:cs="Arial"/>
          <w:szCs w:val="20"/>
        </w:rPr>
      </w:pPr>
      <w:r w:rsidRPr="00C1018C">
        <w:rPr>
          <w:rFonts w:cs="Arial"/>
          <w:szCs w:val="20"/>
        </w:rPr>
        <w:t>Documented trial period of preferred agents</w:t>
      </w:r>
      <w:r>
        <w:rPr>
          <w:rFonts w:cs="Arial"/>
          <w:szCs w:val="20"/>
        </w:rPr>
        <w:t xml:space="preserve">; </w:t>
      </w:r>
      <w:r w:rsidRPr="005C7960">
        <w:rPr>
          <w:rFonts w:cs="Arial"/>
          <w:b/>
          <w:bCs/>
          <w:szCs w:val="20"/>
        </w:rPr>
        <w:t>OR</w:t>
      </w:r>
    </w:p>
    <w:p w:rsidRPr="002B562D" w:rsidR="00037CCB" w:rsidP="00037CCB" w:rsidRDefault="00037CCB" w14:paraId="5C7FBF2B" w14:textId="77777777">
      <w:pPr>
        <w:numPr>
          <w:ilvl w:val="2"/>
          <w:numId w:val="17"/>
        </w:numPr>
        <w:jc w:val="both"/>
        <w:rPr>
          <w:rFonts w:cs="Arial"/>
          <w:szCs w:val="20"/>
        </w:rPr>
      </w:pPr>
      <w:r w:rsidRPr="00C1018C">
        <w:rPr>
          <w:rFonts w:cs="Arial"/>
          <w:szCs w:val="20"/>
        </w:rPr>
        <w:t>Documen</w:t>
      </w:r>
      <w:r>
        <w:rPr>
          <w:rFonts w:cs="Arial"/>
          <w:szCs w:val="20"/>
        </w:rPr>
        <w:t xml:space="preserve">ted ADE/ADR to preferred agents; </w:t>
      </w:r>
      <w:r>
        <w:rPr>
          <w:rFonts w:cs="Arial"/>
          <w:b/>
          <w:bCs/>
          <w:szCs w:val="20"/>
        </w:rPr>
        <w:t>OR</w:t>
      </w:r>
    </w:p>
    <w:p w:rsidRPr="00037CCB" w:rsidR="00037CCB" w:rsidP="00037CCB" w:rsidRDefault="00037CCB" w14:paraId="2BD5AD56" w14:textId="77777777">
      <w:pPr>
        <w:numPr>
          <w:ilvl w:val="1"/>
          <w:numId w:val="17"/>
        </w:numPr>
        <w:jc w:val="both"/>
        <w:rPr>
          <w:rFonts w:cs="Arial"/>
          <w:szCs w:val="20"/>
        </w:rPr>
      </w:pPr>
      <w:r w:rsidRPr="00037CCB">
        <w:rPr>
          <w:rFonts w:cs="Arial"/>
          <w:szCs w:val="20"/>
        </w:rPr>
        <w:t>Claim is for a non-preferred 3</w:t>
      </w:r>
      <w:r w:rsidRPr="00037CCB">
        <w:rPr>
          <w:rFonts w:cs="Arial"/>
          <w:szCs w:val="20"/>
          <w:vertAlign w:val="superscript"/>
        </w:rPr>
        <w:t>rd</w:t>
      </w:r>
      <w:r w:rsidRPr="00037CCB">
        <w:rPr>
          <w:rFonts w:cs="Arial"/>
          <w:szCs w:val="20"/>
        </w:rPr>
        <w:t xml:space="preserve"> generation cephalosporin – must meet one of the following:</w:t>
      </w:r>
    </w:p>
    <w:p w:rsidRPr="00037CCB" w:rsidR="00037CCB" w:rsidP="00037CCB" w:rsidRDefault="00037CCB" w14:paraId="3F67987B" w14:textId="77777777">
      <w:pPr>
        <w:numPr>
          <w:ilvl w:val="2"/>
          <w:numId w:val="17"/>
        </w:numPr>
        <w:jc w:val="both"/>
        <w:rPr>
          <w:rFonts w:cs="Arial"/>
          <w:szCs w:val="20"/>
        </w:rPr>
      </w:pPr>
      <w:r w:rsidRPr="00037CCB">
        <w:rPr>
          <w:rFonts w:cs="Arial"/>
          <w:szCs w:val="20"/>
        </w:rPr>
        <w:t xml:space="preserve">Documented therapeutic trial of cefdinir in the past 30 </w:t>
      </w:r>
      <w:proofErr w:type="gramStart"/>
      <w:r w:rsidRPr="00037CCB">
        <w:rPr>
          <w:rFonts w:cs="Arial"/>
          <w:szCs w:val="20"/>
        </w:rPr>
        <w:t>days;</w:t>
      </w:r>
      <w:proofErr w:type="gramEnd"/>
      <w:r w:rsidRPr="00037CCB">
        <w:rPr>
          <w:rFonts w:cs="Arial"/>
          <w:szCs w:val="20"/>
        </w:rPr>
        <w:t xml:space="preserve"> </w:t>
      </w:r>
      <w:r w:rsidRPr="00037CCB">
        <w:rPr>
          <w:rFonts w:cs="Arial"/>
          <w:b/>
          <w:bCs/>
          <w:szCs w:val="20"/>
        </w:rPr>
        <w:t>OR</w:t>
      </w:r>
    </w:p>
    <w:p w:rsidRPr="00037CCB" w:rsidR="00037CCB" w:rsidP="00037CCB" w:rsidRDefault="00037CCB" w14:paraId="0451712B" w14:textId="77777777">
      <w:pPr>
        <w:numPr>
          <w:ilvl w:val="2"/>
          <w:numId w:val="17"/>
        </w:numPr>
        <w:jc w:val="both"/>
        <w:rPr>
          <w:rFonts w:cs="Arial"/>
          <w:szCs w:val="20"/>
        </w:rPr>
      </w:pPr>
      <w:r w:rsidRPr="00037CCB">
        <w:rPr>
          <w:rFonts w:cs="Arial"/>
          <w:szCs w:val="20"/>
        </w:rPr>
        <w:t xml:space="preserve">Clinical Consultant review for medical necessity. </w:t>
      </w:r>
    </w:p>
    <w:p w:rsidRPr="002C2C41" w:rsidR="005328B2" w:rsidP="0064149A" w:rsidRDefault="005328B2" w14:paraId="0B0C0D72" w14:textId="77777777">
      <w:pPr>
        <w:rPr>
          <w:rFonts w:cs="Arial"/>
          <w:szCs w:val="20"/>
        </w:rPr>
      </w:pPr>
    </w:p>
    <w:p w:rsidRPr="00C02553" w:rsidR="00AE77DB" w:rsidP="005A2F1E" w:rsidRDefault="00AE77DB" w14:paraId="6413C03A" w14:textId="77777777">
      <w:pPr>
        <w:pStyle w:val="Heading1"/>
        <w:rPr>
          <w:lang w:val="en-US"/>
        </w:rPr>
      </w:pPr>
      <w:r w:rsidRPr="00C02553">
        <w:rPr>
          <w:lang w:val="en-US"/>
        </w:rPr>
        <w:t>Denial Criteria</w:t>
      </w:r>
    </w:p>
    <w:p w:rsidRPr="00C722C9" w:rsidR="00904D7A" w:rsidP="00C722C9" w:rsidRDefault="00904D7A" w14:paraId="730C2B10" w14:textId="77777777">
      <w:pPr>
        <w:pStyle w:val="ListParagraph"/>
      </w:pPr>
      <w:r w:rsidRPr="00C722C9">
        <w:t xml:space="preserve">Therapy will deny </w:t>
      </w:r>
      <w:proofErr w:type="gramStart"/>
      <w:r w:rsidRPr="00C722C9">
        <w:t>with</w:t>
      </w:r>
      <w:proofErr w:type="gramEnd"/>
      <w:r w:rsidRPr="00C722C9">
        <w:t xml:space="preserve"> presence of one of the following:</w:t>
      </w:r>
    </w:p>
    <w:p w:rsidRPr="006E3731" w:rsidR="001E4CBA" w:rsidP="00037CCB" w:rsidRDefault="00904D7A" w14:paraId="4D21EAF1" w14:textId="1069A0F2">
      <w:pPr>
        <w:pStyle w:val="ListParagraph"/>
        <w:numPr>
          <w:ilvl w:val="1"/>
          <w:numId w:val="6"/>
        </w:numPr>
        <w:rPr>
          <w:rFonts w:cs="Arial"/>
          <w:szCs w:val="22"/>
        </w:rPr>
      </w:pPr>
      <w:proofErr w:type="gramStart"/>
      <w:r w:rsidRPr="005328B2">
        <w:t>Any</w:t>
      </w:r>
      <w:proofErr w:type="gramEnd"/>
      <w:r w:rsidRPr="005328B2">
        <w:t xml:space="preserve"> approval criteria </w:t>
      </w:r>
      <w:proofErr w:type="gramStart"/>
      <w:r w:rsidRPr="005328B2">
        <w:t>are not</w:t>
      </w:r>
      <w:proofErr w:type="gramEnd"/>
      <w:r w:rsidRPr="005328B2">
        <w:t xml:space="preserve"> met</w:t>
      </w:r>
      <w:r w:rsidR="00037CCB">
        <w:t>.</w:t>
      </w:r>
    </w:p>
    <w:p w:rsidRPr="002C2C41" w:rsidR="006E3731" w:rsidP="006E3731" w:rsidRDefault="006E3731" w14:paraId="07003EAA" w14:textId="77777777">
      <w:pPr>
        <w:pStyle w:val="ListParagraph"/>
        <w:numPr>
          <w:ilvl w:val="0"/>
          <w:numId w:val="0"/>
        </w:numPr>
        <w:ind w:left="720"/>
        <w:rPr>
          <w:rFonts w:cs="Arial"/>
          <w:szCs w:val="22"/>
        </w:rPr>
      </w:pPr>
    </w:p>
    <w:p w:rsidRPr="00C02553" w:rsidR="00BC5635" w:rsidP="00343D6B" w:rsidRDefault="00BC5635" w14:paraId="050492C1" w14:textId="77777777">
      <w:pPr>
        <w:pStyle w:val="Heading1"/>
        <w:rPr>
          <w:lang w:val="en-US"/>
        </w:rPr>
      </w:pPr>
      <w:bookmarkStart w:name="_Hlk34120952" w:id="1"/>
      <w:r w:rsidRPr="00C02553">
        <w:rPr>
          <w:lang w:val="en-US"/>
        </w:rPr>
        <w:t>Disposition of Edit</w:t>
      </w:r>
    </w:p>
    <w:p w:rsidRPr="00C02553" w:rsidR="00BC5635" w:rsidP="00696E3A" w:rsidRDefault="00C26001" w14:paraId="2A6C8BA0" w14:textId="2F3144DB">
      <w:r w:rsidRPr="00696E3A">
        <w:rPr>
          <w:b/>
          <w:bCs/>
        </w:rPr>
        <w:t>Denial:</w:t>
      </w:r>
      <w:r w:rsidRPr="00C02553" w:rsidR="00074464">
        <w:t xml:space="preserve"> </w:t>
      </w:r>
      <w:r w:rsidRPr="00973BD6" w:rsidR="00973BD6">
        <w:t>Exception Code “0</w:t>
      </w:r>
      <w:r w:rsidR="00126B60">
        <w:t>160</w:t>
      </w:r>
      <w:r w:rsidRPr="00973BD6" w:rsidR="00973BD6">
        <w:t>” (</w:t>
      </w:r>
      <w:r w:rsidR="00126B60">
        <w:t>Preferred Drug List</w:t>
      </w:r>
      <w:r w:rsidRPr="00973BD6" w:rsidR="00973BD6">
        <w:t>)</w:t>
      </w:r>
    </w:p>
    <w:p w:rsidRPr="00C02553" w:rsidR="002A02F4" w:rsidP="00696E3A" w:rsidRDefault="00C26001" w14:paraId="297E1B37" w14:textId="7EFB55E8">
      <w:r w:rsidRPr="00696E3A">
        <w:rPr>
          <w:b/>
          <w:bCs/>
        </w:rPr>
        <w:t>Rule Type:</w:t>
      </w:r>
      <w:r w:rsidRPr="00C02553" w:rsidR="00074464">
        <w:t xml:space="preserve"> </w:t>
      </w:r>
      <w:r w:rsidR="00126B60">
        <w:t>PDL</w:t>
      </w:r>
    </w:p>
    <w:p w:rsidRPr="00C02553" w:rsidR="00343D6B" w:rsidP="00696E3A" w:rsidRDefault="00343D6B" w14:paraId="5D43D3D3" w14:textId="5BBFBF7D">
      <w:r w:rsidRPr="00696E3A">
        <w:rPr>
          <w:b/>
          <w:bCs/>
        </w:rPr>
        <w:t>Default Approval Period:</w:t>
      </w:r>
      <w:r w:rsidR="00973BD6">
        <w:t xml:space="preserve"> </w:t>
      </w:r>
      <w:r w:rsidR="00126B60">
        <w:t>1 year</w:t>
      </w:r>
    </w:p>
    <w:p w:rsidRPr="002C2C41" w:rsidR="00343D6B" w:rsidP="00343D6B" w:rsidRDefault="00343D6B" w14:paraId="6649BF8C" w14:textId="77777777">
      <w:pPr>
        <w:rPr>
          <w:rFonts w:cs="Arial"/>
          <w:szCs w:val="20"/>
        </w:rPr>
      </w:pPr>
    </w:p>
    <w:bookmarkEnd w:id="1"/>
    <w:p w:rsidRPr="00C02553" w:rsidR="00AE77DB" w:rsidP="00343D6B" w:rsidRDefault="00AE77DB" w14:paraId="6413C0CF" w14:textId="530C1EC9">
      <w:pPr>
        <w:pStyle w:val="Heading1"/>
        <w:rPr>
          <w:lang w:val="en-US"/>
        </w:rPr>
      </w:pPr>
      <w:r w:rsidRPr="00C02553">
        <w:rPr>
          <w:lang w:val="en-US"/>
        </w:rPr>
        <w:t>References</w:t>
      </w:r>
    </w:p>
    <w:p w:rsidRPr="00850535" w:rsidR="00F11EAF" w:rsidP="00F11EAF" w:rsidRDefault="00F11EAF" w14:paraId="5F857E66" w14:textId="4864B85D">
      <w:pPr>
        <w:pStyle w:val="ListParagraph"/>
        <w:rPr/>
      </w:pPr>
      <w:r w:rsidR="00F11EAF">
        <w:rPr/>
        <w:t xml:space="preserve">Evidence-Based Medicine Analysis: “Oral Cephalosporins </w:t>
      </w:r>
      <w:r w:rsidR="00F11EAF">
        <w:rPr/>
        <w:t>and</w:t>
      </w:r>
      <w:r w:rsidR="00F11EAF">
        <w:rPr/>
        <w:t xml:space="preserve"> Related Antibiotics</w:t>
      </w:r>
      <w:r w:rsidR="00F11EAF">
        <w:rPr/>
        <w:t>”,</w:t>
      </w:r>
      <w:r w:rsidR="00F11EAF">
        <w:rPr/>
        <w:t xml:space="preserve"> UMKC-DIC; </w:t>
      </w:r>
      <w:r w:rsidR="63D435B9">
        <w:rPr/>
        <w:t xml:space="preserve">September </w:t>
      </w:r>
      <w:r w:rsidR="00F11EAF">
        <w:rPr/>
        <w:t>202</w:t>
      </w:r>
      <w:r w:rsidR="60B946C1">
        <w:rPr/>
        <w:t>5</w:t>
      </w:r>
      <w:r w:rsidR="00F11EAF">
        <w:rPr/>
        <w:t xml:space="preserve">. </w:t>
      </w:r>
    </w:p>
    <w:p w:rsidRPr="00850535" w:rsidR="00F11EAF" w:rsidP="00F11EAF" w:rsidRDefault="00F11EAF" w14:paraId="1F4F0465" w14:textId="77777777">
      <w:pPr>
        <w:pStyle w:val="ListParagraph"/>
      </w:pPr>
      <w:r w:rsidRPr="00850535">
        <w:t>Evidence-Based Medicine and Fiscal Analysis: “Cephalosporins and Related Antibiotics – Oral – Therapeutic Class Review, Conduent Business Services, L.L.C., Richmond, VA; June 2021.</w:t>
      </w:r>
    </w:p>
    <w:p w:rsidRPr="00850535" w:rsidR="00F11EAF" w:rsidP="00F11EAF" w:rsidRDefault="00F11EAF" w14:paraId="35685B67" w14:textId="77777777">
      <w:pPr>
        <w:pStyle w:val="ListParagraph"/>
      </w:pPr>
      <w:r w:rsidRPr="00850535">
        <w:t xml:space="preserve">Letourneau, A., (2019). Beta-lactam antibiotics: mechanisms of action and resistance and adverse effects. In A. Bloom (Ed.), </w:t>
      </w:r>
      <w:r w:rsidRPr="00850535">
        <w:rPr>
          <w:i/>
        </w:rPr>
        <w:t>UpToDate.</w:t>
      </w:r>
    </w:p>
    <w:p w:rsidR="00F11EAF" w:rsidP="00F11EAF" w:rsidRDefault="00F11EAF" w14:paraId="7F87478B" w14:textId="4EEBC679">
      <w:pPr>
        <w:pStyle w:val="ListParagraph"/>
      </w:pPr>
      <w:r w:rsidRPr="00BC5635">
        <w:t>USPDI, Micromedex; 202</w:t>
      </w:r>
      <w:r>
        <w:t>5</w:t>
      </w:r>
      <w:r w:rsidRPr="00BC5635">
        <w:t xml:space="preserve">. </w:t>
      </w:r>
    </w:p>
    <w:p w:rsidR="00777CA4" w:rsidP="00F11EAF" w:rsidRDefault="00F11EAF" w14:paraId="3FA1E7DB" w14:textId="580DFDBD">
      <w:pPr>
        <w:pStyle w:val="ListParagraph"/>
      </w:pPr>
      <w:r w:rsidRPr="00BC5635">
        <w:t xml:space="preserve">Facts and Comparisons </w:t>
      </w:r>
      <w:proofErr w:type="spellStart"/>
      <w:r w:rsidRPr="00BC5635">
        <w:t>eAnswers</w:t>
      </w:r>
      <w:proofErr w:type="spellEnd"/>
      <w:r w:rsidRPr="00BC5635">
        <w:t xml:space="preserve"> (online); 202</w:t>
      </w:r>
      <w:r>
        <w:t>5</w:t>
      </w:r>
      <w:r w:rsidRPr="00BC5635">
        <w:t xml:space="preserve">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orient="portrait"/>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C02553" w:rsidR="00721367" w:rsidP="00AE77DB" w:rsidRDefault="00721367" w14:paraId="2819DA1F" w14:textId="77777777">
      <w:r w:rsidRPr="00C02553">
        <w:separator/>
      </w:r>
    </w:p>
  </w:endnote>
  <w:endnote w:type="continuationSeparator" w:id="0">
    <w:p w:rsidRPr="00C02553" w:rsidR="00721367" w:rsidP="00AE77DB" w:rsidRDefault="00721367" w14:paraId="3CD839EB" w14:textId="77777777">
      <w:r w:rsidRPr="00C02553">
        <w:continuationSeparator/>
      </w:r>
    </w:p>
  </w:endnote>
  <w:endnote w:type="continuationNotice" w:id="1">
    <w:p w:rsidRPr="00C02553" w:rsidR="00721367" w:rsidRDefault="00721367" w14:paraId="0B0DC3C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2553" w:rsidR="00006A61" w:rsidRDefault="00006A61" w14:paraId="6413C0EC" w14:textId="77777777">
    <w:pPr>
      <w:pStyle w:val="Footer"/>
      <w:framePr w:wrap="around" w:hAnchor="margin" w:vAnchor="text"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rsidRPr="00C02553" w:rsidR="00006A61" w:rsidRDefault="00006A61" w14:paraId="6413C0ED" w14:textId="77777777">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2553" w:rsidR="00811A70" w:rsidP="00811A70" w:rsidRDefault="00811A70" w14:paraId="32077ECE" w14:textId="2F12D58C">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rsidRPr="00C02553" w:rsidR="00811A70" w:rsidP="00811A70" w:rsidRDefault="00811A70" w14:paraId="64986366" w14:textId="56923C2A">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rsidRPr="00C02553" w:rsidR="00811A70" w:rsidP="00811A70" w:rsidRDefault="00811A70" w14:paraId="55B904FD" w14:textId="452A3398">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rsidRPr="00C02553" w:rsidR="00811A70" w:rsidRDefault="00811A70" w14:paraId="6B0566A7" w14:textId="62FB1748">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2553" w:rsidR="005058CB" w:rsidP="005058CB" w:rsidRDefault="005058CB" w14:paraId="027132A3" w14:textId="7267A10D">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rsidRPr="00C02553" w:rsidR="005058CB" w:rsidP="005058CB" w:rsidRDefault="005058CB" w14:paraId="4BB04B71" w14:textId="6D51E804">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rsidRPr="00C02553" w:rsidR="005058CB" w:rsidP="005058CB" w:rsidRDefault="005058CB" w14:paraId="02F12BA7" w14:textId="454AF8AF">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C02553" w:rsidR="00721367" w:rsidP="00AE77DB" w:rsidRDefault="00721367" w14:paraId="0D0E805C" w14:textId="77777777">
      <w:r w:rsidRPr="00C02553">
        <w:separator/>
      </w:r>
    </w:p>
  </w:footnote>
  <w:footnote w:type="continuationSeparator" w:id="0">
    <w:p w:rsidRPr="00C02553" w:rsidR="00721367" w:rsidP="00AE77DB" w:rsidRDefault="00721367" w14:paraId="5846A7A5" w14:textId="77777777">
      <w:r w:rsidRPr="00C02553">
        <w:continuationSeparator/>
      </w:r>
    </w:p>
  </w:footnote>
  <w:footnote w:type="continuationNotice" w:id="1">
    <w:p w:rsidRPr="00C02553" w:rsidR="00721367" w:rsidRDefault="00721367" w14:paraId="217ACFC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2553" w:rsidR="00006A61" w:rsidRDefault="00E9149C" w14:paraId="6413C0EA" w14:textId="379CBC0E">
    <w:pPr>
      <w:pStyle w:val="Header"/>
      <w:framePr w:wrap="around" w:hAnchor="margin" w:vAnchor="text"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style="position:absolute;margin-left:0;margin-top:0;width:471.3pt;height:188.5pt;rotation:315;z-index:-251654144;mso-position-horizontal:center;mso-position-horizontal-relative:margin;mso-position-vertical:center;mso-position-vertical-relative:margin" o:spid="_x0000_s1026" o:allowincell="f" fillcolor="#8db3e2 [1311]" stroked="f" type="#_x0000_t136">
          <v:fill opacity=".5"/>
          <v:textpath style="font-family:&quot;Arial&quot;;font-size:1pt" string="DRAFT"/>
          <w10:wrap anchorx="margin" anchory="margin"/>
        </v:shape>
      </w:pict>
    </w:r>
    <w:r w:rsidRPr="00C02553" w:rsidR="00006A61">
      <w:rPr>
        <w:rStyle w:val="PageNumber"/>
        <w:rFonts w:ascii="Times New Roman" w:hAnsi="Times New Roman"/>
      </w:rPr>
      <w:fldChar w:fldCharType="begin"/>
    </w:r>
    <w:r w:rsidRPr="00C02553" w:rsidR="00006A61">
      <w:rPr>
        <w:rStyle w:val="PageNumber"/>
        <w:rFonts w:ascii="Times New Roman" w:hAnsi="Times New Roman"/>
      </w:rPr>
      <w:instrText xml:space="preserve">PAGE  </w:instrText>
    </w:r>
    <w:r w:rsidRPr="00C02553" w:rsidR="00006A61">
      <w:rPr>
        <w:rStyle w:val="PageNumber"/>
        <w:rFonts w:ascii="Times New Roman" w:hAnsi="Times New Roman"/>
      </w:rPr>
      <w:fldChar w:fldCharType="separate"/>
    </w:r>
    <w:r w:rsidRPr="00C02553" w:rsidR="00006A61">
      <w:rPr>
        <w:rStyle w:val="PageNumber"/>
        <w:rFonts w:ascii="Times New Roman" w:hAnsi="Times New Roman"/>
      </w:rPr>
      <w:t>2</w:t>
    </w:r>
    <w:r w:rsidRPr="00C02553" w:rsidR="00006A61">
      <w:rPr>
        <w:rStyle w:val="PageNumber"/>
        <w:rFonts w:ascii="Times New Roman" w:hAnsi="Times New Roman"/>
      </w:rPr>
      <w:fldChar w:fldCharType="end"/>
    </w:r>
  </w:p>
  <w:p w:rsidRPr="00C02553" w:rsidR="00006A61" w:rsidRDefault="00006A61" w14:paraId="6413C0EB" w14:textId="77777777">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6936" w:rsidRDefault="00E9149C" w14:paraId="704B5C89" w14:textId="54C3FB2C">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style="position:absolute;margin-left:0;margin-top:0;width:471.3pt;height:188.5pt;rotation:315;z-index:-251652096;mso-position-horizontal:center;mso-position-horizontal-relative:margin;mso-position-vertical:center;mso-position-vertical-relative:margin" o:spid="_x0000_s1027" o:allowincell="f" fillcolor="#8db3e2 [1311]" stroked="f" type="#_x0000_t136">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ma14="http://schemas.microsoft.com/office/mac/drawingml/2011/main" mc:Ignorable="w14 w15 w16se w16cid w16 w16cex w16sdtdh w16sdtfl w16du wp14">
  <w:p w:rsidRPr="00C02553" w:rsidR="00006A61" w:rsidRDefault="00AB0B9F" w14:paraId="6413C0F5" w14:textId="28841AA8">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E9149C">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style="position:absolute;margin-left:0;margin-top:0;width:471.3pt;height:188.5pt;rotation:315;z-index:-251656192;mso-position-horizontal:center;mso-position-horizontal-relative:margin;mso-position-vertical:center;mso-position-vertical-relative:margin" o:spid="_x0000_s1025" o:allowincell="f" fillcolor="#8db3e2 [1311]" stroked="f" type="#_x0000_t136">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hint="default" w:ascii="Symbol" w:hAnsi="Symbol"/>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hint="default" w:ascii="Symbol" w:hAnsi="Symbol"/>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hint="default" w:ascii="Symbol" w:hAnsi="Symbol"/>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hint="default" w:ascii="Symbol" w:hAnsi="Symbo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AA0605E"/>
    <w:multiLevelType w:val="hybridMultilevel"/>
    <w:tmpl w:val="9A3ECC7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hint="default" w:ascii="Symbol" w:hAnsi="Symbo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D1D3F76"/>
    <w:multiLevelType w:val="hybridMultilevel"/>
    <w:tmpl w:val="9CDC0D56"/>
    <w:lvl w:ilvl="0" w:tplc="2458C6F0">
      <w:start w:val="1"/>
      <w:numFmt w:val="bullet"/>
      <w:lvlText w:val=""/>
      <w:lvlJc w:val="left"/>
      <w:pPr>
        <w:tabs>
          <w:tab w:val="num" w:pos="360"/>
        </w:tabs>
        <w:ind w:left="360" w:hanging="360"/>
      </w:pPr>
      <w:rPr>
        <w:rFonts w:hint="default" w:ascii="Symbol" w:hAnsi="Symbol"/>
        <w:color w:val="auto"/>
      </w:rPr>
    </w:lvl>
    <w:lvl w:ilvl="1" w:tplc="E91A3DF2">
      <w:start w:val="1"/>
      <w:numFmt w:val="bullet"/>
      <w:lvlText w:val=""/>
      <w:lvlJc w:val="left"/>
      <w:pPr>
        <w:tabs>
          <w:tab w:val="num" w:pos="1080"/>
        </w:tabs>
        <w:ind w:left="1080" w:hanging="360"/>
      </w:pPr>
      <w:rPr>
        <w:rFonts w:hint="default" w:ascii="Symbol" w:hAnsi="Symbol"/>
        <w:color w:val="auto"/>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4D061E63"/>
    <w:multiLevelType w:val="hybridMultilevel"/>
    <w:tmpl w:val="F5F8CF0A"/>
    <w:lvl w:ilvl="0" w:tplc="04090001">
      <w:start w:val="1"/>
      <w:numFmt w:val="bullet"/>
      <w:lvlText w:val=""/>
      <w:lvlJc w:val="left"/>
      <w:pPr>
        <w:tabs>
          <w:tab w:val="num" w:pos="360"/>
        </w:tabs>
        <w:ind w:left="360" w:hanging="360"/>
      </w:pPr>
      <w:rPr>
        <w:rFonts w:hint="default" w:ascii="Symbol" w:hAnsi="Symbo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D643976"/>
    <w:multiLevelType w:val="hybridMultilevel"/>
    <w:tmpl w:val="B88699D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720" w:hanging="360"/>
      </w:pPr>
      <w:rPr>
        <w:rFonts w:hint="default" w:ascii="Courier New" w:hAnsi="Courier New" w:cs="Courier New"/>
      </w:rPr>
    </w:lvl>
    <w:lvl w:ilvl="2" w:tplc="04090005">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hint="default" w:ascii="Symbol" w:hAnsi="Symbol"/>
      </w:rPr>
    </w:lvl>
    <w:lvl w:ilvl="1">
      <w:start w:val="1"/>
      <w:numFmt w:val="bullet"/>
      <w:lvlText w:val="o"/>
      <w:lvlJc w:val="left"/>
      <w:pPr>
        <w:ind w:left="720" w:hanging="360"/>
      </w:pPr>
      <w:rPr>
        <w:rFonts w:hint="default" w:ascii="Courier New" w:hAnsi="Courier New" w:cs="Courier New"/>
      </w:rPr>
    </w:lvl>
    <w:lvl w:ilvl="2">
      <w:start w:val="1"/>
      <w:numFmt w:val="bullet"/>
      <w:lvlText w:val=""/>
      <w:lvlJc w:val="left"/>
      <w:pPr>
        <w:ind w:left="108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hint="default" w:ascii="Symbol" w:hAnsi="Symbol"/>
      </w:rPr>
    </w:lvl>
    <w:lvl w:ilvl="1">
      <w:start w:val="1"/>
      <w:numFmt w:val="bullet"/>
      <w:lvlText w:val="o"/>
      <w:lvlJc w:val="left"/>
      <w:pPr>
        <w:ind w:left="720" w:hanging="360"/>
      </w:pPr>
      <w:rPr>
        <w:rFonts w:hint="default" w:ascii="Courier New" w:hAnsi="Courier New" w:cs="Courier New"/>
      </w:rPr>
    </w:lvl>
    <w:lvl w:ilvl="2">
      <w:start w:val="1"/>
      <w:numFmt w:val="bullet"/>
      <w:lvlText w:val=""/>
      <w:lvlJc w:val="left"/>
      <w:pPr>
        <w:ind w:left="108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num w:numId="1" w16cid:durableId="367994657">
    <w:abstractNumId w:val="0"/>
  </w:num>
  <w:num w:numId="2" w16cid:durableId="517891239">
    <w:abstractNumId w:val="17"/>
  </w:num>
  <w:num w:numId="3" w16cid:durableId="1729067566">
    <w:abstractNumId w:val="4"/>
  </w:num>
  <w:num w:numId="4" w16cid:durableId="320159068">
    <w:abstractNumId w:val="8"/>
  </w:num>
  <w:num w:numId="5" w16cid:durableId="1769498754">
    <w:abstractNumId w:val="3"/>
  </w:num>
  <w:num w:numId="6" w16cid:durableId="1094596320">
    <w:abstractNumId w:val="15"/>
  </w:num>
  <w:num w:numId="7" w16cid:durableId="2110008555">
    <w:abstractNumId w:val="2"/>
  </w:num>
  <w:num w:numId="8" w16cid:durableId="489712751">
    <w:abstractNumId w:val="7"/>
  </w:num>
  <w:num w:numId="9" w16cid:durableId="1085147965">
    <w:abstractNumId w:val="11"/>
  </w:num>
  <w:num w:numId="10" w16cid:durableId="917518096">
    <w:abstractNumId w:val="9"/>
  </w:num>
  <w:num w:numId="11" w16cid:durableId="1894998475">
    <w:abstractNumId w:val="1"/>
  </w:num>
  <w:num w:numId="12" w16cid:durableId="1418215296">
    <w:abstractNumId w:val="16"/>
  </w:num>
  <w:num w:numId="13" w16cid:durableId="604729665">
    <w:abstractNumId w:val="6"/>
  </w:num>
  <w:num w:numId="14" w16cid:durableId="1805081292">
    <w:abstractNumId w:val="14"/>
  </w:num>
  <w:num w:numId="15" w16cid:durableId="331838119">
    <w:abstractNumId w:val="10"/>
  </w:num>
  <w:num w:numId="16" w16cid:durableId="1175727506">
    <w:abstractNumId w:val="5"/>
  </w:num>
  <w:num w:numId="17" w16cid:durableId="787236449">
    <w:abstractNumId w:val="13"/>
  </w:num>
  <w:num w:numId="18" w16cid:durableId="205843121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val="false"/>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37CCB"/>
    <w:rsid w:val="00040083"/>
    <w:rsid w:val="00040AD3"/>
    <w:rsid w:val="00053807"/>
    <w:rsid w:val="000572E5"/>
    <w:rsid w:val="00057F84"/>
    <w:rsid w:val="00061541"/>
    <w:rsid w:val="00064162"/>
    <w:rsid w:val="00065C22"/>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636A"/>
    <w:rsid w:val="00172053"/>
    <w:rsid w:val="00177A80"/>
    <w:rsid w:val="001A50CB"/>
    <w:rsid w:val="001A74B7"/>
    <w:rsid w:val="001B2D47"/>
    <w:rsid w:val="001C0250"/>
    <w:rsid w:val="001C6DA4"/>
    <w:rsid w:val="001C73B1"/>
    <w:rsid w:val="001D1E7D"/>
    <w:rsid w:val="001D6567"/>
    <w:rsid w:val="001D73FF"/>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C2C41"/>
    <w:rsid w:val="002C62E7"/>
    <w:rsid w:val="002D6ACF"/>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878C1"/>
    <w:rsid w:val="00396C0B"/>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344B8"/>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3856"/>
    <w:rsid w:val="00576113"/>
    <w:rsid w:val="00590652"/>
    <w:rsid w:val="0059235F"/>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29D7"/>
    <w:rsid w:val="006E3731"/>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3FD8"/>
    <w:rsid w:val="008D6B05"/>
    <w:rsid w:val="008E7D2D"/>
    <w:rsid w:val="008F44C0"/>
    <w:rsid w:val="008F5999"/>
    <w:rsid w:val="00903AD6"/>
    <w:rsid w:val="00904D7A"/>
    <w:rsid w:val="00915332"/>
    <w:rsid w:val="009204BB"/>
    <w:rsid w:val="00935918"/>
    <w:rsid w:val="00935EC3"/>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9F1559"/>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10E6"/>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7501"/>
    <w:rsid w:val="00DF2B07"/>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3428"/>
    <w:rsid w:val="00E84C58"/>
    <w:rsid w:val="00E873A5"/>
    <w:rsid w:val="00E90D11"/>
    <w:rsid w:val="00E9149C"/>
    <w:rsid w:val="00E915E5"/>
    <w:rsid w:val="00EB0367"/>
    <w:rsid w:val="00EB4FB9"/>
    <w:rsid w:val="00EB5BC8"/>
    <w:rsid w:val="00EC2738"/>
    <w:rsid w:val="00ED7B42"/>
    <w:rsid w:val="00EE3EA5"/>
    <w:rsid w:val="00EE613F"/>
    <w:rsid w:val="00EE6BD1"/>
    <w:rsid w:val="00EF0262"/>
    <w:rsid w:val="00EF0828"/>
    <w:rsid w:val="00EF6F8B"/>
    <w:rsid w:val="00F03898"/>
    <w:rsid w:val="00F11EAF"/>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5E96"/>
    <w:rsid w:val="00FC05A0"/>
    <w:rsid w:val="00FC6758"/>
    <w:rsid w:val="00FD34EA"/>
    <w:rsid w:val="00FE3F3E"/>
    <w:rsid w:val="00FE4D52"/>
    <w:rsid w:val="00FE5AEE"/>
    <w:rsid w:val="00FF106B"/>
    <w:rsid w:val="19330F22"/>
    <w:rsid w:val="60B946C1"/>
    <w:rsid w:val="63D435B9"/>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color="auto" w:sz="4" w:space="1" w:shadow="1"/>
        <w:left w:val="single" w:color="auto" w:sz="4" w:space="4" w:shadow="1"/>
        <w:bottom w:val="single" w:color="auto" w:sz="4" w:space="1" w:shadow="1"/>
        <w:right w:val="single" w:color="auto" w:sz="4" w:space="4"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styleId="BalloonTextChar" w:customStyle="1">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itle">
    <w:name w:val="Title"/>
    <w:basedOn w:val="Normal"/>
    <w:next w:val="Normal"/>
    <w:link w:val="TitleChar"/>
    <w:rsid w:val="000C3940"/>
    <w:pPr>
      <w:framePr w:hSpace="180" w:wrap="around" w:hAnchor="text" w:vAnchor="page" w:xAlign="center" w:y="2851"/>
      <w:suppressAutoHyphens/>
      <w:spacing w:after="60" w:line="820" w:lineRule="exact"/>
    </w:pPr>
    <w:rPr>
      <w:rFonts w:cs="Arial"/>
      <w:color w:val="2895D5"/>
      <w:sz w:val="76"/>
      <w:szCs w:val="66"/>
    </w:rPr>
  </w:style>
  <w:style w:type="character" w:styleId="TitleChar" w:customStyle="1">
    <w:name w:val="Title Char"/>
    <w:basedOn w:val="DefaultParagraphFont"/>
    <w:link w:val="Title"/>
    <w:rsid w:val="000C3940"/>
    <w:rPr>
      <w:rFonts w:ascii="Arial" w:hAnsi="Arial" w:cs="Arial"/>
      <w:color w:val="2895D5"/>
      <w:sz w:val="76"/>
      <w:szCs w:val="66"/>
    </w:rPr>
  </w:style>
  <w:style w:type="paragraph" w:styleId="Title2" w:customStyle="1">
    <w:name w:val="Title2"/>
    <w:basedOn w:val="Normal"/>
    <w:next w:val="Normal"/>
    <w:rsid w:val="000C3940"/>
    <w:pPr>
      <w:framePr w:hSpace="180" w:wrap="around" w:hAnchor="text" w:vAnchor="page" w:xAlign="center" w:y="2851"/>
      <w:suppressAutoHyphens/>
      <w:spacing w:after="60" w:line="520" w:lineRule="exact"/>
    </w:pPr>
    <w:rPr>
      <w:rFonts w:cs="Arial"/>
      <w:color w:val="595959"/>
      <w:sz w:val="46"/>
      <w:szCs w:val="66"/>
      <w:lang w:val="it-IT"/>
    </w:rPr>
  </w:style>
  <w:style w:type="paragraph" w:styleId="theader" w:customStyle="1">
    <w:name w:val="theader"/>
    <w:basedOn w:val="Normal"/>
    <w:rsid w:val="000C3940"/>
    <w:pPr>
      <w:tabs>
        <w:tab w:val="left" w:pos="2400"/>
      </w:tabs>
      <w:suppressAutoHyphens/>
      <w:spacing w:before="60" w:after="60" w:line="220" w:lineRule="exact"/>
    </w:pPr>
    <w:rPr>
      <w:b/>
      <w:color w:val="FFFFFF"/>
      <w:sz w:val="18"/>
      <w:szCs w:val="20"/>
    </w:rPr>
  </w:style>
  <w:style w:type="paragraph" w:styleId="tbody" w:customStyle="1">
    <w:name w:val="tbody"/>
    <w:basedOn w:val="Normal"/>
    <w:qFormat/>
    <w:rsid w:val="00D27533"/>
    <w:pPr>
      <w:suppressAutoHyphens/>
      <w:spacing w:before="60" w:after="60"/>
    </w:pPr>
    <w:rPr>
      <w:b/>
      <w:szCs w:val="20"/>
    </w:rPr>
  </w:style>
  <w:style w:type="paragraph" w:styleId="Style1" w:customStyle="1">
    <w:name w:val="Style1"/>
    <w:basedOn w:val="Heading2"/>
    <w:link w:val="Style1Char"/>
    <w:qFormat/>
    <w:rsid w:val="000913C3"/>
    <w:rPr>
      <w:sz w:val="28"/>
    </w:rPr>
  </w:style>
  <w:style w:type="character" w:styleId="Heading2Char" w:customStyle="1">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styleId="Style1Char" w:customStyle="1">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styleId="normaltextrun" w:customStyle="1">
    <w:name w:val="normaltextrun"/>
    <w:basedOn w:val="DefaultParagraphFont"/>
    <w:rsid w:val="00D71917"/>
  </w:style>
  <w:style w:type="character" w:styleId="eop" w:customStyle="1">
    <w:name w:val="eop"/>
    <w:basedOn w:val="DefaultParagraphFont"/>
    <w:rsid w:val="00D71917"/>
  </w:style>
  <w:style w:type="paragraph" w:styleId="paragraph" w:customStyle="1">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styleId="HeaderChar" w:customStyle="1">
    <w:name w:val="Header Char"/>
    <w:basedOn w:val="DefaultParagraphFont"/>
    <w:link w:val="Header"/>
    <w:rsid w:val="00F62F33"/>
    <w:rPr>
      <w:rFonts w:ascii="Arial" w:hAnsi="Arial"/>
      <w:sz w:val="22"/>
    </w:rPr>
  </w:style>
  <w:style w:type="numbering" w:styleId="References" w:customStyle="1">
    <w:name w:val="References"/>
    <w:basedOn w:val="NoList"/>
    <w:uiPriority w:val="99"/>
    <w:rsid w:val="00F95D04"/>
    <w:pPr>
      <w:numPr>
        <w:numId w:val="2"/>
      </w:numPr>
    </w:pPr>
  </w:style>
  <w:style w:type="numbering" w:styleId="ListProposal" w:customStyle="1">
    <w:name w:val="List Proposal"/>
    <w:basedOn w:val="NoList"/>
    <w:uiPriority w:val="99"/>
    <w:rsid w:val="003A630F"/>
    <w:pPr>
      <w:numPr>
        <w:numId w:val="4"/>
      </w:numPr>
    </w:pPr>
  </w:style>
  <w:style w:type="numbering" w:styleId="ProposalCriteria" w:customStyle="1">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styleId="ProposalCriteria2" w:customStyle="1">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hAnsi="Arial" w:eastAsia="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55BDAD75-A929-4EA1-A0F3-8539826686E6}"/>
</file>

<file path=customXml/itemProps3.xml><?xml version="1.0" encoding="utf-8"?>
<ds:datastoreItem xmlns:ds="http://schemas.openxmlformats.org/officeDocument/2006/customXml" ds:itemID="{0F9992BC-7C11-4A83-A97F-D2E41AE80BFC}">
  <ds:schemaRefs>
    <ds:schemaRef ds:uri="http://schemas.microsoft.com/sharepoint/v3"/>
    <ds:schemaRef ds:uri="1e4a61f8-8acd-406c-9ffc-156367cd3fec"/>
    <ds:schemaRef ds:uri="http://purl.org/dc/terms/"/>
    <ds:schemaRef ds:uri="http://schemas.openxmlformats.org/package/2006/metadata/core-properties"/>
    <ds:schemaRef ds:uri="54a97082-99d0-4cd5-8c93-88769c19209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DSS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Cephalosporin Agents PDL Edit</dc:title>
  <dc:creator>DMS</dc:creator>
  <lastModifiedBy>Morsches, Phuonglinh</lastModifiedBy>
  <revision>13</revision>
  <lastPrinted>2018-10-31T20:17:00.0000000Z</lastPrinted>
  <dcterms:created xsi:type="dcterms:W3CDTF">2025-11-25T03:23:00.0000000Z</dcterms:created>
  <dcterms:modified xsi:type="dcterms:W3CDTF">2025-12-10T02:30:17.7225708Z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