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553" w:rsidR="00AE77DB" w:rsidP="00D02F34" w:rsidRDefault="000C3940" w14:paraId="6413BFD8" w14:textId="7F9C5CD2">
      <w:pPr>
        <w:pStyle w:val="Heading1"/>
        <w:rPr>
          <w:lang w:val="en-US"/>
        </w:rPr>
      </w:pPr>
      <w:bookmarkStart w:name="_Hlk792159" w:id="0"/>
      <w:r w:rsidRPr="00C02553">
        <w:rPr>
          <w:lang w:val="en-US"/>
        </w:rPr>
        <w:t>SmartPA Criteria Proposal</w:t>
      </w:r>
      <w:bookmarkEnd w:id="0"/>
    </w:p>
    <w:p w:rsidRPr="00C02553" w:rsidR="00AE77DB" w:rsidP="00074464" w:rsidRDefault="00AE77DB" w14:paraId="6413BFE7" w14:textId="506D81F7">
      <w:pPr>
        <w:rPr>
          <w:rFonts w:cs="Arial"/>
          <w:b/>
          <w:spacing w:val="-3"/>
          <w:szCs w:val="20"/>
        </w:rPr>
      </w:pPr>
    </w:p>
    <w:p w:rsidRPr="00DF0CF9" w:rsidR="004C5767" w:rsidP="00D27533" w:rsidRDefault="004C5767" w14:paraId="52CF6EBC" w14:textId="711C4F7E">
      <w:pPr>
        <w:pStyle w:val="tbody"/>
        <w:rPr>
          <w:b w:val="0"/>
          <w:bCs/>
        </w:rPr>
      </w:pPr>
      <w:r w:rsidRPr="00C02553">
        <w:t>Drug/Drug Class:</w:t>
      </w:r>
      <w:r w:rsidR="003B4820">
        <w:t xml:space="preserve"> </w:t>
      </w:r>
      <w:r w:rsidRPr="00DF0CF9" w:rsidR="000C1429">
        <w:rPr>
          <w:b w:val="0"/>
          <w:bCs/>
        </w:rPr>
        <w:t>Antibiotics, Vaginal PDL Edit</w:t>
      </w:r>
    </w:p>
    <w:p w:rsidRPr="00DF0CF9" w:rsidR="004C5767" w:rsidP="00D27533" w:rsidRDefault="004C5767" w14:paraId="7AD7FFCE" w14:textId="436247A0">
      <w:pPr>
        <w:pStyle w:val="tbody"/>
        <w:rPr>
          <w:b w:val="0"/>
          <w:bCs/>
        </w:rPr>
      </w:pPr>
      <w:r w:rsidRPr="00C02553">
        <w:t xml:space="preserve">First Implementation Date: </w:t>
      </w:r>
      <w:r w:rsidRPr="00DF0CF9" w:rsidR="00DF0CF9">
        <w:rPr>
          <w:b w:val="0"/>
          <w:bCs/>
        </w:rPr>
        <w:t>June 16, 2009</w:t>
      </w:r>
    </w:p>
    <w:p w:rsidRPr="00057F84" w:rsidR="004C5767" w:rsidP="70E341D6" w:rsidRDefault="00F41F69" w14:paraId="4B7D760D" w14:textId="77F84E4D">
      <w:pPr>
        <w:pStyle w:val="tbody"/>
        <w:rPr>
          <w:b w:val="0"/>
        </w:rPr>
      </w:pPr>
      <w:proofErr w:type="gramStart"/>
      <w:r>
        <w:t>Propo</w:t>
      </w:r>
      <w:r w:rsidR="004C5767">
        <w:t>sed Date</w:t>
      </w:r>
      <w:proofErr w:type="gramEnd"/>
      <w:r w:rsidR="004C5767">
        <w:t>:</w:t>
      </w:r>
      <w:r w:rsidR="00065C22">
        <w:t xml:space="preserve"> </w:t>
      </w:r>
      <w:r w:rsidR="00057F84">
        <w:rPr>
          <w:b w:val="0"/>
        </w:rPr>
        <w:t>January 20, 202</w:t>
      </w:r>
      <w:r w:rsidR="6EB7A09E">
        <w:rPr>
          <w:b w:val="0"/>
        </w:rPr>
        <w:t>6</w:t>
      </w:r>
    </w:p>
    <w:p w:rsidRPr="00C02553" w:rsidR="004C5767" w:rsidP="00D27533" w:rsidRDefault="004C5767" w14:paraId="2726A013" w14:textId="3C40E9DA">
      <w:pPr>
        <w:pStyle w:val="tbody"/>
      </w:pPr>
      <w:r w:rsidRPr="00C02553">
        <w:t xml:space="preserve">Prepared For: </w:t>
      </w:r>
      <w:r w:rsidRPr="00D27533" w:rsidR="00EE613F">
        <w:rPr>
          <w:b w:val="0"/>
          <w:bCs/>
        </w:rPr>
        <w:t>MO HealthNet</w:t>
      </w:r>
      <w:r w:rsidRPr="00C02553">
        <w:tab/>
      </w:r>
    </w:p>
    <w:p w:rsidRPr="00C02553" w:rsidR="004C5767" w:rsidP="00D27533" w:rsidRDefault="004C5767" w14:paraId="0FD7BA18" w14:textId="61E24131">
      <w:pPr>
        <w:pStyle w:val="tbody"/>
      </w:pPr>
      <w:r w:rsidRPr="00C02553">
        <w:t xml:space="preserve">Prepared By: </w:t>
      </w:r>
      <w:r w:rsidRPr="00D27533" w:rsidR="00303B21">
        <w:rPr>
          <w:b w:val="0"/>
          <w:bCs/>
        </w:rPr>
        <w:t>MO HealthNet and Conduent</w:t>
      </w:r>
      <w:r w:rsidRPr="00C02553">
        <w:tab/>
      </w:r>
    </w:p>
    <w:p w:rsidRPr="00D27533" w:rsidR="004C5767" w:rsidP="00D27533" w:rsidRDefault="004C5767" w14:paraId="227AEF75" w14:textId="6B6AC174">
      <w:pPr>
        <w:pStyle w:val="tbody"/>
        <w:rPr>
          <w:b w:val="0"/>
          <w:bCs/>
          <w:spacing w:val="-3"/>
        </w:rPr>
      </w:pPr>
      <w:r w:rsidRPr="00C02553">
        <w:t xml:space="preserve">Criteria Status: </w:t>
      </w:r>
      <w:r w:rsidRPr="00D27533" w:rsidR="00566BE4">
        <w:rPr>
          <w:b w:val="0"/>
          <w:bCs/>
          <w:spacing w:val="-3"/>
        </w:rPr>
        <w:t>Existing Criteria</w:t>
      </w:r>
    </w:p>
    <w:p w:rsidRPr="002C2C41" w:rsidR="004C5767" w:rsidP="00E23EC0" w:rsidRDefault="004C5767" w14:paraId="03479354" w14:textId="77777777">
      <w:pPr>
        <w:rPr>
          <w:rFonts w:cs="Arial"/>
          <w:szCs w:val="20"/>
        </w:rPr>
      </w:pPr>
    </w:p>
    <w:p w:rsidRPr="00C02553" w:rsidR="00AE77DB" w:rsidP="004C5767" w:rsidRDefault="00AE77DB" w14:paraId="6413BFE8" w14:textId="77777777">
      <w:pPr>
        <w:pStyle w:val="Heading1"/>
        <w:rPr>
          <w:lang w:val="en-US"/>
        </w:rPr>
      </w:pPr>
      <w:r w:rsidRPr="00C02553">
        <w:rPr>
          <w:lang w:val="en-US"/>
        </w:rPr>
        <w:t xml:space="preserve">Executive Summary </w:t>
      </w:r>
    </w:p>
    <w:p w:rsidRPr="00696E3A" w:rsidR="00B33693" w:rsidP="00696E3A" w:rsidRDefault="00E23EC0" w14:paraId="706FFC95" w14:textId="77777777">
      <w:pPr>
        <w:rPr>
          <w:b/>
          <w:bCs/>
        </w:rPr>
      </w:pPr>
      <w:r w:rsidRPr="00696E3A">
        <w:rPr>
          <w:b/>
          <w:bCs/>
        </w:rPr>
        <w:t>Purpose:</w:t>
      </w:r>
      <w:r w:rsidRPr="00696E3A" w:rsidR="00290A03">
        <w:rPr>
          <w:b/>
          <w:bCs/>
        </w:rPr>
        <w:t xml:space="preserve"> </w:t>
      </w:r>
    </w:p>
    <w:p w:rsidR="00D47996" w:rsidP="00696E3A" w:rsidRDefault="00D47996" w14:paraId="33DF7A62" w14:textId="77777777">
      <w:r w:rsidRPr="00D47996">
        <w:t xml:space="preserve">The MO HealthNet Pharmacy Program will implement a state-specific preferred drug list.  </w:t>
      </w:r>
    </w:p>
    <w:p w:rsidRPr="002C2C41" w:rsidR="00E23EC0" w:rsidP="00696E3A" w:rsidRDefault="00E23EC0" w14:paraId="2320C114" w14:textId="4452B466">
      <w:pPr>
        <w:rPr>
          <w:rFonts w:cs="Arial"/>
          <w:szCs w:val="20"/>
        </w:rPr>
      </w:pPr>
      <w:r w:rsidRPr="00C02553">
        <w:tab/>
      </w:r>
    </w:p>
    <w:p w:rsidRPr="00696E3A" w:rsidR="00E23EC0" w:rsidP="00696E3A" w:rsidRDefault="00E23EC0" w14:paraId="3A9BE506" w14:textId="11761DC1">
      <w:pPr>
        <w:rPr>
          <w:b/>
          <w:bCs/>
        </w:rPr>
      </w:pPr>
      <w:r w:rsidRPr="00696E3A">
        <w:rPr>
          <w:b/>
          <w:bCs/>
        </w:rPr>
        <w:t>Why Issue Selected:</w:t>
      </w:r>
    </w:p>
    <w:p w:rsidR="00B74B59" w:rsidP="00B74B59" w:rsidRDefault="00B74B59" w14:paraId="41E4EB0F" w14:textId="77777777">
      <w:pPr>
        <w:pStyle w:val="Header"/>
        <w:tabs>
          <w:tab w:val="left" w:pos="720"/>
        </w:tabs>
        <w:rPr>
          <w:rFonts w:cs="Arial"/>
          <w:spacing w:val="-3"/>
          <w:sz w:val="20"/>
        </w:rPr>
      </w:pPr>
      <w:r>
        <w:rPr>
          <w:rFonts w:cs="Arial"/>
          <w:spacing w:val="-3"/>
          <w:sz w:val="20"/>
        </w:rPr>
        <w:t xml:space="preserve">Intravaginal antibiotics are indicated for vaginal infections.  </w:t>
      </w:r>
      <w:proofErr w:type="gramStart"/>
      <w:r>
        <w:rPr>
          <w:rFonts w:cs="Arial"/>
          <w:spacing w:val="-3"/>
          <w:sz w:val="20"/>
        </w:rPr>
        <w:t>All of</w:t>
      </w:r>
      <w:proofErr w:type="gramEnd"/>
      <w:r>
        <w:rPr>
          <w:rFonts w:cs="Arial"/>
          <w:spacing w:val="-3"/>
          <w:sz w:val="20"/>
        </w:rPr>
        <w:t xml:space="preserve"> the intravaginal antibiotics included within this class are FDA approved for the treatment of bacterial vaginosis (BV).  BV is a condition caused by a shift in vaginal microbiota away from the </w:t>
      </w:r>
      <w:r>
        <w:rPr>
          <w:rFonts w:cs="Arial"/>
          <w:i/>
          <w:spacing w:val="-3"/>
          <w:sz w:val="20"/>
        </w:rPr>
        <w:t xml:space="preserve">Lactobacillus </w:t>
      </w:r>
      <w:r>
        <w:rPr>
          <w:rFonts w:cs="Arial"/>
          <w:spacing w:val="-3"/>
          <w:sz w:val="20"/>
        </w:rPr>
        <w:t xml:space="preserve">species toward more diverse, anaerobic, bacterial species leading to a resultant increase in vaginal </w:t>
      </w:r>
      <w:proofErr w:type="spellStart"/>
      <w:r>
        <w:rPr>
          <w:rFonts w:cs="Arial"/>
          <w:spacing w:val="-3"/>
          <w:sz w:val="20"/>
        </w:rPr>
        <w:t>pH.</w:t>
      </w:r>
      <w:proofErr w:type="spellEnd"/>
      <w:r>
        <w:rPr>
          <w:rFonts w:cs="Arial"/>
          <w:spacing w:val="-3"/>
          <w:sz w:val="20"/>
        </w:rPr>
        <w:t xml:space="preserve"> Treatment is indicated for symptomatic females and as prevention of postoperative infections for those who are asymptomatic.  Treatment of BV with the use of these agents may decrease the risk of developing sexually transmitted diseases such as HIV. This concept has led to the use of these antibiotic agents in BV-infected individuals regardless of the presence or absence of symptoms.  However, consensus recommendations dictate it is not necessary to treat asymptomatic patients unless they are pregnant. Contraindications, warnings, adverse drug events, and drug interactions are similar for all products used for the treatment of BV and are considered a class effect. </w:t>
      </w:r>
    </w:p>
    <w:p w:rsidR="00B74B59" w:rsidP="00B74B59" w:rsidRDefault="00B74B59" w14:paraId="061A6E54" w14:textId="77777777">
      <w:pPr>
        <w:pStyle w:val="Header"/>
        <w:tabs>
          <w:tab w:val="left" w:pos="720"/>
        </w:tabs>
        <w:rPr>
          <w:rFonts w:cs="Arial"/>
          <w:spacing w:val="-3"/>
          <w:sz w:val="20"/>
        </w:rPr>
      </w:pPr>
    </w:p>
    <w:p w:rsidR="00B74B59" w:rsidP="00B74B59" w:rsidRDefault="00B74B59" w14:paraId="3F0731C1" w14:textId="77777777">
      <w:pPr>
        <w:pStyle w:val="Header"/>
        <w:tabs>
          <w:tab w:val="left" w:pos="720"/>
        </w:tabs>
        <w:rPr>
          <w:rFonts w:cs="Arial"/>
          <w:spacing w:val="-3"/>
          <w:sz w:val="20"/>
        </w:rPr>
      </w:pPr>
      <w:r>
        <w:rPr>
          <w:rFonts w:cs="Arial"/>
          <w:spacing w:val="-3"/>
          <w:sz w:val="20"/>
        </w:rPr>
        <w:t xml:space="preserve">Within the class, </w:t>
      </w:r>
      <w:proofErr w:type="spellStart"/>
      <w:r>
        <w:rPr>
          <w:rFonts w:cs="Arial"/>
          <w:spacing w:val="-3"/>
          <w:sz w:val="20"/>
        </w:rPr>
        <w:t>Solosec</w:t>
      </w:r>
      <w:proofErr w:type="spellEnd"/>
      <w:r w:rsidRPr="00BF58B2">
        <w:rPr>
          <w:rFonts w:cs="Arial"/>
          <w:spacing w:val="-3"/>
          <w:sz w:val="20"/>
          <w:vertAlign w:val="superscript"/>
        </w:rPr>
        <w:t>®</w:t>
      </w:r>
      <w:r>
        <w:rPr>
          <w:rFonts w:cs="Arial"/>
          <w:spacing w:val="-3"/>
          <w:sz w:val="20"/>
        </w:rPr>
        <w:t xml:space="preserve"> (</w:t>
      </w:r>
      <w:proofErr w:type="spellStart"/>
      <w:r>
        <w:rPr>
          <w:rFonts w:cs="Arial"/>
          <w:spacing w:val="-3"/>
          <w:sz w:val="20"/>
        </w:rPr>
        <w:t>secnidazole</w:t>
      </w:r>
      <w:proofErr w:type="spellEnd"/>
      <w:r>
        <w:rPr>
          <w:rFonts w:cs="Arial"/>
          <w:spacing w:val="-3"/>
          <w:sz w:val="20"/>
        </w:rPr>
        <w:t xml:space="preserve">) is the only product with an additional indication. In July 2021, it was approved for the treatment of trichomoniasis, a sexually transmitted disease </w:t>
      </w:r>
      <w:proofErr w:type="gramStart"/>
      <w:r>
        <w:rPr>
          <w:rFonts w:cs="Arial"/>
          <w:spacing w:val="-3"/>
          <w:sz w:val="20"/>
        </w:rPr>
        <w:t>caused</w:t>
      </w:r>
      <w:proofErr w:type="gramEnd"/>
      <w:r>
        <w:rPr>
          <w:rFonts w:cs="Arial"/>
          <w:spacing w:val="-3"/>
          <w:sz w:val="20"/>
        </w:rPr>
        <w:t xml:space="preserve"> </w:t>
      </w:r>
      <w:r>
        <w:rPr>
          <w:rFonts w:cs="Arial"/>
          <w:i/>
          <w:iCs/>
          <w:spacing w:val="-3"/>
          <w:sz w:val="20"/>
        </w:rPr>
        <w:t>Trichomonas vaginalis (T. vaginalis)</w:t>
      </w:r>
      <w:r w:rsidRPr="00F14F95">
        <w:rPr>
          <w:rFonts w:cs="Arial"/>
          <w:spacing w:val="-3"/>
          <w:sz w:val="20"/>
        </w:rPr>
        <w:t>, a protozoan parasite.</w:t>
      </w:r>
      <w:r>
        <w:rPr>
          <w:rFonts w:cs="Arial"/>
          <w:spacing w:val="-3"/>
          <w:sz w:val="20"/>
        </w:rPr>
        <w:t xml:space="preserve"> Approximately only 30% of infected individuals are symptomatic. </w:t>
      </w:r>
      <w:proofErr w:type="spellStart"/>
      <w:r>
        <w:rPr>
          <w:rFonts w:cs="Arial"/>
          <w:spacing w:val="-3"/>
          <w:sz w:val="20"/>
        </w:rPr>
        <w:t>Solosec</w:t>
      </w:r>
      <w:proofErr w:type="spellEnd"/>
      <w:r>
        <w:rPr>
          <w:rFonts w:cs="Arial"/>
          <w:spacing w:val="-3"/>
          <w:sz w:val="20"/>
        </w:rPr>
        <w:t xml:space="preserve"> is a nitroimidazole antimicrobial, the only class known to be effective against </w:t>
      </w:r>
      <w:r>
        <w:rPr>
          <w:rFonts w:cs="Arial"/>
          <w:i/>
          <w:iCs/>
          <w:spacing w:val="-3"/>
          <w:sz w:val="20"/>
        </w:rPr>
        <w:t>T. vaginalis</w:t>
      </w:r>
      <w:r>
        <w:rPr>
          <w:rFonts w:cs="Arial"/>
          <w:spacing w:val="-3"/>
          <w:sz w:val="20"/>
        </w:rPr>
        <w:t xml:space="preserve"> infections. Other products within this class utilized for treatment of trichomoniasis include metronidazole and tinidazole. Reinfection of trichomoniasis occurs in approximately 1 out of 5 individuals within three months of treatment. Subsequent treatment regimens are determined based on prior courses of therapy, source of </w:t>
      </w:r>
      <w:proofErr w:type="spellStart"/>
      <w:r>
        <w:rPr>
          <w:rFonts w:cs="Arial"/>
          <w:spacing w:val="-3"/>
          <w:sz w:val="20"/>
        </w:rPr>
        <w:t>reexposure</w:t>
      </w:r>
      <w:proofErr w:type="spellEnd"/>
      <w:r>
        <w:rPr>
          <w:rFonts w:cs="Arial"/>
          <w:spacing w:val="-3"/>
          <w:sz w:val="20"/>
        </w:rPr>
        <w:t xml:space="preserve">, or persistent infections not attributable to </w:t>
      </w:r>
      <w:proofErr w:type="spellStart"/>
      <w:r>
        <w:rPr>
          <w:rFonts w:cs="Arial"/>
          <w:spacing w:val="-3"/>
          <w:sz w:val="20"/>
        </w:rPr>
        <w:t>reexposure</w:t>
      </w:r>
      <w:proofErr w:type="spellEnd"/>
      <w:r>
        <w:rPr>
          <w:rFonts w:cs="Arial"/>
          <w:spacing w:val="-3"/>
          <w:sz w:val="20"/>
        </w:rPr>
        <w:t>.</w:t>
      </w:r>
    </w:p>
    <w:p w:rsidR="00B56DCC" w:rsidP="00696E3A" w:rsidRDefault="00B56DCC" w14:paraId="7ACECC9F" w14:textId="77777777"/>
    <w:p w:rsidR="00E354AA" w:rsidP="009A0FB1" w:rsidRDefault="009A0FB1" w14:paraId="28C91F1C" w14:textId="548F95B5">
      <w:r>
        <w:t>Total program savings for the PDL classes will be regularly reviewed.</w:t>
      </w:r>
    </w:p>
    <w:p w:rsidRPr="002C2C41" w:rsidR="007A3034" w:rsidP="009A0FB1" w:rsidRDefault="007A3034" w14:paraId="05964CF2" w14:textId="77777777">
      <w:pPr>
        <w:rPr>
          <w:rFonts w:cs="Arial"/>
          <w:szCs w:val="20"/>
        </w:rPr>
      </w:pPr>
    </w:p>
    <w:p w:rsidR="00E90D11" w:rsidP="00696E3A" w:rsidRDefault="009A0FB1" w14:paraId="6CBEE541" w14:textId="3A362043">
      <w:pPr>
        <w:rPr>
          <w:b/>
          <w:bCs/>
        </w:rPr>
      </w:pPr>
      <w:r>
        <w:rPr>
          <w:b/>
          <w:bCs/>
        </w:rPr>
        <w:t>Preferred Agents:</w:t>
      </w:r>
    </w:p>
    <w:p w:rsidRPr="00D30A5D" w:rsidR="00271DA4" w:rsidP="00271DA4" w:rsidRDefault="00271DA4" w14:paraId="6F9DE4EC" w14:textId="77777777">
      <w:pPr>
        <w:pStyle w:val="ListParagraph"/>
      </w:pPr>
      <w:r w:rsidRPr="00D30A5D">
        <w:t>Cleocin</w:t>
      </w:r>
      <w:r w:rsidRPr="00DB2BA7">
        <w:rPr>
          <w:vertAlign w:val="superscript"/>
        </w:rPr>
        <w:t>®</w:t>
      </w:r>
      <w:r w:rsidRPr="00D30A5D">
        <w:t xml:space="preserve"> Vaginal Ovules</w:t>
      </w:r>
    </w:p>
    <w:p w:rsidRPr="00472F1E" w:rsidR="00271DA4" w:rsidP="00271DA4" w:rsidRDefault="00271DA4" w14:paraId="176426ED" w14:textId="77777777">
      <w:pPr>
        <w:pStyle w:val="ListParagraph"/>
      </w:pPr>
      <w:r w:rsidRPr="00472F1E">
        <w:t xml:space="preserve">Metronidazole </w:t>
      </w:r>
      <w:r>
        <w:t xml:space="preserve">0.75% </w:t>
      </w:r>
      <w:r w:rsidRPr="00472F1E">
        <w:t>Vaginal Gel</w:t>
      </w:r>
      <w:r>
        <w:t xml:space="preserve"> (gen </w:t>
      </w:r>
      <w:proofErr w:type="spellStart"/>
      <w:r>
        <w:t>Metrogel</w:t>
      </w:r>
      <w:proofErr w:type="spellEnd"/>
      <w:r>
        <w:t xml:space="preserve"> Vaginal)</w:t>
      </w:r>
    </w:p>
    <w:p w:rsidR="00271DA4" w:rsidP="00271DA4" w:rsidRDefault="00271DA4" w14:paraId="783608DE" w14:textId="77777777">
      <w:pPr>
        <w:pStyle w:val="ListParagraph"/>
      </w:pPr>
      <w:proofErr w:type="spellStart"/>
      <w:r w:rsidRPr="00D30A5D">
        <w:t>Nuvessa</w:t>
      </w:r>
      <w:proofErr w:type="spellEnd"/>
      <w:r w:rsidRPr="00593F1E">
        <w:rPr>
          <w:vertAlign w:val="superscript"/>
        </w:rPr>
        <w:t>®</w:t>
      </w:r>
      <w:r w:rsidRPr="00D30A5D">
        <w:t xml:space="preserve"> Vaginal Gel</w:t>
      </w:r>
    </w:p>
    <w:p w:rsidR="00846FA4" w:rsidP="00271DA4" w:rsidRDefault="00271DA4" w14:paraId="1B21829C" w14:textId="037ED107">
      <w:pPr>
        <w:pStyle w:val="ListParagraph"/>
      </w:pPr>
      <w:proofErr w:type="spellStart"/>
      <w:r w:rsidRPr="00593F1E">
        <w:t>Vandazole</w:t>
      </w:r>
      <w:proofErr w:type="spellEnd"/>
      <w:r w:rsidRPr="00593F1E">
        <w:rPr>
          <w:vertAlign w:val="superscript"/>
        </w:rPr>
        <w:t>®</w:t>
      </w:r>
      <w:r w:rsidRPr="00593F1E">
        <w:t xml:space="preserve"> Vaginal Gel</w:t>
      </w:r>
      <w:r w:rsidRPr="00846FA4">
        <w:rPr>
          <w:vertAlign w:val="superscript"/>
        </w:rPr>
        <w:t xml:space="preserve"> </w:t>
      </w:r>
      <w:r w:rsidRPr="00846FA4" w:rsidR="00846FA4">
        <w:rPr>
          <w:vertAlign w:val="superscript"/>
        </w:rPr>
        <w:t>®</w:t>
      </w:r>
    </w:p>
    <w:p w:rsidR="00FD34EA" w:rsidP="00696E3A" w:rsidRDefault="00FD34EA" w14:paraId="47320590" w14:textId="77777777">
      <w:pPr>
        <w:rPr>
          <w:rFonts w:cs="Arial"/>
          <w:szCs w:val="20"/>
        </w:rPr>
      </w:pPr>
    </w:p>
    <w:p w:rsidR="00846FA4" w:rsidP="00846FA4" w:rsidRDefault="00846FA4" w14:paraId="56404718" w14:textId="252714AD">
      <w:pPr>
        <w:rPr>
          <w:b/>
          <w:bCs/>
        </w:rPr>
      </w:pPr>
      <w:r>
        <w:rPr>
          <w:b/>
          <w:bCs/>
        </w:rPr>
        <w:t>Non-Preferred Agents:</w:t>
      </w:r>
    </w:p>
    <w:p w:rsidRPr="00D30A5D" w:rsidR="009D577D" w:rsidP="009D577D" w:rsidRDefault="009D577D" w14:paraId="432741C6" w14:textId="77777777">
      <w:pPr>
        <w:pStyle w:val="ListParagraph"/>
      </w:pPr>
      <w:r w:rsidRPr="00D30A5D">
        <w:t>Cleocin</w:t>
      </w:r>
      <w:r w:rsidRPr="00DB2BA7">
        <w:rPr>
          <w:vertAlign w:val="superscript"/>
        </w:rPr>
        <w:t>®</w:t>
      </w:r>
      <w:r w:rsidRPr="00D30A5D">
        <w:t xml:space="preserve"> Vaginal </w:t>
      </w:r>
      <w:proofErr w:type="spellStart"/>
      <w:r w:rsidRPr="00D30A5D">
        <w:t>Crm</w:t>
      </w:r>
      <w:proofErr w:type="spellEnd"/>
    </w:p>
    <w:p w:rsidRPr="00D30A5D" w:rsidR="009D577D" w:rsidP="009D577D" w:rsidRDefault="009D577D" w14:paraId="54131954" w14:textId="77777777">
      <w:pPr>
        <w:pStyle w:val="ListParagraph"/>
      </w:pPr>
      <w:r w:rsidRPr="00D30A5D">
        <w:t xml:space="preserve">Clindamycin Vaginal </w:t>
      </w:r>
      <w:proofErr w:type="spellStart"/>
      <w:r w:rsidRPr="00D30A5D">
        <w:t>Crm</w:t>
      </w:r>
      <w:proofErr w:type="spellEnd"/>
    </w:p>
    <w:p w:rsidRPr="00446197" w:rsidR="009D577D" w:rsidP="009D577D" w:rsidRDefault="009D577D" w14:paraId="7BBF8188" w14:textId="77777777">
      <w:pPr>
        <w:pStyle w:val="ListParagraph"/>
      </w:pPr>
      <w:proofErr w:type="spellStart"/>
      <w:r w:rsidRPr="00DE3C52">
        <w:t>Clindesse</w:t>
      </w:r>
      <w:proofErr w:type="spellEnd"/>
      <w:r w:rsidRPr="00DE3C52">
        <w:rPr>
          <w:vertAlign w:val="superscript"/>
        </w:rPr>
        <w:t>®</w:t>
      </w:r>
    </w:p>
    <w:p w:rsidRPr="00CA76FB" w:rsidR="009D577D" w:rsidP="009D577D" w:rsidRDefault="009D577D" w14:paraId="7CD92C53" w14:textId="77777777">
      <w:pPr>
        <w:pStyle w:val="ListParagraph"/>
      </w:pPr>
      <w:r w:rsidRPr="00CA76FB">
        <w:t xml:space="preserve">Metronidazole 1.3% Vaginal Gel (gen </w:t>
      </w:r>
      <w:proofErr w:type="spellStart"/>
      <w:r w:rsidRPr="00CA76FB">
        <w:t>Nuvessa</w:t>
      </w:r>
      <w:proofErr w:type="spellEnd"/>
      <w:r w:rsidRPr="00CA76FB">
        <w:rPr>
          <w:vertAlign w:val="superscript"/>
        </w:rPr>
        <w:t>®</w:t>
      </w:r>
      <w:r w:rsidRPr="00CA76FB">
        <w:t>)</w:t>
      </w:r>
    </w:p>
    <w:p w:rsidRPr="00DE3C52" w:rsidR="009D577D" w:rsidP="009D577D" w:rsidRDefault="009D577D" w14:paraId="328657FA" w14:textId="77777777">
      <w:pPr>
        <w:pStyle w:val="ListParagraph"/>
      </w:pPr>
      <w:proofErr w:type="spellStart"/>
      <w:r w:rsidRPr="00DE3C52">
        <w:t>Solosec</w:t>
      </w:r>
      <w:proofErr w:type="spellEnd"/>
      <w:r w:rsidRPr="00DE3C52">
        <w:rPr>
          <w:vertAlign w:val="superscript"/>
        </w:rPr>
        <w:t>®</w:t>
      </w:r>
    </w:p>
    <w:p w:rsidRPr="00696E3A" w:rsidR="00846FA4" w:rsidP="009D577D" w:rsidRDefault="009D577D" w14:paraId="079F807A" w14:textId="3BB82FA0">
      <w:pPr>
        <w:pStyle w:val="ListParagraph"/>
      </w:pPr>
      <w:proofErr w:type="spellStart"/>
      <w:r w:rsidRPr="00DE3C52">
        <w:t>Xaciato</w:t>
      </w:r>
      <w:proofErr w:type="spellEnd"/>
      <w:r w:rsidRPr="00F43E41" w:rsidR="00F43E41">
        <w:rPr>
          <w:vertAlign w:val="superscript"/>
        </w:rPr>
        <w:t>™</w:t>
      </w:r>
    </w:p>
    <w:p w:rsidRPr="002C2C41" w:rsidR="00E23EC0" w:rsidP="00314430" w:rsidRDefault="00E23EC0" w14:paraId="6D696800" w14:textId="28E4C3DB">
      <w:pPr>
        <w:rPr>
          <w:rFonts w:cs="Arial"/>
          <w:spacing w:val="-3"/>
          <w:szCs w:val="20"/>
        </w:rPr>
      </w:pPr>
    </w:p>
    <w:p w:rsidRPr="00C02553" w:rsidR="00AE77DB" w:rsidP="00E354AA" w:rsidRDefault="00AE77DB" w14:paraId="6413C027" w14:textId="18F824F6">
      <w:pPr>
        <w:pStyle w:val="Heading1"/>
        <w:rPr>
          <w:lang w:val="en-US"/>
        </w:rPr>
      </w:pPr>
      <w:r w:rsidRPr="00C02553">
        <w:rPr>
          <w:lang w:val="en-US"/>
        </w:rPr>
        <w:t xml:space="preserve">Setting &amp; Population </w:t>
      </w:r>
    </w:p>
    <w:p w:rsidRPr="0079438F" w:rsidR="0097028A" w:rsidP="00696E3A" w:rsidRDefault="0097028A" w14:paraId="04B7FBFB" w14:textId="1FEDF82F">
      <w:pPr>
        <w:rPr>
          <w:b/>
        </w:rPr>
      </w:pPr>
      <w:r w:rsidRPr="00696E3A">
        <w:rPr>
          <w:b/>
          <w:bCs/>
        </w:rPr>
        <w:t>Drug class for review:</w:t>
      </w:r>
      <w:r w:rsidRPr="00C02553">
        <w:t xml:space="preserve"> </w:t>
      </w:r>
      <w:r w:rsidRPr="00890641" w:rsidR="00AF3641">
        <w:rPr>
          <w:rFonts w:cs="Arial"/>
          <w:szCs w:val="20"/>
        </w:rPr>
        <w:t>Antibiotics, Vaginal Agents</w:t>
      </w:r>
    </w:p>
    <w:p w:rsidR="008524BA" w:rsidP="00696E3A" w:rsidRDefault="0097028A" w14:paraId="26CFE8A0" w14:textId="0FA64B60">
      <w:pPr>
        <w:rPr>
          <w:rFonts w:cs="Arial"/>
          <w:b/>
        </w:rPr>
      </w:pPr>
      <w:r w:rsidRPr="00696E3A">
        <w:rPr>
          <w:b/>
          <w:bCs/>
        </w:rPr>
        <w:t>Age range:</w:t>
      </w:r>
      <w:r w:rsidRPr="00C02553">
        <w:t xml:space="preserve"> </w:t>
      </w:r>
      <w:r w:rsidRPr="00551668" w:rsidR="00551668">
        <w:rPr>
          <w:rFonts w:cs="Arial"/>
        </w:rPr>
        <w:t>All appropriate MO HealthNet participants</w:t>
      </w:r>
    </w:p>
    <w:p w:rsidRPr="002C2C41" w:rsidR="005328B2" w:rsidP="005328B2" w:rsidRDefault="005328B2" w14:paraId="7F2A9816" w14:textId="77777777">
      <w:pPr>
        <w:rPr>
          <w:rFonts w:cs="Arial"/>
          <w:szCs w:val="20"/>
        </w:rPr>
      </w:pPr>
    </w:p>
    <w:p w:rsidRPr="00C02553" w:rsidR="00AE77DB" w:rsidP="0097028A" w:rsidRDefault="00AE77DB" w14:paraId="6413C035" w14:textId="4FE30429">
      <w:pPr>
        <w:pStyle w:val="Heading1"/>
        <w:rPr>
          <w:lang w:val="en-US"/>
        </w:rPr>
      </w:pPr>
      <w:r w:rsidRPr="00C02553">
        <w:rPr>
          <w:lang w:val="en-US"/>
        </w:rPr>
        <w:t>Approval Criteria</w:t>
      </w:r>
    </w:p>
    <w:p w:rsidR="00A10F70" w:rsidP="00A10F70" w:rsidRDefault="00A10F70" w14:paraId="621DAD82" w14:textId="77777777">
      <w:pPr>
        <w:numPr>
          <w:ilvl w:val="0"/>
          <w:numId w:val="16"/>
        </w:numPr>
        <w:rPr>
          <w:rFonts w:cs="Arial"/>
          <w:szCs w:val="20"/>
        </w:rPr>
      </w:pPr>
      <w:r>
        <w:rPr>
          <w:rFonts w:cs="Arial"/>
          <w:szCs w:val="20"/>
        </w:rPr>
        <w:t>Must meet one of the following:</w:t>
      </w:r>
    </w:p>
    <w:p w:rsidR="00A10F70" w:rsidP="00A10F70" w:rsidRDefault="00A10F70" w14:paraId="27964BF7" w14:textId="77777777">
      <w:pPr>
        <w:numPr>
          <w:ilvl w:val="1"/>
          <w:numId w:val="16"/>
        </w:numPr>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p>
    <w:p w:rsidR="00A10F70" w:rsidP="00A10F70" w:rsidRDefault="00A10F70" w14:paraId="4BED003F" w14:textId="77777777">
      <w:pPr>
        <w:numPr>
          <w:ilvl w:val="1"/>
          <w:numId w:val="16"/>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agents</w:t>
      </w:r>
      <w:r>
        <w:rPr>
          <w:rFonts w:cs="Arial"/>
          <w:szCs w:val="20"/>
        </w:rPr>
        <w:t xml:space="preserve"> in the past 3 </w:t>
      </w:r>
      <w:proofErr w:type="gramStart"/>
      <w:r>
        <w:rPr>
          <w:rFonts w:cs="Arial"/>
          <w:szCs w:val="20"/>
        </w:rPr>
        <w:t>months;</w:t>
      </w:r>
      <w:proofErr w:type="gramEnd"/>
    </w:p>
    <w:p w:rsidR="00A10F70" w:rsidP="00A10F70" w:rsidRDefault="00A10F70" w14:paraId="5E2F4F98" w14:textId="77777777">
      <w:pPr>
        <w:numPr>
          <w:ilvl w:val="1"/>
          <w:numId w:val="16"/>
        </w:numPr>
        <w:rPr>
          <w:rFonts w:cs="Arial"/>
          <w:szCs w:val="20"/>
        </w:rPr>
      </w:pPr>
      <w:r>
        <w:rPr>
          <w:rFonts w:cs="Arial"/>
          <w:szCs w:val="20"/>
        </w:rPr>
        <w:t xml:space="preserve">Failure to achieve desired therapeutic outcomes with trial on 1 preferred agent and oral metronidazole in the past 3 </w:t>
      </w:r>
      <w:proofErr w:type="gramStart"/>
      <w:r>
        <w:rPr>
          <w:rFonts w:cs="Arial"/>
          <w:szCs w:val="20"/>
        </w:rPr>
        <w:t>months;</w:t>
      </w:r>
      <w:proofErr w:type="gramEnd"/>
    </w:p>
    <w:p w:rsidRPr="00410173" w:rsidR="00A10F70" w:rsidP="00A10F70" w:rsidRDefault="00A10F70" w14:paraId="580D6AD6" w14:textId="77777777">
      <w:pPr>
        <w:numPr>
          <w:ilvl w:val="1"/>
          <w:numId w:val="16"/>
        </w:numPr>
        <w:jc w:val="both"/>
        <w:rPr>
          <w:rFonts w:cs="Arial"/>
          <w:szCs w:val="20"/>
        </w:rPr>
      </w:pPr>
      <w:r w:rsidRPr="00C1018C">
        <w:rPr>
          <w:rFonts w:cs="Arial"/>
          <w:szCs w:val="20"/>
        </w:rPr>
        <w:t>Documen</w:t>
      </w:r>
      <w:r>
        <w:rPr>
          <w:rFonts w:cs="Arial"/>
          <w:szCs w:val="20"/>
        </w:rPr>
        <w:t>ted ADE/ADR to preferred agents</w:t>
      </w:r>
      <w:r>
        <w:rPr>
          <w:rFonts w:cs="Arial"/>
          <w:b/>
          <w:bCs/>
          <w:szCs w:val="20"/>
        </w:rPr>
        <w:t>; OR</w:t>
      </w:r>
    </w:p>
    <w:p w:rsidR="00A10F70" w:rsidP="00A10F70" w:rsidRDefault="00A10F70" w14:paraId="15C86DCF" w14:textId="77777777">
      <w:pPr>
        <w:numPr>
          <w:ilvl w:val="1"/>
          <w:numId w:val="16"/>
        </w:numPr>
        <w:jc w:val="both"/>
        <w:rPr>
          <w:rFonts w:cs="Arial"/>
          <w:szCs w:val="20"/>
        </w:rPr>
      </w:pPr>
      <w:r>
        <w:rPr>
          <w:rFonts w:cs="Arial"/>
          <w:szCs w:val="20"/>
        </w:rPr>
        <w:t xml:space="preserve">For documented diagnosis of </w:t>
      </w:r>
      <w:r w:rsidRPr="00157695">
        <w:rPr>
          <w:rFonts w:cs="Arial"/>
          <w:szCs w:val="20"/>
        </w:rPr>
        <w:t>trichomoniasis</w:t>
      </w:r>
      <w:r>
        <w:rPr>
          <w:rFonts w:cs="Arial"/>
          <w:szCs w:val="20"/>
        </w:rPr>
        <w:t xml:space="preserve"> – must meet </w:t>
      </w:r>
      <w:proofErr w:type="gramStart"/>
      <w:r>
        <w:rPr>
          <w:rFonts w:cs="Arial"/>
          <w:szCs w:val="20"/>
        </w:rPr>
        <w:t>all of</w:t>
      </w:r>
      <w:proofErr w:type="gramEnd"/>
      <w:r>
        <w:rPr>
          <w:rFonts w:cs="Arial"/>
          <w:szCs w:val="20"/>
        </w:rPr>
        <w:t xml:space="preserve"> the following</w:t>
      </w:r>
      <w:r w:rsidRPr="00157695">
        <w:rPr>
          <w:rFonts w:cs="Arial"/>
          <w:szCs w:val="20"/>
        </w:rPr>
        <w:t>:</w:t>
      </w:r>
    </w:p>
    <w:p w:rsidR="00A10F70" w:rsidP="00A10F70" w:rsidRDefault="00A10F70" w14:paraId="45295E6A" w14:textId="77777777">
      <w:pPr>
        <w:numPr>
          <w:ilvl w:val="2"/>
          <w:numId w:val="16"/>
        </w:numPr>
        <w:jc w:val="both"/>
        <w:rPr>
          <w:rFonts w:cs="Arial"/>
          <w:szCs w:val="20"/>
        </w:rPr>
      </w:pPr>
      <w:r w:rsidRPr="00410173">
        <w:rPr>
          <w:rFonts w:cs="Arial"/>
          <w:szCs w:val="20"/>
        </w:rPr>
        <w:t xml:space="preserve">Claim is for </w:t>
      </w:r>
      <w:proofErr w:type="spellStart"/>
      <w:proofErr w:type="gramStart"/>
      <w:r w:rsidRPr="00410173">
        <w:rPr>
          <w:rFonts w:cs="Arial"/>
          <w:szCs w:val="20"/>
        </w:rPr>
        <w:t>Solosec</w:t>
      </w:r>
      <w:proofErr w:type="spellEnd"/>
      <w:r>
        <w:rPr>
          <w:rFonts w:cs="Arial"/>
          <w:szCs w:val="20"/>
        </w:rPr>
        <w:t>;</w:t>
      </w:r>
      <w:proofErr w:type="gramEnd"/>
    </w:p>
    <w:p w:rsidRPr="00B35467" w:rsidR="00A10F70" w:rsidP="00A10F70" w:rsidRDefault="00A10F70" w14:paraId="5F17D588" w14:textId="77777777">
      <w:pPr>
        <w:numPr>
          <w:ilvl w:val="2"/>
          <w:numId w:val="16"/>
        </w:numPr>
        <w:jc w:val="both"/>
        <w:rPr>
          <w:rFonts w:cs="Arial"/>
          <w:szCs w:val="20"/>
        </w:rPr>
      </w:pPr>
      <w:r w:rsidRPr="008D7F37">
        <w:rPr>
          <w:rFonts w:cs="Arial"/>
          <w:szCs w:val="20"/>
        </w:rPr>
        <w:t xml:space="preserve">Participant </w:t>
      </w:r>
      <w:r>
        <w:rPr>
          <w:rFonts w:cs="Arial"/>
          <w:szCs w:val="20"/>
        </w:rPr>
        <w:t xml:space="preserve">is </w:t>
      </w:r>
      <w:r w:rsidRPr="008D7F37">
        <w:rPr>
          <w:rFonts w:cs="Arial"/>
          <w:szCs w:val="20"/>
        </w:rPr>
        <w:t>aged</w:t>
      </w:r>
      <w:r w:rsidRPr="008D7F37">
        <w:rPr>
          <w:rFonts w:cs="Arial"/>
          <w:b/>
          <w:bCs/>
          <w:szCs w:val="20"/>
        </w:rPr>
        <w:t xml:space="preserve"> </w:t>
      </w:r>
      <w:r w:rsidRPr="00B35467">
        <w:rPr>
          <w:rFonts w:cs="Arial"/>
          <w:szCs w:val="20"/>
        </w:rPr>
        <w:t>12 years or older</w:t>
      </w:r>
      <w:r w:rsidRPr="00B35467">
        <w:rPr>
          <w:rFonts w:cs="Arial"/>
          <w:b/>
          <w:bCs/>
          <w:szCs w:val="20"/>
        </w:rPr>
        <w:t>;</w:t>
      </w:r>
      <w:r>
        <w:rPr>
          <w:rFonts w:cs="Arial"/>
          <w:b/>
          <w:bCs/>
          <w:szCs w:val="20"/>
        </w:rPr>
        <w:t xml:space="preserve"> </w:t>
      </w:r>
      <w:r w:rsidRPr="008D7F37">
        <w:rPr>
          <w:rFonts w:cs="Arial"/>
          <w:b/>
          <w:bCs/>
          <w:szCs w:val="20"/>
        </w:rPr>
        <w:t>AND</w:t>
      </w:r>
    </w:p>
    <w:p w:rsidR="00A10F70" w:rsidP="00A10F70" w:rsidRDefault="00A10F70" w14:paraId="3067B81F" w14:textId="77777777">
      <w:pPr>
        <w:numPr>
          <w:ilvl w:val="2"/>
          <w:numId w:val="16"/>
        </w:numPr>
        <w:jc w:val="both"/>
        <w:rPr>
          <w:rFonts w:cs="Arial"/>
          <w:szCs w:val="20"/>
        </w:rPr>
      </w:pPr>
      <w:r w:rsidRPr="00410173">
        <w:rPr>
          <w:rFonts w:cs="Arial"/>
          <w:szCs w:val="20"/>
        </w:rPr>
        <w:t>Adequate therapeutic trial of oral metronidazole in the past 3 months</w:t>
      </w:r>
      <w:r>
        <w:rPr>
          <w:rFonts w:cs="Arial"/>
          <w:szCs w:val="20"/>
        </w:rPr>
        <w:t>.</w:t>
      </w:r>
      <w:r w:rsidRPr="00410173">
        <w:rPr>
          <w:rFonts w:cs="Arial"/>
          <w:szCs w:val="20"/>
        </w:rPr>
        <w:t xml:space="preserve"> </w:t>
      </w:r>
    </w:p>
    <w:p w:rsidRPr="002C2C41" w:rsidR="005328B2" w:rsidP="0064149A" w:rsidRDefault="005328B2" w14:paraId="0B0C0D72" w14:textId="77777777">
      <w:pPr>
        <w:rPr>
          <w:rFonts w:cs="Arial"/>
          <w:szCs w:val="20"/>
        </w:rPr>
      </w:pPr>
    </w:p>
    <w:p w:rsidRPr="00C02553" w:rsidR="00AE77DB" w:rsidP="005A2F1E" w:rsidRDefault="00AE77DB" w14:paraId="6413C03A" w14:textId="77777777">
      <w:pPr>
        <w:pStyle w:val="Heading1"/>
        <w:rPr>
          <w:lang w:val="en-US"/>
        </w:rPr>
      </w:pPr>
      <w:r w:rsidRPr="00C02553">
        <w:rPr>
          <w:lang w:val="en-US"/>
        </w:rPr>
        <w:t>Denial Criteria</w:t>
      </w:r>
    </w:p>
    <w:p w:rsidRPr="00C722C9" w:rsidR="00904D7A" w:rsidP="00C722C9" w:rsidRDefault="00904D7A" w14:paraId="730C2B10" w14:textId="77777777">
      <w:pPr>
        <w:pStyle w:val="ListParagraph"/>
      </w:pPr>
      <w:r w:rsidRPr="00C722C9">
        <w:t xml:space="preserve">Therapy will deny </w:t>
      </w:r>
      <w:proofErr w:type="gramStart"/>
      <w:r w:rsidRPr="00C722C9">
        <w:t>with</w:t>
      </w:r>
      <w:proofErr w:type="gramEnd"/>
      <w:r w:rsidRPr="00C722C9">
        <w:t xml:space="preserve"> presence of one of the following:</w:t>
      </w:r>
    </w:p>
    <w:p w:rsidRPr="002E15D7" w:rsidR="001E4CBA" w:rsidP="00A10F70" w:rsidRDefault="00904D7A" w14:paraId="4D21EAF1" w14:textId="7156A62F">
      <w:pPr>
        <w:pStyle w:val="ListParagraph"/>
        <w:numPr>
          <w:ilvl w:val="1"/>
          <w:numId w:val="6"/>
        </w:numPr>
        <w:rPr>
          <w:rFonts w:cs="Arial"/>
          <w:szCs w:val="22"/>
        </w:r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A10F70">
        <w:t>.</w:t>
      </w:r>
    </w:p>
    <w:p w:rsidRPr="002C2C41" w:rsidR="002E15D7" w:rsidP="002E15D7" w:rsidRDefault="002E15D7" w14:paraId="0A80D8FB" w14:textId="77777777">
      <w:pPr>
        <w:pStyle w:val="ListParagraph"/>
        <w:numPr>
          <w:ilvl w:val="0"/>
          <w:numId w:val="0"/>
        </w:numPr>
        <w:ind w:left="720"/>
        <w:rPr>
          <w:rFonts w:cs="Arial"/>
          <w:szCs w:val="22"/>
        </w:rPr>
      </w:pPr>
    </w:p>
    <w:p w:rsidRPr="00C02553" w:rsidR="00BC5635" w:rsidP="00343D6B" w:rsidRDefault="00BC5635" w14:paraId="050492C1" w14:textId="77777777">
      <w:pPr>
        <w:pStyle w:val="Heading1"/>
        <w:rPr>
          <w:lang w:val="en-US"/>
        </w:rPr>
      </w:pPr>
      <w:bookmarkStart w:name="_Hlk34120952" w:id="1"/>
      <w:r w:rsidRPr="00C02553">
        <w:rPr>
          <w:lang w:val="en-US"/>
        </w:rPr>
        <w:t>Disposition of Edit</w:t>
      </w:r>
    </w:p>
    <w:p w:rsidRPr="00C02553" w:rsidR="00BC5635" w:rsidP="00696E3A" w:rsidRDefault="00C26001" w14:paraId="2A6C8BA0" w14:textId="2F3144DB">
      <w:r w:rsidRPr="00696E3A">
        <w:rPr>
          <w:b/>
          <w:bCs/>
        </w:rPr>
        <w:t>Denial:</w:t>
      </w:r>
      <w:r w:rsidRPr="00C02553" w:rsidR="00074464">
        <w:t xml:space="preserve"> </w:t>
      </w:r>
      <w:r w:rsidRPr="00973BD6" w:rsidR="00973BD6">
        <w:t>Exception Code “0</w:t>
      </w:r>
      <w:r w:rsidR="00126B60">
        <w:t>160</w:t>
      </w:r>
      <w:r w:rsidRPr="00973BD6" w:rsidR="00973BD6">
        <w:t>” (</w:t>
      </w:r>
      <w:r w:rsidR="00126B60">
        <w:t>Preferred Drug List</w:t>
      </w:r>
      <w:r w:rsidRPr="00973BD6" w:rsidR="00973BD6">
        <w:t>)</w:t>
      </w:r>
    </w:p>
    <w:p w:rsidRPr="00C02553" w:rsidR="002A02F4" w:rsidP="00696E3A" w:rsidRDefault="00C26001" w14:paraId="297E1B37" w14:textId="7EFB55E8">
      <w:r w:rsidRPr="00696E3A">
        <w:rPr>
          <w:b/>
          <w:bCs/>
        </w:rPr>
        <w:t>Rule Type:</w:t>
      </w:r>
      <w:r w:rsidRPr="00C02553" w:rsidR="00074464">
        <w:t xml:space="preserve"> </w:t>
      </w:r>
      <w:r w:rsidR="00126B60">
        <w:t>PDL</w:t>
      </w:r>
    </w:p>
    <w:p w:rsidRPr="00C02553" w:rsidR="00343D6B" w:rsidP="00696E3A" w:rsidRDefault="00343D6B" w14:paraId="5D43D3D3" w14:textId="28A9112A">
      <w:r w:rsidRPr="00696E3A">
        <w:rPr>
          <w:b/>
          <w:bCs/>
        </w:rPr>
        <w:t>Default Approval Period:</w:t>
      </w:r>
      <w:r w:rsidR="00973BD6">
        <w:t xml:space="preserve"> </w:t>
      </w:r>
      <w:r w:rsidR="00A10F70">
        <w:t>3 months</w:t>
      </w:r>
    </w:p>
    <w:p w:rsidRPr="002C2C41" w:rsidR="00343D6B" w:rsidP="00343D6B" w:rsidRDefault="00343D6B" w14:paraId="6649BF8C" w14:textId="77777777">
      <w:pPr>
        <w:rPr>
          <w:rFonts w:cs="Arial"/>
          <w:szCs w:val="20"/>
        </w:rPr>
      </w:pPr>
    </w:p>
    <w:bookmarkEnd w:id="1"/>
    <w:p w:rsidRPr="00C02553" w:rsidR="00AE77DB" w:rsidP="00343D6B" w:rsidRDefault="00AE77DB" w14:paraId="6413C0CF" w14:textId="530C1EC9">
      <w:pPr>
        <w:pStyle w:val="Heading1"/>
        <w:rPr>
          <w:lang w:val="en-US"/>
        </w:rPr>
      </w:pPr>
      <w:r w:rsidRPr="00C02553">
        <w:rPr>
          <w:lang w:val="en-US"/>
        </w:rPr>
        <w:t>References</w:t>
      </w:r>
    </w:p>
    <w:p w:rsidRPr="00681D57" w:rsidR="00D86062" w:rsidP="00D86062" w:rsidRDefault="00D86062" w14:paraId="5C360797" w14:textId="645E2D5E">
      <w:pPr>
        <w:numPr>
          <w:ilvl w:val="0"/>
          <w:numId w:val="17"/>
        </w:numPr>
        <w:rPr>
          <w:rFonts w:cs="Arial"/>
          <w:sz w:val="18"/>
          <w:szCs w:val="18"/>
        </w:rPr>
      </w:pPr>
      <w:bookmarkStart w:name="_Hlk34121003" w:id="2"/>
      <w:r w:rsidRPr="5ACF9E28" w:rsidR="00D86062">
        <w:rPr>
          <w:rFonts w:cs="Arial"/>
          <w:sz w:val="18"/>
          <w:szCs w:val="18"/>
        </w:rPr>
        <w:t>Evidence-Based Medicine Analysis: “</w:t>
      </w:r>
      <w:r w:rsidRPr="5ACF9E28" w:rsidR="00D86062">
        <w:rPr>
          <w:rFonts w:cs="Arial"/>
          <w:sz w:val="18"/>
          <w:szCs w:val="18"/>
        </w:rPr>
        <w:t>V</w:t>
      </w:r>
      <w:r w:rsidRPr="5ACF9E28" w:rsidR="00D86062">
        <w:rPr>
          <w:rFonts w:cs="Arial"/>
          <w:sz w:val="18"/>
          <w:szCs w:val="18"/>
        </w:rPr>
        <w:t>aginal Antibiotics</w:t>
      </w:r>
      <w:r w:rsidRPr="5ACF9E28" w:rsidR="00D86062">
        <w:rPr>
          <w:rFonts w:cs="Arial"/>
          <w:sz w:val="18"/>
          <w:szCs w:val="18"/>
        </w:rPr>
        <w:t>”,</w:t>
      </w:r>
      <w:r w:rsidRPr="5ACF9E28" w:rsidR="00D86062">
        <w:rPr>
          <w:rFonts w:cs="Arial"/>
          <w:sz w:val="18"/>
          <w:szCs w:val="18"/>
        </w:rPr>
        <w:t xml:space="preserve"> UMKC-DIC; </w:t>
      </w:r>
      <w:r w:rsidRPr="5ACF9E28" w:rsidR="00D86062">
        <w:rPr>
          <w:rFonts w:cs="Arial"/>
          <w:sz w:val="18"/>
          <w:szCs w:val="18"/>
        </w:rPr>
        <w:t>August</w:t>
      </w:r>
      <w:r w:rsidRPr="5ACF9E28" w:rsidR="00D86062">
        <w:rPr>
          <w:rFonts w:cs="Arial"/>
          <w:sz w:val="18"/>
          <w:szCs w:val="18"/>
        </w:rPr>
        <w:t xml:space="preserve"> 202</w:t>
      </w:r>
      <w:r w:rsidRPr="5ACF9E28" w:rsidR="24E36AC5">
        <w:rPr>
          <w:rFonts w:cs="Arial"/>
          <w:sz w:val="18"/>
          <w:szCs w:val="18"/>
        </w:rPr>
        <w:t>5</w:t>
      </w:r>
      <w:r w:rsidRPr="5ACF9E28" w:rsidR="00D86062">
        <w:rPr>
          <w:rFonts w:cs="Arial"/>
          <w:sz w:val="18"/>
          <w:szCs w:val="18"/>
        </w:rPr>
        <w:t>.</w:t>
      </w:r>
    </w:p>
    <w:p w:rsidR="00D86062" w:rsidP="00D86062" w:rsidRDefault="00D86062" w14:paraId="1FCE22C5" w14:textId="77777777">
      <w:pPr>
        <w:numPr>
          <w:ilvl w:val="0"/>
          <w:numId w:val="17"/>
        </w:numPr>
        <w:rPr>
          <w:rFonts w:cs="Arial"/>
          <w:sz w:val="18"/>
          <w:szCs w:val="18"/>
        </w:rPr>
      </w:pPr>
      <w:r w:rsidRPr="008B2B5D">
        <w:rPr>
          <w:rFonts w:cs="Arial"/>
          <w:sz w:val="18"/>
          <w:szCs w:val="18"/>
        </w:rPr>
        <w:t>Evidence-Based Medicine and Fiscal Analysis: “Therapeutic Class Review: ANTI-INFECTIVES: Vaginal Antibiotics</w:t>
      </w:r>
      <w:bookmarkEnd w:id="2"/>
      <w:r w:rsidRPr="00017512">
        <w:rPr>
          <w:rFonts w:cs="Arial"/>
          <w:sz w:val="18"/>
          <w:szCs w:val="18"/>
        </w:rPr>
        <w:t xml:space="preserve">”, Gainwell Technologies; Last updated </w:t>
      </w:r>
      <w:r w:rsidRPr="008B2B5D">
        <w:rPr>
          <w:rFonts w:cs="Arial"/>
          <w:sz w:val="18"/>
          <w:szCs w:val="18"/>
        </w:rPr>
        <w:t>September 18, 2023</w:t>
      </w:r>
      <w:r w:rsidRPr="00017512">
        <w:rPr>
          <w:rFonts w:cs="Arial"/>
          <w:sz w:val="18"/>
          <w:szCs w:val="18"/>
        </w:rPr>
        <w:t>.</w:t>
      </w:r>
    </w:p>
    <w:p w:rsidRPr="008B2B5D" w:rsidR="00D86062" w:rsidP="00D86062" w:rsidRDefault="00D86062" w14:paraId="42189D28" w14:textId="77777777">
      <w:pPr>
        <w:numPr>
          <w:ilvl w:val="0"/>
          <w:numId w:val="17"/>
        </w:numPr>
        <w:rPr>
          <w:rFonts w:cs="Arial"/>
          <w:sz w:val="18"/>
          <w:szCs w:val="18"/>
        </w:rPr>
      </w:pPr>
      <w:r w:rsidRPr="008B2B5D">
        <w:rPr>
          <w:rFonts w:cs="Arial"/>
          <w:sz w:val="18"/>
          <w:szCs w:val="18"/>
        </w:rPr>
        <w:t>Sobel, J., &amp; Mitchell, C., (2020). Bacterial vaginosis: clinical manifestations and diagnosis. In K. Eckler (Ed.), UpToDate.</w:t>
      </w:r>
    </w:p>
    <w:p w:rsidRPr="00681D57" w:rsidR="00D86062" w:rsidP="00D86062" w:rsidRDefault="00D86062" w14:paraId="4551ED35" w14:textId="77777777">
      <w:pPr>
        <w:numPr>
          <w:ilvl w:val="0"/>
          <w:numId w:val="17"/>
        </w:numPr>
        <w:rPr>
          <w:rFonts w:cs="Arial"/>
          <w:sz w:val="18"/>
          <w:szCs w:val="18"/>
        </w:rPr>
      </w:pPr>
      <w:r w:rsidRPr="00681D57">
        <w:rPr>
          <w:rFonts w:cs="Arial"/>
          <w:sz w:val="18"/>
          <w:szCs w:val="18"/>
        </w:rPr>
        <w:t xml:space="preserve">Centers for Disease Control and Prevention (CDC): Sexually Transmitted Infections Treatment Guidelines, 2021. </w:t>
      </w:r>
      <w:hyperlink w:history="1" r:id="rId11">
        <w:r w:rsidRPr="00681D57">
          <w:rPr>
            <w:rStyle w:val="Hyperlink"/>
            <w:rFonts w:cs="Arial"/>
            <w:color w:val="auto"/>
            <w:sz w:val="18"/>
            <w:szCs w:val="18"/>
            <w:u w:val="none"/>
          </w:rPr>
          <w:t>https://www.cdc.gov/std/treatment-guidelines/STI-Guidelines-2021.pdf</w:t>
        </w:r>
      </w:hyperlink>
      <w:r w:rsidRPr="00681D57">
        <w:rPr>
          <w:rFonts w:cs="Arial"/>
          <w:sz w:val="18"/>
          <w:szCs w:val="18"/>
        </w:rPr>
        <w:t xml:space="preserve">. </w:t>
      </w:r>
    </w:p>
    <w:p w:rsidRPr="00681D57" w:rsidR="00D86062" w:rsidP="00D86062" w:rsidRDefault="00D86062" w14:paraId="7305F6BF" w14:textId="280A447C">
      <w:pPr>
        <w:numPr>
          <w:ilvl w:val="0"/>
          <w:numId w:val="17"/>
        </w:numPr>
        <w:rPr>
          <w:rFonts w:cs="Arial"/>
          <w:sz w:val="18"/>
          <w:szCs w:val="18"/>
        </w:rPr>
      </w:pPr>
      <w:proofErr w:type="spellStart"/>
      <w:r w:rsidRPr="00681D57">
        <w:rPr>
          <w:rFonts w:cs="Arial"/>
          <w:sz w:val="18"/>
          <w:szCs w:val="18"/>
        </w:rPr>
        <w:t>Solosec</w:t>
      </w:r>
      <w:proofErr w:type="spellEnd"/>
      <w:r w:rsidRPr="00681D57">
        <w:rPr>
          <w:rFonts w:cs="Arial"/>
          <w:sz w:val="18"/>
          <w:szCs w:val="18"/>
        </w:rPr>
        <w:t xml:space="preserve"> [package insert]. Baltimore, MD: Lupin Pharmaceuticals, Inc.; </w:t>
      </w:r>
      <w:r w:rsidR="00CC5719">
        <w:rPr>
          <w:rFonts w:cs="Arial"/>
          <w:sz w:val="18"/>
          <w:szCs w:val="18"/>
        </w:rPr>
        <w:t>October</w:t>
      </w:r>
      <w:r w:rsidRPr="00681D57">
        <w:rPr>
          <w:rFonts w:cs="Arial"/>
          <w:sz w:val="18"/>
          <w:szCs w:val="18"/>
        </w:rPr>
        <w:t xml:space="preserve"> 202</w:t>
      </w:r>
      <w:r w:rsidR="00CC5719">
        <w:rPr>
          <w:rFonts w:cs="Arial"/>
          <w:sz w:val="18"/>
          <w:szCs w:val="18"/>
        </w:rPr>
        <w:t>4</w:t>
      </w:r>
      <w:r w:rsidRPr="00681D57">
        <w:rPr>
          <w:rFonts w:cs="Arial"/>
          <w:sz w:val="18"/>
          <w:szCs w:val="18"/>
        </w:rPr>
        <w:t xml:space="preserve">. </w:t>
      </w:r>
    </w:p>
    <w:p w:rsidRPr="00681D57" w:rsidR="00D86062" w:rsidP="00D86062" w:rsidRDefault="00D86062" w14:paraId="46D7FE30" w14:textId="44C36BEC">
      <w:pPr>
        <w:numPr>
          <w:ilvl w:val="0"/>
          <w:numId w:val="17"/>
        </w:numPr>
        <w:rPr>
          <w:rFonts w:cs="Arial"/>
          <w:sz w:val="18"/>
          <w:szCs w:val="18"/>
        </w:rPr>
      </w:pPr>
      <w:r w:rsidRPr="00681D57">
        <w:rPr>
          <w:rFonts w:cs="Arial"/>
          <w:sz w:val="18"/>
          <w:szCs w:val="18"/>
        </w:rPr>
        <w:t>USPDI, Micromedex; 202</w:t>
      </w:r>
      <w:r>
        <w:rPr>
          <w:rFonts w:cs="Arial"/>
          <w:sz w:val="18"/>
          <w:szCs w:val="18"/>
        </w:rPr>
        <w:t>5</w:t>
      </w:r>
      <w:r w:rsidRPr="00681D57">
        <w:rPr>
          <w:rFonts w:cs="Arial"/>
          <w:sz w:val="18"/>
          <w:szCs w:val="18"/>
        </w:rPr>
        <w:t xml:space="preserve">. </w:t>
      </w:r>
    </w:p>
    <w:p w:rsidRPr="00D86062" w:rsidR="00777CA4" w:rsidP="00D86062" w:rsidRDefault="00D86062" w14:paraId="3FA1E7DB" w14:textId="316962A6">
      <w:pPr>
        <w:numPr>
          <w:ilvl w:val="0"/>
          <w:numId w:val="17"/>
        </w:numPr>
        <w:rPr>
          <w:rFonts w:cs="Arial"/>
          <w:sz w:val="18"/>
          <w:szCs w:val="18"/>
        </w:rPr>
      </w:pPr>
      <w:r w:rsidRPr="00681D57">
        <w:rPr>
          <w:rFonts w:cs="Arial"/>
          <w:sz w:val="18"/>
          <w:szCs w:val="18"/>
        </w:rPr>
        <w:t xml:space="preserve">Facts and Comparisons </w:t>
      </w:r>
      <w:proofErr w:type="spellStart"/>
      <w:r w:rsidRPr="00681D57">
        <w:rPr>
          <w:rFonts w:cs="Arial"/>
          <w:sz w:val="18"/>
          <w:szCs w:val="18"/>
        </w:rPr>
        <w:t>eAnswers</w:t>
      </w:r>
      <w:proofErr w:type="spellEnd"/>
      <w:r w:rsidRPr="00681D57">
        <w:rPr>
          <w:rFonts w:cs="Arial"/>
          <w:sz w:val="18"/>
          <w:szCs w:val="18"/>
        </w:rPr>
        <w:t xml:space="preserve"> (online); 202</w:t>
      </w:r>
      <w:r>
        <w:rPr>
          <w:rFonts w:cs="Arial"/>
          <w:sz w:val="18"/>
          <w:szCs w:val="18"/>
        </w:rPr>
        <w:t>5</w:t>
      </w:r>
      <w:r w:rsidRPr="00681D57">
        <w:rPr>
          <w:rFonts w:cs="Arial"/>
          <w:sz w:val="18"/>
          <w:szCs w:val="18"/>
        </w:rPr>
        <w:t xml:space="preserve"> Clinical Drug Information, LLC. </w:t>
      </w:r>
    </w:p>
    <w:sectPr w:rsidRPr="00D86062"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02553" w:rsidR="00622893" w:rsidP="00AE77DB" w:rsidRDefault="00622893" w14:paraId="1ABB2D4F" w14:textId="77777777">
      <w:r w:rsidRPr="00C02553">
        <w:separator/>
      </w:r>
    </w:p>
  </w:endnote>
  <w:endnote w:type="continuationSeparator" w:id="0">
    <w:p w:rsidRPr="00C02553" w:rsidR="00622893" w:rsidP="00AE77DB" w:rsidRDefault="00622893" w14:paraId="58E258EC" w14:textId="77777777">
      <w:r w:rsidRPr="00C02553">
        <w:continuationSeparator/>
      </w:r>
    </w:p>
  </w:endnote>
  <w:endnote w:type="continuationNotice" w:id="1">
    <w:p w:rsidRPr="00C02553" w:rsidR="00622893" w:rsidRDefault="00622893" w14:paraId="321AF9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006A61" w14:paraId="6413C0EC" w14:textId="77777777">
    <w:pPr>
      <w:pStyle w:val="Footer"/>
      <w:framePr w:wrap="around" w:hAnchor="margin" w:vAnchor="text"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rsidRPr="00C02553" w:rsidR="00006A61" w:rsidRDefault="00006A61" w14:paraId="6413C0ED"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811A70" w:rsidP="00811A70" w:rsidRDefault="00811A70" w14:paraId="32077ECE" w14:textId="2F12D58C">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rsidRPr="00C02553" w:rsidR="00811A70" w:rsidP="00811A70" w:rsidRDefault="00811A70" w14:paraId="64986366" w14:textId="56923C2A">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811A70" w:rsidP="00811A70" w:rsidRDefault="00811A70" w14:paraId="55B904FD" w14:textId="452A3398">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rsidRPr="00C02553" w:rsidR="00811A70" w:rsidRDefault="00811A70" w14:paraId="6B0566A7" w14:textId="62FB1748">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5058CB" w:rsidP="005058CB" w:rsidRDefault="005058CB" w14:paraId="027132A3" w14:textId="7267A10D">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rsidRPr="00C02553" w:rsidR="005058CB" w:rsidP="005058CB" w:rsidRDefault="005058CB" w14:paraId="4BB04B71" w14:textId="6D51E804">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5058CB" w:rsidP="005058CB" w:rsidRDefault="005058CB" w14:paraId="02F12BA7" w14:textId="454AF8AF">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02553" w:rsidR="00622893" w:rsidP="00AE77DB" w:rsidRDefault="00622893" w14:paraId="57E24AA4" w14:textId="77777777">
      <w:r w:rsidRPr="00C02553">
        <w:separator/>
      </w:r>
    </w:p>
  </w:footnote>
  <w:footnote w:type="continuationSeparator" w:id="0">
    <w:p w:rsidRPr="00C02553" w:rsidR="00622893" w:rsidP="00AE77DB" w:rsidRDefault="00622893" w14:paraId="4E976D67" w14:textId="77777777">
      <w:r w:rsidRPr="00C02553">
        <w:continuationSeparator/>
      </w:r>
    </w:p>
  </w:footnote>
  <w:footnote w:type="continuationNotice" w:id="1">
    <w:p w:rsidRPr="00C02553" w:rsidR="00622893" w:rsidRDefault="00622893" w14:paraId="7D932C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622893" w14:paraId="6413C0EA" w14:textId="379CBC0E">
    <w:pPr>
      <w:pStyle w:val="Header"/>
      <w:framePr w:wrap="around" w:hAnchor="margin" w:vAnchor="text"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style="position:absolute;margin-left:0;margin-top:0;width:471.3pt;height:188.5pt;rotation:315;z-index:-251654144;mso-position-horizontal:center;mso-position-horizontal-relative:margin;mso-position-vertical:center;mso-position-vertical-relative:margin" o:spid="_x0000_s1026" o:allowincell="f" fillcolor="#8db3e2 [1311]" stroked="f" type="#_x0000_t136">
          <v:fill opacity=".5"/>
          <v:textpath style="font-family:&quot;Arial&quot;;font-size:1pt" string="DRAFT"/>
          <w10:wrap anchorx="margin" anchory="margin"/>
        </v:shape>
      </w:pict>
    </w:r>
    <w:r w:rsidRPr="00C02553" w:rsidR="00006A61">
      <w:rPr>
        <w:rStyle w:val="PageNumber"/>
        <w:rFonts w:ascii="Times New Roman" w:hAnsi="Times New Roman"/>
      </w:rPr>
      <w:fldChar w:fldCharType="begin"/>
    </w:r>
    <w:r w:rsidRPr="00C02553" w:rsidR="00006A61">
      <w:rPr>
        <w:rStyle w:val="PageNumber"/>
        <w:rFonts w:ascii="Times New Roman" w:hAnsi="Times New Roman"/>
      </w:rPr>
      <w:instrText xml:space="preserve">PAGE  </w:instrText>
    </w:r>
    <w:r w:rsidRPr="00C02553" w:rsidR="00006A61">
      <w:rPr>
        <w:rStyle w:val="PageNumber"/>
        <w:rFonts w:ascii="Times New Roman" w:hAnsi="Times New Roman"/>
      </w:rPr>
      <w:fldChar w:fldCharType="separate"/>
    </w:r>
    <w:r w:rsidRPr="00C02553" w:rsidR="00006A61">
      <w:rPr>
        <w:rStyle w:val="PageNumber"/>
        <w:rFonts w:ascii="Times New Roman" w:hAnsi="Times New Roman"/>
      </w:rPr>
      <w:t>2</w:t>
    </w:r>
    <w:r w:rsidRPr="00C02553" w:rsidR="00006A61">
      <w:rPr>
        <w:rStyle w:val="PageNumber"/>
        <w:rFonts w:ascii="Times New Roman" w:hAnsi="Times New Roman"/>
      </w:rPr>
      <w:fldChar w:fldCharType="end"/>
    </w:r>
  </w:p>
  <w:p w:rsidRPr="00C02553" w:rsidR="00006A61" w:rsidRDefault="00006A61" w14:paraId="6413C0EB" w14:textId="77777777">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36" w:rsidRDefault="00622893" w14:paraId="704B5C89" w14:textId="54C3FB2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style="position:absolute;margin-left:0;margin-top:0;width:471.3pt;height:188.5pt;rotation:315;z-index:-251652096;mso-position-horizontal:center;mso-position-horizontal-relative:margin;mso-position-vertical:center;mso-position-vertical-relative:margin" o:spid="_x0000_s1027" o:allowincell="f" fillcolor="#8db3e2 [1311]" stroked="f" type="#_x0000_t136">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C02553" w:rsidR="00006A61" w:rsidRDefault="00AB0B9F" w14:paraId="6413C0F5" w14:textId="28841AA8">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622893">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style="position:absolute;margin-left:0;margin-top:0;width:471.3pt;height:188.5pt;rotation:315;z-index:-251656192;mso-position-horizontal:center;mso-position-horizontal-relative:margin;mso-position-vertical:center;mso-position-vertical-relative:margin" o:spid="_x0000_s1025" o:allowincell="f" fillcolor="#8db3e2 [1311]"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7A5EF7"/>
    <w:multiLevelType w:val="hybridMultilevel"/>
    <w:tmpl w:val="D4D45F68"/>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hint="default" w:ascii="Symbol" w:hAnsi="Symbol"/>
        <w:color w:val="auto"/>
      </w:rPr>
    </w:lvl>
    <w:lvl w:ilvl="1" w:tplc="E91A3DF2">
      <w:start w:val="1"/>
      <w:numFmt w:val="bullet"/>
      <w:lvlText w:val=""/>
      <w:lvlJc w:val="left"/>
      <w:pPr>
        <w:tabs>
          <w:tab w:val="num" w:pos="1080"/>
        </w:tabs>
        <w:ind w:left="1080" w:hanging="360"/>
      </w:pPr>
      <w:rPr>
        <w:rFonts w:hint="default" w:ascii="Symbol" w:hAnsi="Symbol"/>
        <w:color w:val="auto"/>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D643976"/>
    <w:multiLevelType w:val="hybridMultilevel"/>
    <w:tmpl w:val="B88699D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108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4"/>
  </w:num>
  <w:num w:numId="7" w16cid:durableId="2110008555">
    <w:abstractNumId w:val="2"/>
  </w:num>
  <w:num w:numId="8" w16cid:durableId="489712751">
    <w:abstractNumId w:val="6"/>
  </w:num>
  <w:num w:numId="9" w16cid:durableId="1085147965">
    <w:abstractNumId w:val="11"/>
  </w:num>
  <w:num w:numId="10" w16cid:durableId="917518096">
    <w:abstractNumId w:val="8"/>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798113381">
    <w:abstractNumId w:val="10"/>
  </w:num>
  <w:num w:numId="16" w16cid:durableId="233659737">
    <w:abstractNumId w:val="12"/>
  </w:num>
  <w:num w:numId="17" w16cid:durableId="211184775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1429"/>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71DA4"/>
    <w:rsid w:val="00290A03"/>
    <w:rsid w:val="0029159A"/>
    <w:rsid w:val="00291600"/>
    <w:rsid w:val="002A02F4"/>
    <w:rsid w:val="002C2C41"/>
    <w:rsid w:val="002C62E7"/>
    <w:rsid w:val="002E05E2"/>
    <w:rsid w:val="002E15D7"/>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D7179"/>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475F"/>
    <w:rsid w:val="00515075"/>
    <w:rsid w:val="00520FE9"/>
    <w:rsid w:val="005233E7"/>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2893"/>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6CA1"/>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577D"/>
    <w:rsid w:val="009D62DB"/>
    <w:rsid w:val="009E3B42"/>
    <w:rsid w:val="00A05B60"/>
    <w:rsid w:val="00A10F7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3641"/>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4B59"/>
    <w:rsid w:val="00B758AB"/>
    <w:rsid w:val="00B76277"/>
    <w:rsid w:val="00B772AB"/>
    <w:rsid w:val="00B80395"/>
    <w:rsid w:val="00B80B56"/>
    <w:rsid w:val="00B86372"/>
    <w:rsid w:val="00BA1C17"/>
    <w:rsid w:val="00BA1D65"/>
    <w:rsid w:val="00BB3B4D"/>
    <w:rsid w:val="00BB6967"/>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C5719"/>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86062"/>
    <w:rsid w:val="00DA3A0F"/>
    <w:rsid w:val="00DA4E62"/>
    <w:rsid w:val="00DA6990"/>
    <w:rsid w:val="00DB27BA"/>
    <w:rsid w:val="00DB337A"/>
    <w:rsid w:val="00DC51CB"/>
    <w:rsid w:val="00DD4819"/>
    <w:rsid w:val="00DD4B8A"/>
    <w:rsid w:val="00DD5403"/>
    <w:rsid w:val="00DE1388"/>
    <w:rsid w:val="00DE7501"/>
    <w:rsid w:val="00DF0CF9"/>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3E49"/>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24E36AC5"/>
    <w:rsid w:val="5ACF9E28"/>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color="auto" w:sz="4" w:space="1" w:shadow="1"/>
        <w:left w:val="single" w:color="auto" w:sz="4" w:space="4" w:shadow="1"/>
        <w:bottom w:val="single" w:color="auto" w:sz="4" w:space="1" w:shadow="1"/>
        <w:right w:val="single" w:color="auto" w:sz="4" w:space="4"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styleId="BalloonTextChar" w:customStyle="1">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itle">
    <w:name w:val="Title"/>
    <w:basedOn w:val="Normal"/>
    <w:next w:val="Normal"/>
    <w:link w:val="TitleChar"/>
    <w:rsid w:val="000C3940"/>
    <w:pPr>
      <w:framePr w:hSpace="180" w:wrap="around" w:hAnchor="text" w:vAnchor="page" w:xAlign="center" w:y="2851"/>
      <w:suppressAutoHyphens/>
      <w:spacing w:after="60" w:line="820" w:lineRule="exact"/>
    </w:pPr>
    <w:rPr>
      <w:rFonts w:cs="Arial"/>
      <w:color w:val="2895D5"/>
      <w:sz w:val="76"/>
      <w:szCs w:val="66"/>
    </w:rPr>
  </w:style>
  <w:style w:type="character" w:styleId="TitleChar" w:customStyle="1">
    <w:name w:val="Title Char"/>
    <w:basedOn w:val="DefaultParagraphFont"/>
    <w:link w:val="Title"/>
    <w:rsid w:val="000C3940"/>
    <w:rPr>
      <w:rFonts w:ascii="Arial" w:hAnsi="Arial" w:cs="Arial"/>
      <w:color w:val="2895D5"/>
      <w:sz w:val="76"/>
      <w:szCs w:val="66"/>
    </w:rPr>
  </w:style>
  <w:style w:type="paragraph" w:styleId="Title2" w:customStyle="1">
    <w:name w:val="Title2"/>
    <w:basedOn w:val="Normal"/>
    <w:next w:val="Normal"/>
    <w:rsid w:val="000C3940"/>
    <w:pPr>
      <w:framePr w:hSpace="180" w:wrap="around" w:hAnchor="text" w:vAnchor="page" w:xAlign="center" w:y="2851"/>
      <w:suppressAutoHyphens/>
      <w:spacing w:after="60" w:line="520" w:lineRule="exact"/>
    </w:pPr>
    <w:rPr>
      <w:rFonts w:cs="Arial"/>
      <w:color w:val="595959"/>
      <w:sz w:val="46"/>
      <w:szCs w:val="66"/>
      <w:lang w:val="it-IT"/>
    </w:rPr>
  </w:style>
  <w:style w:type="paragraph" w:styleId="theader" w:customStyle="1">
    <w:name w:val="theader"/>
    <w:basedOn w:val="Normal"/>
    <w:rsid w:val="000C3940"/>
    <w:pPr>
      <w:tabs>
        <w:tab w:val="left" w:pos="2400"/>
      </w:tabs>
      <w:suppressAutoHyphens/>
      <w:spacing w:before="60" w:after="60" w:line="220" w:lineRule="exact"/>
    </w:pPr>
    <w:rPr>
      <w:b/>
      <w:color w:val="FFFFFF"/>
      <w:sz w:val="18"/>
      <w:szCs w:val="20"/>
    </w:rPr>
  </w:style>
  <w:style w:type="paragraph" w:styleId="tbody" w:customStyle="1">
    <w:name w:val="tbody"/>
    <w:basedOn w:val="Normal"/>
    <w:qFormat/>
    <w:rsid w:val="00D27533"/>
    <w:pPr>
      <w:suppressAutoHyphens/>
      <w:spacing w:before="60" w:after="60"/>
    </w:pPr>
    <w:rPr>
      <w:b/>
      <w:szCs w:val="20"/>
    </w:rPr>
  </w:style>
  <w:style w:type="paragraph" w:styleId="Style1" w:customStyle="1">
    <w:name w:val="Style1"/>
    <w:basedOn w:val="Heading2"/>
    <w:link w:val="Style1Char"/>
    <w:qFormat/>
    <w:rsid w:val="000913C3"/>
    <w:rPr>
      <w:sz w:val="28"/>
    </w:rPr>
  </w:style>
  <w:style w:type="character" w:styleId="Heading2Char" w:customStyle="1">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Style1Char" w:customStyle="1">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normaltextrun" w:customStyle="1">
    <w:name w:val="normaltextrun"/>
    <w:basedOn w:val="DefaultParagraphFont"/>
    <w:rsid w:val="00D71917"/>
  </w:style>
  <w:style w:type="character" w:styleId="eop" w:customStyle="1">
    <w:name w:val="eop"/>
    <w:basedOn w:val="DefaultParagraphFont"/>
    <w:rsid w:val="00D71917"/>
  </w:style>
  <w:style w:type="paragraph" w:styleId="paragraph" w:customStyle="1">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styleId="HeaderChar" w:customStyle="1">
    <w:name w:val="Header Char"/>
    <w:basedOn w:val="DefaultParagraphFont"/>
    <w:link w:val="Header"/>
    <w:rsid w:val="00F62F33"/>
    <w:rPr>
      <w:rFonts w:ascii="Arial" w:hAnsi="Arial"/>
      <w:sz w:val="22"/>
    </w:rPr>
  </w:style>
  <w:style w:type="numbering" w:styleId="References" w:customStyle="1">
    <w:name w:val="References"/>
    <w:basedOn w:val="NoList"/>
    <w:uiPriority w:val="99"/>
    <w:rsid w:val="00F95D04"/>
    <w:pPr>
      <w:numPr>
        <w:numId w:val="2"/>
      </w:numPr>
    </w:pPr>
  </w:style>
  <w:style w:type="numbering" w:styleId="ListProposal" w:customStyle="1">
    <w:name w:val="List Proposal"/>
    <w:basedOn w:val="NoList"/>
    <w:uiPriority w:val="99"/>
    <w:rsid w:val="003A630F"/>
    <w:pPr>
      <w:numPr>
        <w:numId w:val="4"/>
      </w:numPr>
    </w:pPr>
  </w:style>
  <w:style w:type="numbering" w:styleId="ProposalCriteria" w:customStyle="1">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styleId="ProposalCriteria2" w:customStyle="1">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hAnsi="Arial" w:eastAsia="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dc.gov/std/treatment-guidelines/STI-Guidelines-2021.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A8D3-D2A0-45FE-BC17-DCFE1E891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DSS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Antibiotics, Vaginal PDL Edit</dc:title>
  <dc:creator>DMS</dc:creator>
  <cp:lastModifiedBy>Morsches, Phuonglinh</cp:lastModifiedBy>
  <cp:revision>14</cp:revision>
  <cp:lastPrinted>2018-10-31T20:17:00Z</cp:lastPrinted>
  <dcterms:created xsi:type="dcterms:W3CDTF">2025-12-10T02:26:00Z</dcterms:created>
  <dcterms:modified xsi:type="dcterms:W3CDTF">2025-12-10T02:26:34Z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