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6C099D33" w:rsidR="004C5767" w:rsidRPr="00D167A4" w:rsidRDefault="004C5767" w:rsidP="00D27533">
      <w:pPr>
        <w:pStyle w:val="tbody"/>
        <w:rPr>
          <w:b w:val="0"/>
          <w:bCs/>
        </w:rPr>
      </w:pPr>
      <w:r w:rsidRPr="00C02553">
        <w:t>Drug/Drug Class:</w:t>
      </w:r>
      <w:r w:rsidR="003B4820">
        <w:t xml:space="preserve"> </w:t>
      </w:r>
      <w:r w:rsidR="0040135F" w:rsidRPr="00D167A4">
        <w:rPr>
          <w:b w:val="0"/>
          <w:bCs/>
        </w:rPr>
        <w:t>Antibiotics, Mupirocin Topical PDL Edit</w:t>
      </w:r>
    </w:p>
    <w:p w14:paraId="7AD7FFCE" w14:textId="6DB33314" w:rsidR="004C5767" w:rsidRPr="00C02553" w:rsidRDefault="004C5767" w:rsidP="00D27533">
      <w:pPr>
        <w:pStyle w:val="tbody"/>
      </w:pPr>
      <w:r w:rsidRPr="00C02553">
        <w:t xml:space="preserve">First Implementation Date: </w:t>
      </w:r>
      <w:r w:rsidR="00F66E20" w:rsidRPr="00D167A4">
        <w:rPr>
          <w:b w:val="0"/>
          <w:bCs/>
        </w:rPr>
        <w:t>October 14, 2021</w:t>
      </w:r>
    </w:p>
    <w:p w14:paraId="4B7D760D" w14:textId="77F84E4D" w:rsidR="004C5767" w:rsidRPr="00057F84" w:rsidRDefault="00F41F69" w:rsidP="70E341D6">
      <w:pPr>
        <w:pStyle w:val="tbody"/>
        <w:rPr>
          <w:b w:val="0"/>
        </w:rPr>
      </w:pPr>
      <w:proofErr w:type="gramStart"/>
      <w:r>
        <w:t>Propo</w:t>
      </w:r>
      <w:r w:rsidR="004C5767">
        <w:t>sed Date</w:t>
      </w:r>
      <w:proofErr w:type="gramEnd"/>
      <w:r w:rsidR="004C5767">
        <w:t>:</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DA4C24C" w:rsidR="004C5767" w:rsidRPr="00D27533" w:rsidRDefault="004C5767" w:rsidP="00D27533">
      <w:pPr>
        <w:pStyle w:val="tbody"/>
        <w:rPr>
          <w:b w:val="0"/>
          <w:bCs/>
          <w:spacing w:val="-3"/>
        </w:rPr>
      </w:pPr>
      <w:r w:rsidRPr="00C02553">
        <w:t xml:space="preserve">Criteria Status: </w:t>
      </w:r>
      <w:r w:rsidR="00566BE4" w:rsidRPr="00537BFD">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21BF7392" w14:textId="77777777" w:rsidR="00361348" w:rsidRPr="00190E9A" w:rsidRDefault="00361348" w:rsidP="00361348">
      <w:pPr>
        <w:pStyle w:val="Header"/>
        <w:tabs>
          <w:tab w:val="clear" w:pos="4320"/>
          <w:tab w:val="clear" w:pos="8640"/>
        </w:tabs>
        <w:rPr>
          <w:sz w:val="20"/>
        </w:rPr>
      </w:pPr>
      <w:r>
        <w:rPr>
          <w:sz w:val="20"/>
        </w:rPr>
        <w:t xml:space="preserve">The antibiotic mupirocin, also known as </w:t>
      </w:r>
      <w:proofErr w:type="spellStart"/>
      <w:r>
        <w:rPr>
          <w:sz w:val="20"/>
        </w:rPr>
        <w:t>pseudomonic</w:t>
      </w:r>
      <w:proofErr w:type="spellEnd"/>
      <w:r>
        <w:rPr>
          <w:sz w:val="20"/>
        </w:rPr>
        <w:t xml:space="preserve"> acid A, was first extracted from </w:t>
      </w:r>
      <w:r>
        <w:rPr>
          <w:i/>
          <w:iCs/>
          <w:sz w:val="20"/>
        </w:rPr>
        <w:t>Pseudomonas fluorescens</w:t>
      </w:r>
      <w:r>
        <w:rPr>
          <w:sz w:val="20"/>
        </w:rPr>
        <w:t xml:space="preserve">, a gram-negative, rod-shaped bacterium in 1971. Mupirocin exerts its effect of bacterial protein synthesis inhibition via reversible binding to bacterial </w:t>
      </w:r>
      <w:proofErr w:type="spellStart"/>
      <w:r>
        <w:rPr>
          <w:sz w:val="20"/>
        </w:rPr>
        <w:t>isoleucyl</w:t>
      </w:r>
      <w:proofErr w:type="spellEnd"/>
      <w:r>
        <w:rPr>
          <w:sz w:val="20"/>
        </w:rPr>
        <w:t>-transfer RNA (tRNA) synthetase. It is most highly active against gram-positive bacteria including staphylococci and streptococci and has little activity against gram-negative bacteria. In 1987 mupirocin was initially available as Bactroban</w:t>
      </w:r>
      <w:r w:rsidRPr="00267719">
        <w:rPr>
          <w:sz w:val="20"/>
          <w:vertAlign w:val="superscript"/>
        </w:rPr>
        <w:t>®</w:t>
      </w:r>
      <w:r>
        <w:rPr>
          <w:sz w:val="20"/>
        </w:rPr>
        <w:t xml:space="preserve"> ointment. All brand name Bactroban products have since been discontinued including the nasal ointment formulation which was available in single-use tubes for the eradication of nasal colonization with methicillin-resistant Staphylococcus aureus (MRSA) to reduce the risk of infection among high-risk patients during institutional outbreaks. Remaining available formulations include creams and ointments which are commonly used for the treatment of impetigo and other skin and skin structure infections due to susceptible strains of </w:t>
      </w:r>
      <w:r>
        <w:rPr>
          <w:i/>
          <w:iCs/>
          <w:sz w:val="20"/>
        </w:rPr>
        <w:t>Staphylococcus aureus</w:t>
      </w:r>
      <w:r>
        <w:rPr>
          <w:sz w:val="20"/>
        </w:rPr>
        <w:t xml:space="preserve"> or </w:t>
      </w:r>
      <w:r>
        <w:rPr>
          <w:i/>
          <w:iCs/>
          <w:sz w:val="20"/>
        </w:rPr>
        <w:t>Streptococcus pyogenes</w:t>
      </w:r>
      <w:r>
        <w:rPr>
          <w:sz w:val="20"/>
        </w:rPr>
        <w:t xml:space="preserve">. Documentation of resistance has been noted and limiting duration of therapy to 10 days in most cases is recommended.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21829C" w14:textId="2A5759C3" w:rsidR="00846FA4" w:rsidRDefault="00361348" w:rsidP="00846FA4">
      <w:pPr>
        <w:pStyle w:val="ListParagraph"/>
      </w:pPr>
      <w:r>
        <w:t xml:space="preserve">Mupirocin </w:t>
      </w:r>
      <w:proofErr w:type="spellStart"/>
      <w:r>
        <w:t>Oint</w:t>
      </w:r>
      <w:proofErr w:type="spellEnd"/>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079F807A" w14:textId="1DBEA991" w:rsidR="00846FA4" w:rsidRDefault="00361348" w:rsidP="00F43E41">
      <w:pPr>
        <w:pStyle w:val="ListParagraph"/>
      </w:pPr>
      <w:proofErr w:type="spellStart"/>
      <w:r>
        <w:t>Centany</w:t>
      </w:r>
      <w:proofErr w:type="spellEnd"/>
      <w:r w:rsidRPr="00361348">
        <w:rPr>
          <w:vertAlign w:val="superscript"/>
        </w:rPr>
        <w:t>®</w:t>
      </w:r>
    </w:p>
    <w:p w14:paraId="1782751B" w14:textId="77777777" w:rsidR="006F248D" w:rsidRDefault="006F248D" w:rsidP="006F248D">
      <w:pPr>
        <w:pStyle w:val="ListParagraph"/>
      </w:pPr>
      <w:proofErr w:type="spellStart"/>
      <w:r w:rsidRPr="00EC5365">
        <w:t>Centany</w:t>
      </w:r>
      <w:proofErr w:type="spellEnd"/>
      <w:r w:rsidRPr="002F156F">
        <w:rPr>
          <w:vertAlign w:val="superscript"/>
        </w:rPr>
        <w:t>®</w:t>
      </w:r>
      <w:r>
        <w:t xml:space="preserve"> AT </w:t>
      </w:r>
      <w:proofErr w:type="spellStart"/>
      <w:r>
        <w:t>Oint</w:t>
      </w:r>
      <w:proofErr w:type="spellEnd"/>
      <w:r>
        <w:t xml:space="preserve"> Kit</w:t>
      </w:r>
    </w:p>
    <w:p w14:paraId="48E45F61" w14:textId="02D33B31" w:rsidR="00361348" w:rsidRPr="00696E3A" w:rsidRDefault="006F248D" w:rsidP="006F248D">
      <w:pPr>
        <w:pStyle w:val="ListParagraph"/>
      </w:pPr>
      <w:r>
        <w:t xml:space="preserve">Mupirocin </w:t>
      </w:r>
      <w:proofErr w:type="spellStart"/>
      <w:r>
        <w:t>Crm</w:t>
      </w:r>
      <w:proofErr w:type="spellEnd"/>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544E7AA6" w:rsidR="0097028A" w:rsidRPr="0079438F" w:rsidRDefault="0097028A" w:rsidP="00696E3A">
      <w:pPr>
        <w:rPr>
          <w:b/>
        </w:rPr>
      </w:pPr>
      <w:r w:rsidRPr="00696E3A">
        <w:rPr>
          <w:b/>
          <w:bCs/>
        </w:rPr>
        <w:t>Drug class for review:</w:t>
      </w:r>
      <w:r w:rsidRPr="00C02553">
        <w:t xml:space="preserve"> </w:t>
      </w:r>
      <w:r w:rsidR="00D167A4">
        <w:rPr>
          <w:rFonts w:cs="Arial"/>
          <w:szCs w:val="20"/>
        </w:rPr>
        <w:t>Antibiotics, Mupirocin Topical</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3F5F36D6" w14:textId="77777777" w:rsidR="000946B9" w:rsidRDefault="000946B9" w:rsidP="000946B9">
      <w:pPr>
        <w:numPr>
          <w:ilvl w:val="0"/>
          <w:numId w:val="16"/>
        </w:numPr>
        <w:jc w:val="both"/>
        <w:rPr>
          <w:rFonts w:cs="Arial"/>
          <w:szCs w:val="20"/>
        </w:rPr>
      </w:pPr>
      <w:r>
        <w:rPr>
          <w:rFonts w:cs="Arial"/>
          <w:szCs w:val="20"/>
        </w:rPr>
        <w:t>Must meet one of the following:</w:t>
      </w:r>
    </w:p>
    <w:p w14:paraId="42C79605" w14:textId="77777777" w:rsidR="000946B9" w:rsidRDefault="000946B9" w:rsidP="000946B9">
      <w:pPr>
        <w:numPr>
          <w:ilvl w:val="1"/>
          <w:numId w:val="16"/>
        </w:numPr>
        <w:jc w:val="both"/>
        <w:rPr>
          <w:rFonts w:cs="Arial"/>
          <w:szCs w:val="20"/>
        </w:rPr>
      </w:pPr>
      <w:r w:rsidRPr="005F318E">
        <w:rPr>
          <w:rFonts w:cs="Arial"/>
          <w:szCs w:val="20"/>
        </w:rPr>
        <w:t xml:space="preserve">Claim is for a preferred </w:t>
      </w:r>
      <w:proofErr w:type="gramStart"/>
      <w:r w:rsidRPr="005F318E">
        <w:rPr>
          <w:rFonts w:cs="Arial"/>
          <w:szCs w:val="20"/>
        </w:rPr>
        <w:t>agent;</w:t>
      </w:r>
      <w:proofErr w:type="gramEnd"/>
      <w:r w:rsidRPr="005F318E">
        <w:rPr>
          <w:rFonts w:cs="Arial"/>
          <w:szCs w:val="20"/>
        </w:rPr>
        <w:t xml:space="preserve"> </w:t>
      </w:r>
      <w:r w:rsidRPr="005F318E">
        <w:rPr>
          <w:rFonts w:cs="Arial"/>
          <w:b/>
          <w:bCs/>
          <w:szCs w:val="20"/>
        </w:rPr>
        <w:t>OR</w:t>
      </w:r>
    </w:p>
    <w:p w14:paraId="7DD31554" w14:textId="77777777" w:rsidR="000946B9" w:rsidRDefault="000946B9" w:rsidP="000946B9">
      <w:pPr>
        <w:numPr>
          <w:ilvl w:val="1"/>
          <w:numId w:val="16"/>
        </w:numPr>
        <w:jc w:val="both"/>
        <w:rPr>
          <w:rFonts w:cs="Arial"/>
          <w:szCs w:val="20"/>
        </w:rPr>
      </w:pPr>
      <w:r w:rsidRPr="005F318E">
        <w:rPr>
          <w:rFonts w:cs="Arial"/>
          <w:szCs w:val="20"/>
        </w:rPr>
        <w:t>Failure to achieve desired therapeutic outcomes with trial o</w:t>
      </w:r>
      <w:r>
        <w:rPr>
          <w:rFonts w:cs="Arial"/>
          <w:szCs w:val="20"/>
        </w:rPr>
        <w:t>n</w:t>
      </w:r>
      <w:r w:rsidRPr="005F318E">
        <w:rPr>
          <w:rFonts w:cs="Arial"/>
          <w:szCs w:val="20"/>
        </w:rPr>
        <w:t xml:space="preserve"> 1 preferred agent in the past 3 </w:t>
      </w:r>
      <w:proofErr w:type="gramStart"/>
      <w:r w:rsidRPr="005F318E">
        <w:rPr>
          <w:rFonts w:cs="Arial"/>
          <w:szCs w:val="20"/>
        </w:rPr>
        <w:t>months</w:t>
      </w:r>
      <w:r>
        <w:rPr>
          <w:rFonts w:cs="Arial"/>
          <w:szCs w:val="20"/>
        </w:rPr>
        <w:t>;</w:t>
      </w:r>
      <w:proofErr w:type="gramEnd"/>
    </w:p>
    <w:p w14:paraId="25E63DB7" w14:textId="77777777" w:rsidR="000946B9" w:rsidRDefault="000946B9" w:rsidP="000946B9">
      <w:pPr>
        <w:numPr>
          <w:ilvl w:val="2"/>
          <w:numId w:val="16"/>
        </w:numPr>
        <w:jc w:val="both"/>
        <w:rPr>
          <w:rFonts w:cs="Arial"/>
          <w:szCs w:val="20"/>
        </w:rPr>
      </w:pPr>
      <w:r w:rsidRPr="002F365C">
        <w:rPr>
          <w:rFonts w:cs="Arial"/>
          <w:szCs w:val="20"/>
        </w:rPr>
        <w:t xml:space="preserve">Documented trial period of preferred agents; </w:t>
      </w:r>
      <w:r w:rsidRPr="002F365C">
        <w:rPr>
          <w:rFonts w:cs="Arial"/>
          <w:b/>
          <w:bCs/>
          <w:szCs w:val="20"/>
        </w:rPr>
        <w:t>OR</w:t>
      </w:r>
    </w:p>
    <w:p w14:paraId="0CDA553F" w14:textId="77777777" w:rsidR="000946B9" w:rsidRPr="002F365C" w:rsidRDefault="000946B9" w:rsidP="000946B9">
      <w:pPr>
        <w:numPr>
          <w:ilvl w:val="2"/>
          <w:numId w:val="16"/>
        </w:numPr>
        <w:jc w:val="both"/>
        <w:rPr>
          <w:rFonts w:cs="Arial"/>
          <w:szCs w:val="20"/>
        </w:rPr>
      </w:pPr>
      <w:r w:rsidRPr="002F365C">
        <w:rPr>
          <w:rFonts w:cs="Arial"/>
          <w:szCs w:val="20"/>
        </w:rPr>
        <w:lastRenderedPageBreak/>
        <w:t>Documented ADE/ADR to preferred agents</w:t>
      </w:r>
      <w:r>
        <w:rPr>
          <w:rFonts w:cs="Arial"/>
          <w:szCs w:val="20"/>
        </w:rPr>
        <w:t>.</w:t>
      </w:r>
      <w:r w:rsidRPr="002F365C">
        <w:rPr>
          <w:rFonts w:cs="Arial"/>
          <w:szCs w:val="20"/>
        </w:rPr>
        <w:t xml:space="preserve">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4D21EAF1" w14:textId="7D64284C" w:rsidR="001E4CBA" w:rsidRPr="000946B9" w:rsidRDefault="00904D7A" w:rsidP="000946B9">
      <w:pPr>
        <w:pStyle w:val="ListParagraph"/>
        <w:numPr>
          <w:ilvl w:val="1"/>
          <w:numId w:val="6"/>
        </w:numPr>
        <w:rPr>
          <w:rFonts w:cs="Arial"/>
          <w:szCs w:val="22"/>
        </w:rPr>
      </w:pPr>
      <w:proofErr w:type="gramStart"/>
      <w:r w:rsidRPr="005328B2">
        <w:t>Any</w:t>
      </w:r>
      <w:proofErr w:type="gramEnd"/>
      <w:r w:rsidRPr="005328B2">
        <w:t xml:space="preserve"> approval criteria </w:t>
      </w:r>
      <w:proofErr w:type="gramStart"/>
      <w:r w:rsidRPr="005328B2">
        <w:t>are not</w:t>
      </w:r>
      <w:proofErr w:type="gramEnd"/>
      <w:r w:rsidRPr="005328B2">
        <w:t xml:space="preserve"> met</w:t>
      </w:r>
      <w:r w:rsidR="000946B9">
        <w:t>.</w:t>
      </w:r>
    </w:p>
    <w:p w14:paraId="4DD72877" w14:textId="77777777" w:rsidR="000946B9" w:rsidRPr="002C2C41" w:rsidRDefault="000946B9" w:rsidP="000946B9">
      <w:pPr>
        <w:pStyle w:val="ListParagraph"/>
        <w:numPr>
          <w:ilvl w:val="0"/>
          <w:numId w:val="0"/>
        </w:numPr>
        <w:ind w:left="72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655BE28F" w:rsidR="00343D6B" w:rsidRPr="00C02553" w:rsidRDefault="00343D6B" w:rsidP="00696E3A">
      <w:r w:rsidRPr="00696E3A">
        <w:rPr>
          <w:b/>
          <w:bCs/>
        </w:rPr>
        <w:t>Default Approval Period:</w:t>
      </w:r>
      <w:r w:rsidR="00973BD6">
        <w:t xml:space="preserve"> </w:t>
      </w:r>
      <w:r w:rsidR="002A1D4D">
        <w:t>3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26EAF07A" w14:textId="77777777" w:rsidR="00537BFD" w:rsidRPr="000B2229" w:rsidRDefault="00537BFD" w:rsidP="00537BFD">
      <w:pPr>
        <w:pStyle w:val="List2"/>
        <w:numPr>
          <w:ilvl w:val="0"/>
          <w:numId w:val="17"/>
        </w:numPr>
        <w:rPr>
          <w:rFonts w:cs="Arial"/>
          <w:szCs w:val="20"/>
        </w:rPr>
      </w:pPr>
      <w:r w:rsidRPr="000B2229">
        <w:rPr>
          <w:rFonts w:cs="Arial"/>
          <w:szCs w:val="20"/>
        </w:rPr>
        <w:t xml:space="preserve">Evidence-Based Medicine Analysis: “Antibiotic, Mupirocin Topical”, UMKC-DIC; </w:t>
      </w:r>
      <w:r>
        <w:rPr>
          <w:rFonts w:cs="Arial"/>
          <w:szCs w:val="20"/>
        </w:rPr>
        <w:t>October 2024</w:t>
      </w:r>
      <w:r w:rsidRPr="000B2229">
        <w:rPr>
          <w:rFonts w:cs="Arial"/>
          <w:szCs w:val="20"/>
        </w:rPr>
        <w:t>.</w:t>
      </w:r>
    </w:p>
    <w:p w14:paraId="1E183B02" w14:textId="77777777" w:rsidR="00537BFD" w:rsidRPr="000B2229" w:rsidRDefault="00537BFD" w:rsidP="00537BFD">
      <w:pPr>
        <w:numPr>
          <w:ilvl w:val="0"/>
          <w:numId w:val="17"/>
        </w:numPr>
        <w:rPr>
          <w:rFonts w:cs="Arial"/>
          <w:szCs w:val="20"/>
        </w:rPr>
      </w:pPr>
      <w:r w:rsidRPr="000B2229">
        <w:rPr>
          <w:rFonts w:cs="Arial"/>
          <w:szCs w:val="20"/>
        </w:rPr>
        <w:t>Evidence-Based Medicine and Fiscal Analysis: “Topical Antibiotics Mupirocin – Therapeutic Class Review”, Conduent Business Services, L.L.C., Richmond, VA; June 2021.</w:t>
      </w:r>
    </w:p>
    <w:p w14:paraId="229C8888" w14:textId="77777777" w:rsidR="00537BFD" w:rsidRPr="000B2229" w:rsidRDefault="00537BFD" w:rsidP="00537BFD">
      <w:pPr>
        <w:pStyle w:val="Header"/>
        <w:numPr>
          <w:ilvl w:val="0"/>
          <w:numId w:val="17"/>
        </w:numPr>
        <w:rPr>
          <w:rFonts w:cs="Arial"/>
          <w:sz w:val="20"/>
        </w:rPr>
      </w:pPr>
      <w:proofErr w:type="spellStart"/>
      <w:r w:rsidRPr="000B2229">
        <w:rPr>
          <w:rFonts w:cs="Arial"/>
          <w:sz w:val="20"/>
        </w:rPr>
        <w:t>Khoshnood</w:t>
      </w:r>
      <w:proofErr w:type="spellEnd"/>
      <w:r w:rsidRPr="000B2229">
        <w:rPr>
          <w:rFonts w:cs="Arial"/>
          <w:sz w:val="20"/>
        </w:rPr>
        <w:t xml:space="preserve">, S., Heidary, M., Asadi, A., et. al. “A review on mechanism of action, resistance, synergism, and clinical implications of mupirocin against </w:t>
      </w:r>
      <w:r w:rsidRPr="000B2229">
        <w:rPr>
          <w:rFonts w:cs="Arial"/>
          <w:i/>
          <w:iCs/>
          <w:sz w:val="20"/>
        </w:rPr>
        <w:t>Staphylococcus aureus</w:t>
      </w:r>
      <w:r w:rsidRPr="000B2229">
        <w:rPr>
          <w:rFonts w:cs="Arial"/>
          <w:sz w:val="20"/>
        </w:rPr>
        <w:t>. Biomedicine and Pharmacotherapy. 109(2019) 1809-1818.</w:t>
      </w:r>
    </w:p>
    <w:p w14:paraId="6A2E83D9" w14:textId="5A88D01D" w:rsidR="00537BFD" w:rsidRDefault="00537BFD" w:rsidP="00537BFD">
      <w:pPr>
        <w:numPr>
          <w:ilvl w:val="0"/>
          <w:numId w:val="17"/>
        </w:numPr>
        <w:rPr>
          <w:rFonts w:cs="Arial"/>
        </w:rPr>
      </w:pPr>
      <w:r w:rsidRPr="00BF4E23">
        <w:rPr>
          <w:rFonts w:cs="Arial"/>
          <w:szCs w:val="20"/>
        </w:rPr>
        <w:t>USPDI, Micromedex; 202</w:t>
      </w:r>
      <w:r>
        <w:rPr>
          <w:rFonts w:cs="Arial"/>
          <w:szCs w:val="20"/>
        </w:rPr>
        <w:t>5</w:t>
      </w:r>
      <w:r w:rsidRPr="00BF4E23">
        <w:rPr>
          <w:rFonts w:cs="Arial"/>
          <w:szCs w:val="20"/>
        </w:rPr>
        <w:t xml:space="preserve">. </w:t>
      </w:r>
      <w:bookmarkStart w:id="2" w:name="_Hlk45607827"/>
    </w:p>
    <w:p w14:paraId="15850FC0" w14:textId="52451CF5" w:rsidR="00537BFD" w:rsidRPr="00AE2A5E" w:rsidRDefault="00537BFD" w:rsidP="00537BFD">
      <w:pPr>
        <w:numPr>
          <w:ilvl w:val="0"/>
          <w:numId w:val="17"/>
        </w:numPr>
        <w:rPr>
          <w:rFonts w:cs="Arial"/>
        </w:rPr>
      </w:pPr>
      <w:r w:rsidRPr="00BF4E23">
        <w:rPr>
          <w:rFonts w:cs="Arial"/>
          <w:szCs w:val="20"/>
        </w:rPr>
        <w:t xml:space="preserve">Facts and Comparisons </w:t>
      </w:r>
      <w:proofErr w:type="spellStart"/>
      <w:r w:rsidRPr="00BF4E23">
        <w:rPr>
          <w:rFonts w:cs="Arial"/>
          <w:szCs w:val="20"/>
        </w:rPr>
        <w:t>eAnswers</w:t>
      </w:r>
      <w:proofErr w:type="spellEnd"/>
      <w:r w:rsidRPr="00BF4E23">
        <w:rPr>
          <w:rFonts w:cs="Arial"/>
          <w:szCs w:val="20"/>
        </w:rPr>
        <w:t xml:space="preserve"> (online); 202</w:t>
      </w:r>
      <w:r>
        <w:rPr>
          <w:rFonts w:cs="Arial"/>
          <w:szCs w:val="20"/>
        </w:rPr>
        <w:t>5</w:t>
      </w:r>
      <w:r w:rsidRPr="00BF4E23">
        <w:rPr>
          <w:rFonts w:cs="Arial"/>
          <w:szCs w:val="20"/>
        </w:rPr>
        <w:t xml:space="preserve"> Clinical Drug Information, LLC. </w:t>
      </w:r>
      <w:bookmarkEnd w:id="2"/>
    </w:p>
    <w:p w14:paraId="3FA1E7DB" w14:textId="5A95264B" w:rsidR="00777CA4" w:rsidRDefault="00777CA4" w:rsidP="00537BFD"/>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AF43" w14:textId="77777777" w:rsidR="00107CAD" w:rsidRPr="00C02553" w:rsidRDefault="00107CAD" w:rsidP="00AE77DB">
      <w:r w:rsidRPr="00C02553">
        <w:separator/>
      </w:r>
    </w:p>
  </w:endnote>
  <w:endnote w:type="continuationSeparator" w:id="0">
    <w:p w14:paraId="6A964F96" w14:textId="77777777" w:rsidR="00107CAD" w:rsidRPr="00C02553" w:rsidRDefault="00107CAD" w:rsidP="00AE77DB">
      <w:r w:rsidRPr="00C02553">
        <w:continuationSeparator/>
      </w:r>
    </w:p>
  </w:endnote>
  <w:endnote w:type="continuationNotice" w:id="1">
    <w:p w14:paraId="5289ADD6" w14:textId="77777777" w:rsidR="00107CAD" w:rsidRPr="00C02553" w:rsidRDefault="00107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F583" w14:textId="77777777" w:rsidR="00107CAD" w:rsidRPr="00C02553" w:rsidRDefault="00107CAD" w:rsidP="00AE77DB">
      <w:r w:rsidRPr="00C02553">
        <w:separator/>
      </w:r>
    </w:p>
  </w:footnote>
  <w:footnote w:type="continuationSeparator" w:id="0">
    <w:p w14:paraId="7643EDEB" w14:textId="77777777" w:rsidR="00107CAD" w:rsidRPr="00C02553" w:rsidRDefault="00107CAD" w:rsidP="00AE77DB">
      <w:r w:rsidRPr="00C02553">
        <w:continuationSeparator/>
      </w:r>
    </w:p>
  </w:footnote>
  <w:footnote w:type="continuationNotice" w:id="1">
    <w:p w14:paraId="76477E5B" w14:textId="77777777" w:rsidR="00107CAD" w:rsidRPr="00C02553" w:rsidRDefault="00107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000000">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000000">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000000">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A0605E"/>
    <w:multiLevelType w:val="hybridMultilevel"/>
    <w:tmpl w:val="9A3EC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F167CE"/>
    <w:multiLevelType w:val="hybridMultilevel"/>
    <w:tmpl w:val="4962C2C8"/>
    <w:lvl w:ilvl="0" w:tplc="C8AAAB52">
      <w:start w:val="1"/>
      <w:numFmt w:val="bullet"/>
      <w:lvlText w:val=""/>
      <w:lvlJc w:val="left"/>
      <w:pPr>
        <w:tabs>
          <w:tab w:val="num" w:pos="360"/>
        </w:tabs>
        <w:ind w:left="288" w:hanging="288"/>
      </w:pPr>
      <w:rPr>
        <w:rFonts w:ascii="Symbol" w:hAnsi="Symbol" w:hint="default"/>
      </w:rPr>
    </w:lvl>
    <w:lvl w:ilvl="1" w:tplc="04090003">
      <w:start w:val="1"/>
      <w:numFmt w:val="bullet"/>
      <w:lvlText w:val="o"/>
      <w:lvlJc w:val="left"/>
      <w:pPr>
        <w:tabs>
          <w:tab w:val="num" w:pos="630"/>
        </w:tabs>
        <w:ind w:left="630" w:hanging="360"/>
      </w:pPr>
      <w:rPr>
        <w:rFonts w:ascii="Courier New" w:hAnsi="Courier New" w:cs="Times New Roman"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891BE5"/>
    <w:multiLevelType w:val="hybridMultilevel"/>
    <w:tmpl w:val="B34A8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9"/>
  </w:num>
  <w:num w:numId="5" w16cid:durableId="1769498754">
    <w:abstractNumId w:val="3"/>
  </w:num>
  <w:num w:numId="6" w16cid:durableId="1094596320">
    <w:abstractNumId w:val="14"/>
  </w:num>
  <w:num w:numId="7" w16cid:durableId="2110008555">
    <w:abstractNumId w:val="2"/>
  </w:num>
  <w:num w:numId="8" w16cid:durableId="489712751">
    <w:abstractNumId w:val="8"/>
  </w:num>
  <w:num w:numId="9" w16cid:durableId="1085147965">
    <w:abstractNumId w:val="11"/>
  </w:num>
  <w:num w:numId="10" w16cid:durableId="917518096">
    <w:abstractNumId w:val="10"/>
  </w:num>
  <w:num w:numId="11" w16cid:durableId="1894998475">
    <w:abstractNumId w:val="1"/>
  </w:num>
  <w:num w:numId="12" w16cid:durableId="1418215296">
    <w:abstractNumId w:val="15"/>
  </w:num>
  <w:num w:numId="13" w16cid:durableId="604729665">
    <w:abstractNumId w:val="7"/>
  </w:num>
  <w:num w:numId="14" w16cid:durableId="1805081292">
    <w:abstractNumId w:val="12"/>
  </w:num>
  <w:num w:numId="15" w16cid:durableId="737241727">
    <w:abstractNumId w:val="5"/>
  </w:num>
  <w:num w:numId="16" w16cid:durableId="1705867671">
    <w:abstractNumId w:val="6"/>
  </w:num>
  <w:num w:numId="17" w16cid:durableId="209932483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46B9"/>
    <w:rsid w:val="000953B9"/>
    <w:rsid w:val="000A413B"/>
    <w:rsid w:val="000A6279"/>
    <w:rsid w:val="000B496B"/>
    <w:rsid w:val="000C3940"/>
    <w:rsid w:val="000C5992"/>
    <w:rsid w:val="000E1479"/>
    <w:rsid w:val="000E231E"/>
    <w:rsid w:val="000E247D"/>
    <w:rsid w:val="000E6B14"/>
    <w:rsid w:val="000E70D8"/>
    <w:rsid w:val="001062F6"/>
    <w:rsid w:val="00107CAD"/>
    <w:rsid w:val="00112FC7"/>
    <w:rsid w:val="00125F5F"/>
    <w:rsid w:val="00126951"/>
    <w:rsid w:val="00126B6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A1D4D"/>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48"/>
    <w:rsid w:val="003613AF"/>
    <w:rsid w:val="003878C1"/>
    <w:rsid w:val="00396C0B"/>
    <w:rsid w:val="003A630F"/>
    <w:rsid w:val="003B3958"/>
    <w:rsid w:val="003B4820"/>
    <w:rsid w:val="003B5F4B"/>
    <w:rsid w:val="003B682F"/>
    <w:rsid w:val="003C53FC"/>
    <w:rsid w:val="003C7013"/>
    <w:rsid w:val="003D641B"/>
    <w:rsid w:val="003F227C"/>
    <w:rsid w:val="0040135F"/>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07458"/>
    <w:rsid w:val="0051044D"/>
    <w:rsid w:val="005139E4"/>
    <w:rsid w:val="00515075"/>
    <w:rsid w:val="00520FE9"/>
    <w:rsid w:val="005233E7"/>
    <w:rsid w:val="005328B2"/>
    <w:rsid w:val="00535BD5"/>
    <w:rsid w:val="00537BFD"/>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6F248D"/>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3FD8"/>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2615F"/>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6EC7"/>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167A4"/>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66E20"/>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1e4a61f8-8acd-406c-9ffc-156367cd3fec"/>
    <ds:schemaRef ds:uri="54a97082-99d0-4cd5-8c93-88769c19209d"/>
    <ds:schemaRef ds:uri="http://schemas.microsoft.com/sharepoint/v3"/>
  </ds:schemaRefs>
</ds:datastoreItem>
</file>

<file path=customXml/itemProps3.xml><?xml version="1.0" encoding="utf-8"?>
<ds:datastoreItem xmlns:ds="http://schemas.openxmlformats.org/officeDocument/2006/customXml" ds:itemID="{A83055B1-0E86-40A9-8244-C60876792E0C}"/>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Antibiotics, Mupirocin Topical PDL Edit</dc:title>
  <dc:creator>DMS</dc:creator>
  <cp:lastModifiedBy>Morsches, Phuonglinh</cp:lastModifiedBy>
  <cp:revision>11</cp:revision>
  <cp:lastPrinted>2018-10-31T20:17:00Z</cp:lastPrinted>
  <dcterms:created xsi:type="dcterms:W3CDTF">2025-11-25T02:28:00Z</dcterms:created>
  <dcterms:modified xsi:type="dcterms:W3CDTF">2025-12-05T00:05:00Z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