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2C4B4F7A" w:rsidR="004C5767" w:rsidRPr="008859E1" w:rsidRDefault="004C5767" w:rsidP="00D27533">
      <w:pPr>
        <w:pStyle w:val="tbody"/>
        <w:rPr>
          <w:b w:val="0"/>
          <w:bCs/>
        </w:rPr>
      </w:pPr>
      <w:r w:rsidRPr="00C02553">
        <w:t>Drug/Drug Class:</w:t>
      </w:r>
      <w:r w:rsidR="003B4820" w:rsidRPr="00573856">
        <w:rPr>
          <w:b w:val="0"/>
          <w:bCs/>
        </w:rPr>
        <w:t xml:space="preserve"> </w:t>
      </w:r>
      <w:r w:rsidR="00260820" w:rsidRPr="00260820">
        <w:rPr>
          <w:b w:val="0"/>
          <w:bCs/>
        </w:rPr>
        <w:t>Anti-Migraine, Alternative Agents PDL Edit</w:t>
      </w:r>
    </w:p>
    <w:p w14:paraId="7AD7FFCE" w14:textId="5E3E630A" w:rsidR="004C5767" w:rsidRPr="00C02553" w:rsidRDefault="004C5767" w:rsidP="00D27533">
      <w:pPr>
        <w:pStyle w:val="tbody"/>
      </w:pPr>
      <w:r w:rsidRPr="00C02553">
        <w:t>First Implementation Date:</w:t>
      </w:r>
      <w:r w:rsidRPr="00573856">
        <w:rPr>
          <w:b w:val="0"/>
          <w:bCs/>
        </w:rPr>
        <w:t xml:space="preserve"> </w:t>
      </w:r>
      <w:r w:rsidR="00102A4F" w:rsidRPr="00102A4F">
        <w:rPr>
          <w:b w:val="0"/>
          <w:bCs/>
        </w:rPr>
        <w:t>October 1, 2020</w:t>
      </w:r>
    </w:p>
    <w:p w14:paraId="4B7D760D" w14:textId="77F84E4D" w:rsidR="004C5767" w:rsidRPr="00057F84" w:rsidRDefault="00F41F69" w:rsidP="70E341D6">
      <w:pPr>
        <w:pStyle w:val="tbody"/>
        <w:rPr>
          <w:b w:val="0"/>
        </w:rPr>
      </w:pPr>
      <w:r>
        <w:t>Propo</w:t>
      </w:r>
      <w:r w:rsidR="004C5767">
        <w:t>sed Date:</w:t>
      </w:r>
      <w:r w:rsidR="00065C22">
        <w:t xml:space="preserve"> </w:t>
      </w:r>
      <w:r w:rsidR="00057F84">
        <w:rPr>
          <w:b w:val="0"/>
        </w:rPr>
        <w:t>January 20,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1EB68827" w:rsidR="004C5767" w:rsidRPr="00D27533" w:rsidRDefault="004C5767" w:rsidP="00D27533">
      <w:pPr>
        <w:pStyle w:val="tbody"/>
        <w:rPr>
          <w:b w:val="0"/>
          <w:bCs/>
          <w:spacing w:val="-3"/>
        </w:rPr>
      </w:pPr>
      <w:r w:rsidRPr="00C02553">
        <w:t xml:space="preserve">Criteria Status: </w:t>
      </w:r>
      <w:r w:rsidR="0011035B" w:rsidRPr="0011035B">
        <w:rPr>
          <w:b w:val="0"/>
          <w:bCs/>
        </w:rPr>
        <w:t>Revision of</w:t>
      </w:r>
      <w:r w:rsidR="0011035B">
        <w:t xml:space="preserve"> </w:t>
      </w:r>
      <w:r w:rsidR="00566BE4" w:rsidRPr="00D27533">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4ECF8792" w14:textId="77777777" w:rsidR="009C4EA1" w:rsidRDefault="009C4EA1" w:rsidP="009C4EA1">
      <w:pPr>
        <w:pStyle w:val="Header"/>
        <w:tabs>
          <w:tab w:val="clear" w:pos="4320"/>
          <w:tab w:val="clear" w:pos="8640"/>
        </w:tabs>
        <w:rPr>
          <w:rFonts w:cs="Arial"/>
          <w:spacing w:val="-3"/>
          <w:sz w:val="20"/>
        </w:rPr>
      </w:pPr>
      <w:r>
        <w:rPr>
          <w:rFonts w:cs="Arial"/>
          <w:spacing w:val="-3"/>
          <w:sz w:val="20"/>
        </w:rPr>
        <w:t xml:space="preserve">Migraines are a common episodic disorder that are described as a severe headache with or without aura that can be associated with nausea and/or light and sound sensitivity. Currently, it is assumed that migraines are caused by a primary neuronal dysfunction that leads to changes in both intracranial and extracranial regions.  It is a disorder that affects up to 12% of the general population and women more frequently than men. Although not fatal, migraines are a major cause of disability and are often intolerable. The following agents are all indicated for the acute treatment of migraine with or without aura in adults.  </w:t>
      </w:r>
      <w:r w:rsidRPr="00F0276B">
        <w:rPr>
          <w:rFonts w:cs="Arial"/>
          <w:spacing w:val="-3"/>
          <w:sz w:val="20"/>
        </w:rPr>
        <w:t>Nurtec</w:t>
      </w:r>
      <w:r w:rsidRPr="00F0276B">
        <w:rPr>
          <w:rFonts w:cs="Arial"/>
          <w:spacing w:val="-3"/>
          <w:sz w:val="20"/>
          <w:vertAlign w:val="superscript"/>
        </w:rPr>
        <w:t>®</w:t>
      </w:r>
      <w:r w:rsidRPr="00F0276B">
        <w:rPr>
          <w:rFonts w:cs="Arial"/>
          <w:spacing w:val="-3"/>
          <w:sz w:val="20"/>
        </w:rPr>
        <w:t xml:space="preserve"> ODT (rimegepant) and Ubrel</w:t>
      </w:r>
      <w:r>
        <w:rPr>
          <w:rFonts w:cs="Arial"/>
          <w:spacing w:val="-3"/>
          <w:sz w:val="20"/>
        </w:rPr>
        <w:t>v</w:t>
      </w:r>
      <w:r w:rsidRPr="00F0276B">
        <w:rPr>
          <w:rFonts w:cs="Arial"/>
          <w:spacing w:val="-3"/>
          <w:sz w:val="20"/>
        </w:rPr>
        <w:t>y</w:t>
      </w:r>
      <w:r w:rsidRPr="00F0276B">
        <w:rPr>
          <w:rFonts w:cs="Arial"/>
          <w:spacing w:val="-3"/>
          <w:sz w:val="20"/>
          <w:vertAlign w:val="superscript"/>
        </w:rPr>
        <w:t>®</w:t>
      </w:r>
      <w:r w:rsidRPr="00F0276B">
        <w:rPr>
          <w:rFonts w:cs="Arial"/>
          <w:spacing w:val="-3"/>
          <w:sz w:val="20"/>
        </w:rPr>
        <w:t xml:space="preserve"> (ubrogepant) are calcitonin gene-related peptide (CGRP) receptor antagonists that block pain signaling, vasodilation, and neurogenic inflammatory response. In May 2021, Nurtec became the first oral CGRP to gain the additional indication of preventive treatment of episodic migraine in adults. Reyvow</w:t>
      </w:r>
      <w:r w:rsidRPr="00F0276B">
        <w:rPr>
          <w:rFonts w:cs="Arial"/>
          <w:spacing w:val="-3"/>
          <w:sz w:val="20"/>
          <w:vertAlign w:val="superscript"/>
        </w:rPr>
        <w:t>®</w:t>
      </w:r>
      <w:r w:rsidRPr="00F0276B">
        <w:rPr>
          <w:rFonts w:cs="Arial"/>
          <w:spacing w:val="-3"/>
          <w:sz w:val="20"/>
        </w:rPr>
        <w:t xml:space="preserve"> (lasmiditan) is a serotonin (5-HT) receptor agonist whose exact mechanism of action is unknown. It is recommended for participants to wait at least 8 hours after taking lasmiditan before driving or operating heavy machinery.</w:t>
      </w:r>
      <w:r>
        <w:rPr>
          <w:rFonts w:cs="Arial"/>
          <w:spacing w:val="-3"/>
          <w:sz w:val="20"/>
        </w:rPr>
        <w:t xml:space="preserve"> In March of 2023, Zavzpret</w:t>
      </w:r>
      <w:r w:rsidRPr="00C006D4">
        <w:rPr>
          <w:rFonts w:cs="Arial"/>
          <w:spacing w:val="-3"/>
          <w:sz w:val="20"/>
        </w:rPr>
        <w:t>™ (zavegepant), the first and only CGRP receptor antagonist nasal spray</w:t>
      </w:r>
      <w:r>
        <w:rPr>
          <w:rFonts w:cs="Arial"/>
          <w:spacing w:val="-3"/>
          <w:sz w:val="20"/>
        </w:rPr>
        <w:t>, was granted FDA approval</w:t>
      </w:r>
      <w:r w:rsidRPr="00C006D4">
        <w:rPr>
          <w:rFonts w:cs="Arial"/>
          <w:spacing w:val="-3"/>
          <w:sz w:val="20"/>
        </w:rPr>
        <w:t xml:space="preserve"> for the acute treatment of migraine with or without aura in adults</w:t>
      </w:r>
      <w:r>
        <w:rPr>
          <w:rFonts w:cs="Arial"/>
          <w:spacing w:val="-3"/>
          <w:sz w:val="20"/>
        </w:rPr>
        <w:t>. While t</w:t>
      </w:r>
      <w:r w:rsidRPr="00F0276B">
        <w:rPr>
          <w:rFonts w:cs="Arial"/>
          <w:spacing w:val="-3"/>
          <w:sz w:val="20"/>
        </w:rPr>
        <w:t xml:space="preserve">riptans continue to be the mainstay of migraine treatment, the </w:t>
      </w:r>
      <w:r>
        <w:rPr>
          <w:rFonts w:cs="Arial"/>
          <w:spacing w:val="-3"/>
          <w:sz w:val="20"/>
        </w:rPr>
        <w:t>four</w:t>
      </w:r>
      <w:r w:rsidRPr="00F0276B">
        <w:rPr>
          <w:rFonts w:cs="Arial"/>
          <w:spacing w:val="-3"/>
          <w:sz w:val="20"/>
        </w:rPr>
        <w:t xml:space="preserve"> agents in this class may be considered for moderate-to-severe attacks and mild-to-moderate attacks that poorly respond to non-specific therapy.</w:t>
      </w:r>
      <w:r>
        <w:rPr>
          <w:rFonts w:cs="Arial"/>
          <w:spacing w:val="-3"/>
          <w:sz w:val="20"/>
        </w:rPr>
        <w:t xml:space="preserve"> </w:t>
      </w:r>
    </w:p>
    <w:p w14:paraId="7ACECC9F" w14:textId="77777777" w:rsidR="00B56DCC" w:rsidRDefault="00B56DCC" w:rsidP="00696E3A"/>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Default="009A0FB1" w:rsidP="00696E3A">
      <w:pPr>
        <w:rPr>
          <w:b/>
          <w:bCs/>
        </w:rPr>
      </w:pPr>
      <w:r>
        <w:rPr>
          <w:b/>
          <w:bCs/>
        </w:rPr>
        <w:t>Preferred Agents:</w:t>
      </w:r>
    </w:p>
    <w:p w14:paraId="47320590" w14:textId="2F4FB0AA" w:rsidR="00FD34EA" w:rsidRPr="00611CD9" w:rsidRDefault="00611CD9" w:rsidP="00611CD9">
      <w:pPr>
        <w:pStyle w:val="ListParagraph"/>
        <w:numPr>
          <w:ilvl w:val="0"/>
          <w:numId w:val="15"/>
        </w:numPr>
        <w:rPr>
          <w:rFonts w:cs="Arial"/>
          <w:szCs w:val="20"/>
        </w:rPr>
      </w:pPr>
      <w:r w:rsidRPr="00611CD9">
        <w:rPr>
          <w:rFonts w:cs="Arial"/>
          <w:spacing w:val="-3"/>
          <w:szCs w:val="20"/>
        </w:rPr>
        <w:t>Nurtec</w:t>
      </w:r>
      <w:r w:rsidRPr="00611CD9">
        <w:rPr>
          <w:rFonts w:cs="Arial"/>
          <w:spacing w:val="-3"/>
          <w:szCs w:val="20"/>
          <w:vertAlign w:val="superscript"/>
        </w:rPr>
        <w:t>®</w:t>
      </w:r>
      <w:r w:rsidRPr="00611CD9">
        <w:rPr>
          <w:rFonts w:cs="Arial"/>
          <w:spacing w:val="-3"/>
          <w:szCs w:val="20"/>
        </w:rPr>
        <w:t xml:space="preserve"> ODT</w:t>
      </w:r>
    </w:p>
    <w:p w14:paraId="295737A5" w14:textId="77777777" w:rsidR="00611CD9" w:rsidRPr="00611CD9" w:rsidRDefault="00611CD9" w:rsidP="00611CD9">
      <w:pPr>
        <w:pStyle w:val="ListParagraph"/>
        <w:numPr>
          <w:ilvl w:val="0"/>
          <w:numId w:val="0"/>
        </w:numPr>
        <w:ind w:left="360"/>
        <w:rPr>
          <w:rFonts w:cs="Arial"/>
          <w:szCs w:val="20"/>
        </w:rPr>
      </w:pPr>
    </w:p>
    <w:p w14:paraId="56404718" w14:textId="252714AD" w:rsidR="00846FA4" w:rsidRDefault="00846FA4" w:rsidP="00846FA4">
      <w:pPr>
        <w:rPr>
          <w:b/>
          <w:bCs/>
        </w:rPr>
      </w:pPr>
      <w:r>
        <w:rPr>
          <w:b/>
          <w:bCs/>
        </w:rPr>
        <w:t>Non-Preferred Agents:</w:t>
      </w:r>
    </w:p>
    <w:p w14:paraId="4028C6DF" w14:textId="77777777" w:rsidR="00084D82" w:rsidRPr="005615D3" w:rsidRDefault="00084D82" w:rsidP="00084D82">
      <w:pPr>
        <w:numPr>
          <w:ilvl w:val="0"/>
          <w:numId w:val="16"/>
        </w:numPr>
        <w:rPr>
          <w:rFonts w:cs="Arial"/>
          <w:spacing w:val="-3"/>
          <w:szCs w:val="20"/>
        </w:rPr>
      </w:pPr>
      <w:r>
        <w:rPr>
          <w:rFonts w:cs="Arial"/>
          <w:spacing w:val="-3"/>
          <w:szCs w:val="20"/>
        </w:rPr>
        <w:t>Reyvow</w:t>
      </w:r>
      <w:r>
        <w:rPr>
          <w:rFonts w:cs="Arial"/>
          <w:spacing w:val="-3"/>
          <w:szCs w:val="20"/>
          <w:vertAlign w:val="superscript"/>
        </w:rPr>
        <w:t>®</w:t>
      </w:r>
    </w:p>
    <w:p w14:paraId="77621E64" w14:textId="77777777" w:rsidR="00084D82" w:rsidRPr="00347D9A" w:rsidRDefault="00084D82" w:rsidP="00084D82">
      <w:pPr>
        <w:numPr>
          <w:ilvl w:val="0"/>
          <w:numId w:val="16"/>
        </w:numPr>
        <w:rPr>
          <w:rFonts w:cs="Arial"/>
          <w:spacing w:val="-3"/>
          <w:szCs w:val="20"/>
        </w:rPr>
      </w:pPr>
      <w:r w:rsidRPr="0091700C">
        <w:rPr>
          <w:rFonts w:cs="Arial"/>
          <w:spacing w:val="-3"/>
          <w:szCs w:val="20"/>
        </w:rPr>
        <w:t>Ubrelvy</w:t>
      </w:r>
      <w:r w:rsidRPr="0091700C">
        <w:rPr>
          <w:rFonts w:cs="Arial"/>
          <w:spacing w:val="-3"/>
          <w:szCs w:val="20"/>
          <w:vertAlign w:val="superscript"/>
        </w:rPr>
        <w:t>®</w:t>
      </w:r>
    </w:p>
    <w:p w14:paraId="6D696800" w14:textId="0A34EA2D" w:rsidR="00E23EC0" w:rsidRPr="00084D82" w:rsidRDefault="00084D82" w:rsidP="00084D82">
      <w:pPr>
        <w:pStyle w:val="ListParagraph"/>
        <w:numPr>
          <w:ilvl w:val="0"/>
          <w:numId w:val="16"/>
        </w:numPr>
        <w:rPr>
          <w:rFonts w:cs="Arial"/>
          <w:spacing w:val="-3"/>
          <w:szCs w:val="20"/>
        </w:rPr>
      </w:pPr>
      <w:r w:rsidRPr="00084D82">
        <w:rPr>
          <w:rFonts w:cs="Arial"/>
          <w:spacing w:val="-3"/>
          <w:szCs w:val="20"/>
        </w:rPr>
        <w:t>Zavzpret</w:t>
      </w:r>
      <w:r w:rsidRPr="00084D82">
        <w:rPr>
          <w:rFonts w:cs="Arial"/>
          <w:spacing w:val="-3"/>
          <w:szCs w:val="20"/>
          <w:vertAlign w:val="superscript"/>
        </w:rPr>
        <w:t>™</w:t>
      </w: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7FA36F42" w:rsidR="0097028A" w:rsidRPr="0079438F" w:rsidRDefault="0097028A" w:rsidP="00696E3A">
      <w:pPr>
        <w:rPr>
          <w:b/>
        </w:rPr>
      </w:pPr>
      <w:r w:rsidRPr="00696E3A">
        <w:rPr>
          <w:b/>
          <w:bCs/>
        </w:rPr>
        <w:t>Drug class for review:</w:t>
      </w:r>
      <w:r w:rsidRPr="00C02553">
        <w:t xml:space="preserve"> </w:t>
      </w:r>
      <w:r w:rsidR="00952EFD" w:rsidRPr="00A5050D">
        <w:rPr>
          <w:rFonts w:cs="Arial"/>
          <w:szCs w:val="20"/>
        </w:rPr>
        <w:t>Anti-Migraine, Alternative Agents</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Default="005328B2" w:rsidP="005328B2">
      <w:pPr>
        <w:rPr>
          <w:rFonts w:cs="Arial"/>
          <w:szCs w:val="20"/>
        </w:rPr>
      </w:pPr>
    </w:p>
    <w:p w14:paraId="6D9CD666" w14:textId="77777777" w:rsidR="00E315D9" w:rsidRDefault="00E315D9" w:rsidP="005328B2">
      <w:pPr>
        <w:rPr>
          <w:rFonts w:cs="Arial"/>
          <w:szCs w:val="20"/>
        </w:rPr>
      </w:pPr>
    </w:p>
    <w:p w14:paraId="2B2A2297" w14:textId="77777777" w:rsidR="00E315D9" w:rsidRDefault="00E315D9" w:rsidP="005328B2">
      <w:pPr>
        <w:rPr>
          <w:rFonts w:cs="Arial"/>
          <w:szCs w:val="20"/>
        </w:rPr>
      </w:pPr>
    </w:p>
    <w:p w14:paraId="16083CDA" w14:textId="77777777" w:rsidR="00E315D9" w:rsidRDefault="00E315D9" w:rsidP="005328B2">
      <w:pPr>
        <w:rPr>
          <w:rFonts w:cs="Arial"/>
          <w:szCs w:val="20"/>
        </w:rPr>
      </w:pPr>
    </w:p>
    <w:p w14:paraId="6413C035" w14:textId="4FE30429" w:rsidR="00AE77DB" w:rsidRPr="00C02553" w:rsidRDefault="00AE77DB" w:rsidP="0097028A">
      <w:pPr>
        <w:pStyle w:val="Heading1"/>
        <w:rPr>
          <w:lang w:val="en-US"/>
        </w:rPr>
      </w:pPr>
      <w:r w:rsidRPr="00C02553">
        <w:rPr>
          <w:lang w:val="en-US"/>
        </w:rPr>
        <w:lastRenderedPageBreak/>
        <w:t>Approval Criteria</w:t>
      </w:r>
    </w:p>
    <w:p w14:paraId="43DFD353" w14:textId="77777777" w:rsidR="002429B1" w:rsidRDefault="002429B1" w:rsidP="002429B1">
      <w:pPr>
        <w:numPr>
          <w:ilvl w:val="0"/>
          <w:numId w:val="17"/>
        </w:numPr>
        <w:rPr>
          <w:rFonts w:cs="Arial"/>
          <w:szCs w:val="20"/>
        </w:rPr>
      </w:pPr>
      <w:r>
        <w:rPr>
          <w:rFonts w:cs="Arial"/>
          <w:szCs w:val="20"/>
        </w:rPr>
        <w:t>Must meet all of the following:</w:t>
      </w:r>
    </w:p>
    <w:p w14:paraId="7CBAF436" w14:textId="77777777" w:rsidR="002429B1" w:rsidRPr="0091700C" w:rsidRDefault="002429B1" w:rsidP="002429B1">
      <w:pPr>
        <w:numPr>
          <w:ilvl w:val="1"/>
          <w:numId w:val="17"/>
        </w:numPr>
        <w:rPr>
          <w:rFonts w:cs="Arial"/>
          <w:szCs w:val="20"/>
        </w:rPr>
      </w:pPr>
      <w:r w:rsidRPr="0091700C">
        <w:rPr>
          <w:rFonts w:cs="Arial"/>
          <w:szCs w:val="20"/>
        </w:rPr>
        <w:t>Adequate therapeutic trial of 2 triptan agents at up to maximally indicated doses, unless contraindicated (i.e., ischemic heart disease, stroke) or clinically significant adverse effects are experienced</w:t>
      </w:r>
      <w:r>
        <w:rPr>
          <w:rFonts w:cs="Arial"/>
          <w:szCs w:val="20"/>
        </w:rPr>
        <w:t xml:space="preserve">; </w:t>
      </w:r>
    </w:p>
    <w:p w14:paraId="2B37AC63" w14:textId="77777777" w:rsidR="002429B1" w:rsidRPr="009671E4" w:rsidRDefault="002429B1" w:rsidP="002429B1">
      <w:pPr>
        <w:numPr>
          <w:ilvl w:val="1"/>
          <w:numId w:val="17"/>
        </w:numPr>
        <w:rPr>
          <w:rFonts w:cs="Arial"/>
          <w:szCs w:val="20"/>
        </w:rPr>
      </w:pPr>
      <w:r w:rsidRPr="0091700C">
        <w:rPr>
          <w:rFonts w:cs="Arial"/>
          <w:szCs w:val="20"/>
        </w:rPr>
        <w:t>Documented diagnosis of migraines</w:t>
      </w:r>
      <w:r>
        <w:rPr>
          <w:rFonts w:cs="Arial"/>
          <w:szCs w:val="20"/>
        </w:rPr>
        <w:t xml:space="preserve">; </w:t>
      </w:r>
      <w:r w:rsidRPr="003E33B6">
        <w:rPr>
          <w:rFonts w:cs="Arial"/>
          <w:b/>
          <w:bCs/>
          <w:szCs w:val="20"/>
        </w:rPr>
        <w:t>AND</w:t>
      </w:r>
    </w:p>
    <w:p w14:paraId="11DD13AE" w14:textId="77777777" w:rsidR="002429B1" w:rsidRPr="003E33B6" w:rsidRDefault="002429B1" w:rsidP="002429B1">
      <w:pPr>
        <w:pStyle w:val="ListParagraph"/>
        <w:numPr>
          <w:ilvl w:val="1"/>
          <w:numId w:val="18"/>
        </w:numPr>
        <w:ind w:left="720"/>
        <w:rPr>
          <w:rFonts w:cs="Arial"/>
          <w:szCs w:val="20"/>
        </w:rPr>
      </w:pPr>
      <w:r w:rsidRPr="003E33B6">
        <w:rPr>
          <w:rFonts w:cs="Arial"/>
          <w:szCs w:val="20"/>
        </w:rPr>
        <w:t>Must meet one of the following:</w:t>
      </w:r>
    </w:p>
    <w:p w14:paraId="6948B926" w14:textId="77777777" w:rsidR="002429B1" w:rsidRPr="003E33B6" w:rsidRDefault="002429B1" w:rsidP="002429B1">
      <w:pPr>
        <w:pStyle w:val="ListParagraph"/>
        <w:numPr>
          <w:ilvl w:val="2"/>
          <w:numId w:val="18"/>
        </w:numPr>
        <w:ind w:left="1080"/>
        <w:rPr>
          <w:rFonts w:cs="Arial"/>
          <w:szCs w:val="20"/>
        </w:rPr>
      </w:pPr>
      <w:r w:rsidRPr="003E33B6">
        <w:rPr>
          <w:rFonts w:cs="Arial"/>
          <w:szCs w:val="20"/>
        </w:rPr>
        <w:t xml:space="preserve">Claim is for a preferred agent; </w:t>
      </w:r>
      <w:r w:rsidRPr="006C6BCD">
        <w:rPr>
          <w:rFonts w:cs="Arial"/>
          <w:b/>
          <w:bCs/>
          <w:szCs w:val="20"/>
        </w:rPr>
        <w:t>OR</w:t>
      </w:r>
    </w:p>
    <w:p w14:paraId="25F3D6D3" w14:textId="77777777" w:rsidR="002429B1" w:rsidRDefault="002429B1" w:rsidP="002429B1">
      <w:pPr>
        <w:pStyle w:val="ListParagraph"/>
        <w:numPr>
          <w:ilvl w:val="2"/>
          <w:numId w:val="18"/>
        </w:numPr>
        <w:ind w:left="1080"/>
        <w:rPr>
          <w:rFonts w:cs="Arial"/>
          <w:szCs w:val="20"/>
        </w:rPr>
      </w:pPr>
      <w:r w:rsidRPr="003E33B6">
        <w:rPr>
          <w:rFonts w:cs="Arial"/>
          <w:szCs w:val="20"/>
        </w:rPr>
        <w:t>Failure to achieve desired therapeutic outcomes with trial on 1 preferred agent:</w:t>
      </w:r>
    </w:p>
    <w:p w14:paraId="16852556" w14:textId="77777777" w:rsidR="002429B1" w:rsidRDefault="002429B1" w:rsidP="002429B1">
      <w:pPr>
        <w:pStyle w:val="ListParagraph"/>
        <w:numPr>
          <w:ilvl w:val="5"/>
          <w:numId w:val="18"/>
        </w:numPr>
        <w:ind w:left="1440"/>
        <w:rPr>
          <w:rFonts w:cs="Arial"/>
          <w:szCs w:val="20"/>
        </w:rPr>
      </w:pPr>
      <w:r w:rsidRPr="4BD1EDD1">
        <w:rPr>
          <w:rFonts w:cs="Arial"/>
          <w:szCs w:val="20"/>
        </w:rPr>
        <w:t xml:space="preserve">Documented trial period of preferred agents; </w:t>
      </w:r>
      <w:r w:rsidRPr="4BD1EDD1">
        <w:rPr>
          <w:rFonts w:cs="Arial"/>
          <w:b/>
          <w:bCs/>
          <w:szCs w:val="20"/>
        </w:rPr>
        <w:t>OR</w:t>
      </w:r>
    </w:p>
    <w:p w14:paraId="0CF60F10" w14:textId="77777777" w:rsidR="002429B1" w:rsidRPr="005F2452" w:rsidRDefault="002429B1" w:rsidP="002429B1">
      <w:pPr>
        <w:pStyle w:val="ListParagraph"/>
        <w:numPr>
          <w:ilvl w:val="5"/>
          <w:numId w:val="18"/>
        </w:numPr>
        <w:ind w:left="1440"/>
        <w:rPr>
          <w:rFonts w:cs="Arial"/>
          <w:szCs w:val="20"/>
        </w:rPr>
      </w:pPr>
      <w:r>
        <w:rPr>
          <w:rFonts w:cs="Arial"/>
          <w:szCs w:val="20"/>
        </w:rPr>
        <w:t>Documented ADE/ADR to preferred agents.</w:t>
      </w:r>
    </w:p>
    <w:p w14:paraId="56ACA2D7" w14:textId="77777777" w:rsidR="002429B1" w:rsidRPr="005F2452" w:rsidRDefault="002429B1" w:rsidP="002429B1">
      <w:pPr>
        <w:pStyle w:val="ListParagraph"/>
        <w:numPr>
          <w:ilvl w:val="3"/>
          <w:numId w:val="18"/>
        </w:numPr>
        <w:ind w:left="360"/>
        <w:rPr>
          <w:rFonts w:cs="Arial"/>
          <w:szCs w:val="20"/>
        </w:rPr>
      </w:pPr>
      <w:r w:rsidRPr="005F2452">
        <w:rPr>
          <w:rFonts w:cs="Arial"/>
          <w:szCs w:val="20"/>
        </w:rPr>
        <w:t>Additional approval criteria for Nurtec ODT when used for migraine prevention:</w:t>
      </w:r>
    </w:p>
    <w:p w14:paraId="37EFFDA1" w14:textId="1BFE30E3" w:rsidR="002429B1" w:rsidRPr="00BE4EE1" w:rsidRDefault="002429B1" w:rsidP="002429B1">
      <w:pPr>
        <w:numPr>
          <w:ilvl w:val="1"/>
          <w:numId w:val="17"/>
        </w:numPr>
        <w:rPr>
          <w:rFonts w:cs="Arial"/>
          <w:szCs w:val="20"/>
        </w:rPr>
      </w:pPr>
      <w:r>
        <w:rPr>
          <w:rFonts w:cs="Arial"/>
          <w:szCs w:val="20"/>
        </w:rPr>
        <w:t>A</w:t>
      </w:r>
      <w:r w:rsidRPr="00516923">
        <w:rPr>
          <w:rFonts w:cs="Arial"/>
          <w:szCs w:val="20"/>
        </w:rPr>
        <w:t>dequate therapeutic trial of 2 injectable CGRP inhibitors</w:t>
      </w:r>
      <w:r>
        <w:rPr>
          <w:rFonts w:cs="Arial"/>
          <w:szCs w:val="20"/>
        </w:rPr>
        <w:t xml:space="preserve"> – reference the </w:t>
      </w:r>
      <w:r w:rsidRPr="003A18C8">
        <w:rPr>
          <w:rFonts w:cs="Arial"/>
          <w:szCs w:val="20"/>
        </w:rPr>
        <w:t>Calcitonin Gene-Related Peptide (CGRP) Inhibitors PDL Edit</w:t>
      </w:r>
      <w:r>
        <w:rPr>
          <w:rFonts w:cs="Arial"/>
          <w:szCs w:val="20"/>
        </w:rPr>
        <w:t xml:space="preserve"> </w:t>
      </w:r>
      <w:r w:rsidR="00344C72">
        <w:rPr>
          <w:rFonts w:cs="Arial"/>
          <w:szCs w:val="20"/>
        </w:rPr>
        <w:t>here:</w:t>
      </w:r>
      <w:r w:rsidR="00746E26" w:rsidRPr="00746E26">
        <w:rPr>
          <w:rFonts w:cs="Arial"/>
          <w:szCs w:val="20"/>
        </w:rPr>
        <w:t> </w:t>
      </w:r>
      <w:hyperlink r:id="rId11" w:tooltip="Pharmacy Clinical Edits and Preferred Drug Lists | mydss.mo.gov " w:history="1">
        <w:r w:rsidR="00746E26" w:rsidRPr="00344C72">
          <w:rPr>
            <w:rStyle w:val="Hyperlink"/>
            <w:rFonts w:cs="Arial"/>
            <w:szCs w:val="20"/>
          </w:rPr>
          <w:t>Pharmacy Clinical Edits and Preferred Drug Lists | mydss.mo.gov</w:t>
        </w:r>
      </w:hyperlink>
      <w:r w:rsidR="00746E26" w:rsidRPr="00746E26">
        <w:rPr>
          <w:rFonts w:cs="Arial"/>
          <w:szCs w:val="20"/>
        </w:rPr>
        <w:t xml:space="preserve"> </w:t>
      </w:r>
    </w:p>
    <w:p w14:paraId="0CE1D612" w14:textId="77777777" w:rsidR="002429B1" w:rsidRPr="0054621F" w:rsidRDefault="002429B1" w:rsidP="002429B1">
      <w:pPr>
        <w:numPr>
          <w:ilvl w:val="0"/>
          <w:numId w:val="17"/>
        </w:numPr>
        <w:rPr>
          <w:rFonts w:cs="Arial"/>
          <w:szCs w:val="20"/>
        </w:rPr>
      </w:pPr>
      <w:r w:rsidRPr="00516923">
        <w:rPr>
          <w:rFonts w:cs="Arial"/>
          <w:szCs w:val="20"/>
        </w:rPr>
        <w:t xml:space="preserve">Additional approval criteria for </w:t>
      </w:r>
      <w:r w:rsidRPr="0091700C">
        <w:rPr>
          <w:rFonts w:cs="Arial"/>
          <w:szCs w:val="20"/>
        </w:rPr>
        <w:t>Reyvow</w:t>
      </w:r>
      <w:r>
        <w:rPr>
          <w:rFonts w:cs="Arial"/>
          <w:szCs w:val="20"/>
        </w:rPr>
        <w:t xml:space="preserve"> and </w:t>
      </w:r>
      <w:r w:rsidRPr="0091700C">
        <w:rPr>
          <w:rFonts w:cs="Arial"/>
          <w:szCs w:val="20"/>
        </w:rPr>
        <w:t>Ubrelvy</w:t>
      </w:r>
      <w:r>
        <w:rPr>
          <w:rFonts w:cs="Arial"/>
          <w:szCs w:val="20"/>
        </w:rPr>
        <w:t>:</w:t>
      </w:r>
    </w:p>
    <w:p w14:paraId="4EDE1614" w14:textId="77777777" w:rsidR="002429B1" w:rsidRPr="00241305" w:rsidRDefault="002429B1" w:rsidP="002429B1">
      <w:pPr>
        <w:pStyle w:val="ListParagraph"/>
        <w:numPr>
          <w:ilvl w:val="1"/>
          <w:numId w:val="17"/>
        </w:numPr>
        <w:rPr>
          <w:rFonts w:cs="Arial"/>
          <w:szCs w:val="20"/>
        </w:rPr>
      </w:pPr>
      <w:r w:rsidRPr="00241305">
        <w:rPr>
          <w:rFonts w:cs="Arial"/>
          <w:szCs w:val="20"/>
        </w:rPr>
        <w:t>If participant has &lt; 4 migraine days per month:</w:t>
      </w:r>
    </w:p>
    <w:p w14:paraId="3901D72E" w14:textId="77777777" w:rsidR="002429B1" w:rsidRPr="00241305" w:rsidRDefault="002429B1" w:rsidP="002429B1">
      <w:pPr>
        <w:pStyle w:val="ListParagraph"/>
        <w:numPr>
          <w:ilvl w:val="2"/>
          <w:numId w:val="17"/>
        </w:numPr>
        <w:rPr>
          <w:rFonts w:cs="Arial"/>
          <w:szCs w:val="20"/>
        </w:rPr>
      </w:pPr>
      <w:r w:rsidRPr="00241305">
        <w:rPr>
          <w:rFonts w:cs="Arial"/>
          <w:szCs w:val="20"/>
        </w:rPr>
        <w:t>Reason of medical necessity as to why a preferred agent cannot be utilized.</w:t>
      </w:r>
    </w:p>
    <w:p w14:paraId="16A8D85B" w14:textId="77777777" w:rsidR="002429B1" w:rsidRPr="00241305" w:rsidRDefault="002429B1" w:rsidP="002429B1">
      <w:pPr>
        <w:pStyle w:val="ListParagraph"/>
        <w:numPr>
          <w:ilvl w:val="1"/>
          <w:numId w:val="17"/>
        </w:numPr>
        <w:rPr>
          <w:rFonts w:cs="Arial"/>
          <w:szCs w:val="20"/>
        </w:rPr>
      </w:pPr>
      <w:r w:rsidRPr="00241305">
        <w:rPr>
          <w:rFonts w:cs="Arial"/>
          <w:szCs w:val="20"/>
        </w:rPr>
        <w:t>If participant has ≥ 4 migraine days per month:</w:t>
      </w:r>
    </w:p>
    <w:p w14:paraId="6680C9F6" w14:textId="77777777" w:rsidR="002429B1" w:rsidRPr="00241305" w:rsidRDefault="002429B1" w:rsidP="002429B1">
      <w:pPr>
        <w:pStyle w:val="ListParagraph"/>
        <w:numPr>
          <w:ilvl w:val="2"/>
          <w:numId w:val="17"/>
        </w:numPr>
        <w:autoSpaceDE w:val="0"/>
        <w:autoSpaceDN w:val="0"/>
        <w:contextualSpacing w:val="0"/>
        <w:rPr>
          <w:rFonts w:cs="Arial"/>
          <w:b/>
          <w:bCs/>
          <w:szCs w:val="20"/>
        </w:rPr>
      </w:pPr>
      <w:r w:rsidRPr="00241305">
        <w:rPr>
          <w:rFonts w:cs="Arial"/>
          <w:szCs w:val="20"/>
        </w:rPr>
        <w:t>Adequate therapeutic trial, defined as at least 8 weeks, with 2 prophylactic options from 2 different categories</w:t>
      </w:r>
      <w:r w:rsidRPr="00241305">
        <w:rPr>
          <w:rFonts w:cs="Arial"/>
          <w:b/>
          <w:bCs/>
          <w:szCs w:val="20"/>
        </w:rPr>
        <w:t xml:space="preserve"> </w:t>
      </w:r>
      <w:r w:rsidRPr="00241305">
        <w:rPr>
          <w:rFonts w:cs="Arial"/>
          <w:szCs w:val="20"/>
        </w:rPr>
        <w:t>of the following:</w:t>
      </w:r>
    </w:p>
    <w:p w14:paraId="75D0D754" w14:textId="77777777" w:rsidR="002429B1" w:rsidRPr="00241305" w:rsidRDefault="002429B1" w:rsidP="002429B1">
      <w:pPr>
        <w:pStyle w:val="ListParagraph"/>
        <w:numPr>
          <w:ilvl w:val="3"/>
          <w:numId w:val="17"/>
        </w:numPr>
        <w:autoSpaceDE w:val="0"/>
        <w:autoSpaceDN w:val="0"/>
        <w:contextualSpacing w:val="0"/>
        <w:rPr>
          <w:rFonts w:cs="Arial"/>
          <w:szCs w:val="20"/>
        </w:rPr>
      </w:pPr>
      <w:r w:rsidRPr="00241305">
        <w:rPr>
          <w:rFonts w:cs="Arial"/>
          <w:szCs w:val="20"/>
        </w:rPr>
        <w:t>Topiramate</w:t>
      </w:r>
    </w:p>
    <w:p w14:paraId="67E1A01C" w14:textId="77777777" w:rsidR="002429B1" w:rsidRPr="00241305" w:rsidRDefault="002429B1" w:rsidP="002429B1">
      <w:pPr>
        <w:pStyle w:val="ListParagraph"/>
        <w:numPr>
          <w:ilvl w:val="3"/>
          <w:numId w:val="17"/>
        </w:numPr>
        <w:autoSpaceDE w:val="0"/>
        <w:autoSpaceDN w:val="0"/>
        <w:contextualSpacing w:val="0"/>
        <w:rPr>
          <w:rFonts w:cs="Arial"/>
          <w:szCs w:val="20"/>
        </w:rPr>
      </w:pPr>
      <w:r w:rsidRPr="00241305">
        <w:rPr>
          <w:rFonts w:cs="Arial"/>
          <w:szCs w:val="20"/>
        </w:rPr>
        <w:t>Divalproex sodium/valproate sodium</w:t>
      </w:r>
    </w:p>
    <w:p w14:paraId="55C82FE8" w14:textId="77777777" w:rsidR="002429B1" w:rsidRPr="00241305" w:rsidRDefault="002429B1" w:rsidP="002429B1">
      <w:pPr>
        <w:pStyle w:val="ListParagraph"/>
        <w:numPr>
          <w:ilvl w:val="3"/>
          <w:numId w:val="17"/>
        </w:numPr>
        <w:autoSpaceDE w:val="0"/>
        <w:autoSpaceDN w:val="0"/>
        <w:contextualSpacing w:val="0"/>
        <w:rPr>
          <w:rFonts w:cs="Arial"/>
          <w:szCs w:val="20"/>
          <w:lang w:val="it-IT"/>
        </w:rPr>
      </w:pPr>
      <w:r w:rsidRPr="00241305">
        <w:rPr>
          <w:rFonts w:cs="Arial"/>
          <w:szCs w:val="20"/>
          <w:lang w:val="it-IT"/>
        </w:rPr>
        <w:t>Beta blocker: metoprolol, propranolol, timolol, atenolol, nadolol</w:t>
      </w:r>
    </w:p>
    <w:p w14:paraId="7BE2BA09" w14:textId="77777777" w:rsidR="002429B1" w:rsidRPr="00241305" w:rsidRDefault="002429B1" w:rsidP="002429B1">
      <w:pPr>
        <w:pStyle w:val="ListParagraph"/>
        <w:numPr>
          <w:ilvl w:val="3"/>
          <w:numId w:val="17"/>
        </w:numPr>
        <w:autoSpaceDE w:val="0"/>
        <w:autoSpaceDN w:val="0"/>
        <w:contextualSpacing w:val="0"/>
        <w:rPr>
          <w:rFonts w:cs="Arial"/>
          <w:szCs w:val="20"/>
        </w:rPr>
      </w:pPr>
      <w:r w:rsidRPr="00241305">
        <w:rPr>
          <w:rFonts w:cs="Arial"/>
          <w:szCs w:val="20"/>
        </w:rPr>
        <w:t>Tricyclic antidepressant: amitriptyline, nortriptyline</w:t>
      </w:r>
    </w:p>
    <w:p w14:paraId="4407D48B" w14:textId="77777777" w:rsidR="002429B1" w:rsidRPr="00241305" w:rsidRDefault="002429B1" w:rsidP="002429B1">
      <w:pPr>
        <w:pStyle w:val="ListParagraph"/>
        <w:numPr>
          <w:ilvl w:val="3"/>
          <w:numId w:val="17"/>
        </w:numPr>
        <w:autoSpaceDE w:val="0"/>
        <w:autoSpaceDN w:val="0"/>
        <w:contextualSpacing w:val="0"/>
        <w:rPr>
          <w:rFonts w:cs="Arial"/>
          <w:szCs w:val="20"/>
        </w:rPr>
      </w:pPr>
      <w:r w:rsidRPr="00241305">
        <w:rPr>
          <w:rFonts w:cs="Arial"/>
          <w:szCs w:val="20"/>
        </w:rPr>
        <w:t>Serotonin-norepinephrine reuptake inhibitor: venlafaxine, duloxetine</w:t>
      </w:r>
    </w:p>
    <w:p w14:paraId="7B71BA46" w14:textId="77777777" w:rsidR="002429B1" w:rsidRPr="00C707B7" w:rsidRDefault="002429B1" w:rsidP="002429B1">
      <w:pPr>
        <w:numPr>
          <w:ilvl w:val="3"/>
          <w:numId w:val="17"/>
        </w:numPr>
        <w:rPr>
          <w:rFonts w:cs="Arial"/>
          <w:szCs w:val="20"/>
        </w:rPr>
      </w:pPr>
      <w:r w:rsidRPr="00C707B7">
        <w:rPr>
          <w:rFonts w:cs="Arial"/>
          <w:szCs w:val="20"/>
        </w:rPr>
        <w:t xml:space="preserve">Injectable CGRPs inhibitors </w:t>
      </w:r>
    </w:p>
    <w:p w14:paraId="55041134" w14:textId="77777777" w:rsidR="002429B1" w:rsidRPr="00B31A1F" w:rsidRDefault="002429B1" w:rsidP="002429B1">
      <w:pPr>
        <w:numPr>
          <w:ilvl w:val="0"/>
          <w:numId w:val="17"/>
        </w:numPr>
        <w:rPr>
          <w:rFonts w:cs="Arial"/>
          <w:szCs w:val="20"/>
        </w:rPr>
      </w:pPr>
      <w:r w:rsidRPr="00B31A1F">
        <w:rPr>
          <w:rFonts w:cs="Arial"/>
          <w:szCs w:val="20"/>
        </w:rPr>
        <w:t>Additional approval criteria for Zavzpret:</w:t>
      </w:r>
    </w:p>
    <w:p w14:paraId="1814E8CF" w14:textId="77777777" w:rsidR="002429B1" w:rsidRPr="00B31A1F" w:rsidRDefault="002429B1" w:rsidP="002429B1">
      <w:pPr>
        <w:numPr>
          <w:ilvl w:val="1"/>
          <w:numId w:val="17"/>
        </w:numPr>
        <w:rPr>
          <w:rFonts w:cs="Arial"/>
          <w:szCs w:val="20"/>
        </w:rPr>
      </w:pPr>
      <w:r w:rsidRPr="00B31A1F">
        <w:rPr>
          <w:rFonts w:cs="Arial"/>
          <w:szCs w:val="20"/>
        </w:rPr>
        <w:t>Adequate therapeutic trial with Reyvow or Ubrelvy</w:t>
      </w:r>
      <w:r>
        <w:rPr>
          <w:rFonts w:cs="Arial"/>
          <w:szCs w:val="20"/>
        </w:rPr>
        <w:t>.</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C722C9" w:rsidRDefault="00904D7A" w:rsidP="00C722C9">
      <w:pPr>
        <w:pStyle w:val="ListParagraph"/>
      </w:pPr>
      <w:r w:rsidRPr="00C722C9">
        <w:t xml:space="preserve">Therapy will deny </w:t>
      </w:r>
      <w:proofErr w:type="gramStart"/>
      <w:r w:rsidRPr="00C722C9">
        <w:t>with</w:t>
      </w:r>
      <w:proofErr w:type="gramEnd"/>
      <w:r w:rsidRPr="00C722C9">
        <w:t xml:space="preserve"> presence of one of the following:</w:t>
      </w:r>
    </w:p>
    <w:p w14:paraId="6DE839EB" w14:textId="77777777" w:rsidR="0079347E" w:rsidRDefault="00904D7A" w:rsidP="00C722C9">
      <w:pPr>
        <w:pStyle w:val="ListParagraph"/>
        <w:numPr>
          <w:ilvl w:val="1"/>
          <w:numId w:val="6"/>
        </w:numPr>
      </w:pPr>
      <w:r w:rsidRPr="005328B2">
        <w:t>Any approval criteria are not met;</w:t>
      </w:r>
      <w:r>
        <w:t xml:space="preserve"> </w:t>
      </w:r>
    </w:p>
    <w:p w14:paraId="34DD01B8" w14:textId="0A111A53" w:rsidR="00904D7A" w:rsidRPr="005328B2" w:rsidRDefault="00911392" w:rsidP="00C722C9">
      <w:pPr>
        <w:pStyle w:val="ListParagraph"/>
        <w:numPr>
          <w:ilvl w:val="1"/>
          <w:numId w:val="6"/>
        </w:numPr>
      </w:pPr>
      <w:r w:rsidRPr="00C27FFC">
        <w:rPr>
          <w:b/>
          <w:bCs/>
          <w:color w:val="1F497D" w:themeColor="text2"/>
        </w:rPr>
        <w:t>Concomitant therapy</w:t>
      </w:r>
      <w:r w:rsidR="00C27FFC" w:rsidRPr="00C27FFC">
        <w:rPr>
          <w:b/>
          <w:bCs/>
          <w:color w:val="1F497D" w:themeColor="text2"/>
        </w:rPr>
        <w:t xml:space="preserve"> </w:t>
      </w:r>
      <w:r w:rsidR="00B1150E">
        <w:rPr>
          <w:b/>
          <w:bCs/>
          <w:color w:val="1F497D" w:themeColor="text2"/>
        </w:rPr>
        <w:t xml:space="preserve">with 2 different ingredients in this class </w:t>
      </w:r>
      <w:r w:rsidR="00C27FFC" w:rsidRPr="00C27FFC">
        <w:rPr>
          <w:b/>
          <w:bCs/>
          <w:color w:val="1F497D" w:themeColor="text2"/>
        </w:rPr>
        <w:t xml:space="preserve">in the </w:t>
      </w:r>
      <w:r w:rsidR="007D1E88">
        <w:rPr>
          <w:b/>
          <w:bCs/>
          <w:color w:val="1F497D" w:themeColor="text2"/>
        </w:rPr>
        <w:t>p</w:t>
      </w:r>
      <w:r w:rsidR="00C27FFC" w:rsidRPr="00C27FFC">
        <w:rPr>
          <w:b/>
          <w:bCs/>
          <w:color w:val="1F497D" w:themeColor="text2"/>
        </w:rPr>
        <w:t>ast 45 days</w:t>
      </w:r>
      <w:r w:rsidR="001A0408" w:rsidRPr="00C27FFC">
        <w:rPr>
          <w:b/>
          <w:bCs/>
          <w:color w:val="1F497D" w:themeColor="text2"/>
        </w:rPr>
        <w:t xml:space="preserve">; </w:t>
      </w:r>
      <w:r w:rsidR="00904D7A" w:rsidRPr="005A4232">
        <w:rPr>
          <w:b/>
          <w:bCs/>
        </w:rPr>
        <w:t>OR</w:t>
      </w:r>
    </w:p>
    <w:p w14:paraId="1D97C1E5" w14:textId="77777777" w:rsidR="00904D7A" w:rsidRPr="005328B2" w:rsidRDefault="00904D7A" w:rsidP="00C722C9">
      <w:pPr>
        <w:pStyle w:val="ListParagraph"/>
        <w:numPr>
          <w:ilvl w:val="1"/>
          <w:numId w:val="6"/>
        </w:numPr>
      </w:pPr>
      <w:r w:rsidRPr="005328B2">
        <w:t>Claim exceeds maximum dosing limitations:</w:t>
      </w:r>
    </w:p>
    <w:tbl>
      <w:tblPr>
        <w:tblStyle w:val="TableGrid"/>
        <w:tblW w:w="0" w:type="auto"/>
        <w:tblLook w:val="0620" w:firstRow="1" w:lastRow="0" w:firstColumn="0" w:lastColumn="0" w:noHBand="1" w:noVBand="1"/>
      </w:tblPr>
      <w:tblGrid>
        <w:gridCol w:w="3417"/>
        <w:gridCol w:w="3238"/>
        <w:gridCol w:w="2695"/>
      </w:tblGrid>
      <w:tr w:rsidR="00904D7A" w:rsidRPr="00C02553" w14:paraId="1F6DE132" w14:textId="77777777" w:rsidTr="000C321E">
        <w:trPr>
          <w:trHeight w:val="276"/>
        </w:trPr>
        <w:tc>
          <w:tcPr>
            <w:tcW w:w="3417" w:type="dxa"/>
            <w:shd w:val="clear" w:color="auto" w:fill="FABF8F"/>
          </w:tcPr>
          <w:p w14:paraId="61F61DB2" w14:textId="77777777" w:rsidR="00904D7A" w:rsidRPr="00C02553" w:rsidRDefault="00904D7A" w:rsidP="00493594">
            <w:pPr>
              <w:jc w:val="center"/>
              <w:rPr>
                <w:rFonts w:cs="Arial"/>
                <w:b/>
                <w:bCs/>
                <w:szCs w:val="20"/>
              </w:rPr>
            </w:pPr>
            <w:r w:rsidRPr="00C02553">
              <w:rPr>
                <w:rFonts w:cs="Arial"/>
                <w:b/>
                <w:bCs/>
                <w:szCs w:val="20"/>
              </w:rPr>
              <w:t>Drug Description</w:t>
            </w:r>
          </w:p>
        </w:tc>
        <w:tc>
          <w:tcPr>
            <w:tcW w:w="3238" w:type="dxa"/>
            <w:shd w:val="clear" w:color="auto" w:fill="FABF8F"/>
          </w:tcPr>
          <w:p w14:paraId="39DE15A6" w14:textId="77777777" w:rsidR="00904D7A" w:rsidRPr="00C02553" w:rsidRDefault="00904D7A" w:rsidP="00493594">
            <w:pPr>
              <w:jc w:val="center"/>
              <w:rPr>
                <w:rFonts w:cs="Arial"/>
                <w:b/>
                <w:bCs/>
                <w:szCs w:val="20"/>
              </w:rPr>
            </w:pPr>
            <w:r w:rsidRPr="00C02553">
              <w:rPr>
                <w:rFonts w:cs="Arial"/>
                <w:b/>
                <w:bCs/>
                <w:szCs w:val="20"/>
              </w:rPr>
              <w:t>Generic Equivalent</w:t>
            </w:r>
          </w:p>
        </w:tc>
        <w:tc>
          <w:tcPr>
            <w:tcW w:w="2695" w:type="dxa"/>
            <w:shd w:val="clear" w:color="auto" w:fill="FABF8F"/>
          </w:tcPr>
          <w:p w14:paraId="17F14EEF" w14:textId="77777777" w:rsidR="00904D7A" w:rsidRPr="00C02553" w:rsidRDefault="00904D7A" w:rsidP="00493594">
            <w:pPr>
              <w:jc w:val="center"/>
              <w:rPr>
                <w:rFonts w:cs="Arial"/>
                <w:b/>
                <w:bCs/>
                <w:szCs w:val="20"/>
              </w:rPr>
            </w:pPr>
            <w:r w:rsidRPr="00C02553">
              <w:rPr>
                <w:rFonts w:cs="Arial"/>
                <w:b/>
                <w:bCs/>
                <w:szCs w:val="20"/>
              </w:rPr>
              <w:t>Max Dosing Limitation</w:t>
            </w:r>
          </w:p>
        </w:tc>
      </w:tr>
      <w:tr w:rsidR="000C321E" w:rsidRPr="00C02553" w14:paraId="05C5E883" w14:textId="77777777" w:rsidTr="00E41AD0">
        <w:trPr>
          <w:trHeight w:val="276"/>
        </w:trPr>
        <w:tc>
          <w:tcPr>
            <w:tcW w:w="3417" w:type="dxa"/>
            <w:vAlign w:val="center"/>
          </w:tcPr>
          <w:p w14:paraId="556501BF" w14:textId="58642175" w:rsidR="000C321E" w:rsidRPr="00F730BA" w:rsidRDefault="000C321E" w:rsidP="000C321E">
            <w:pPr>
              <w:rPr>
                <w:rFonts w:cs="Arial"/>
                <w:szCs w:val="20"/>
              </w:rPr>
            </w:pPr>
            <w:r w:rsidRPr="00C73E17">
              <w:rPr>
                <w:rFonts w:cs="Arial"/>
                <w:caps/>
                <w:szCs w:val="20"/>
              </w:rPr>
              <w:t>Nurtec ODT 75mg</w:t>
            </w:r>
          </w:p>
        </w:tc>
        <w:tc>
          <w:tcPr>
            <w:tcW w:w="3238" w:type="dxa"/>
            <w:vAlign w:val="center"/>
          </w:tcPr>
          <w:p w14:paraId="1F00DA46" w14:textId="6B3FD267" w:rsidR="000C321E" w:rsidRPr="00F730BA" w:rsidRDefault="000C321E" w:rsidP="000C321E">
            <w:pPr>
              <w:rPr>
                <w:rFonts w:cs="Arial"/>
                <w:caps/>
                <w:szCs w:val="20"/>
              </w:rPr>
            </w:pPr>
            <w:r w:rsidRPr="00C73E17">
              <w:rPr>
                <w:rFonts w:cs="Arial"/>
                <w:caps/>
                <w:spacing w:val="-3"/>
              </w:rPr>
              <w:t>rimegepant</w:t>
            </w:r>
          </w:p>
        </w:tc>
        <w:tc>
          <w:tcPr>
            <w:tcW w:w="2695" w:type="dxa"/>
            <w:vAlign w:val="center"/>
          </w:tcPr>
          <w:p w14:paraId="7EC279C1" w14:textId="2D30050F" w:rsidR="000C321E" w:rsidRPr="00F730BA" w:rsidRDefault="000C321E" w:rsidP="000C321E">
            <w:pPr>
              <w:rPr>
                <w:rFonts w:cs="Arial"/>
                <w:szCs w:val="20"/>
              </w:rPr>
            </w:pPr>
            <w:r w:rsidRPr="001B5710">
              <w:rPr>
                <w:rFonts w:cs="Arial"/>
              </w:rPr>
              <w:t>8 tablets per 30 day</w:t>
            </w:r>
            <w:r w:rsidRPr="0091700C">
              <w:rPr>
                <w:rFonts w:cs="Arial"/>
              </w:rPr>
              <w:t>s*</w:t>
            </w:r>
          </w:p>
        </w:tc>
      </w:tr>
      <w:tr w:rsidR="000C321E" w:rsidRPr="00C02553" w14:paraId="31F64DA5" w14:textId="77777777" w:rsidTr="00E41AD0">
        <w:trPr>
          <w:trHeight w:val="276"/>
        </w:trPr>
        <w:tc>
          <w:tcPr>
            <w:tcW w:w="3417" w:type="dxa"/>
            <w:vAlign w:val="center"/>
          </w:tcPr>
          <w:p w14:paraId="287C1486" w14:textId="510D7866" w:rsidR="000C321E" w:rsidRPr="00C73E17" w:rsidRDefault="000C321E" w:rsidP="000C321E">
            <w:pPr>
              <w:rPr>
                <w:rFonts w:cs="Arial"/>
                <w:caps/>
                <w:szCs w:val="20"/>
              </w:rPr>
            </w:pPr>
            <w:r w:rsidRPr="00C73E17">
              <w:rPr>
                <w:rFonts w:cs="Arial"/>
                <w:caps/>
                <w:szCs w:val="20"/>
              </w:rPr>
              <w:t>Ubrelvy 50mg</w:t>
            </w:r>
          </w:p>
        </w:tc>
        <w:tc>
          <w:tcPr>
            <w:tcW w:w="3238" w:type="dxa"/>
            <w:vAlign w:val="center"/>
          </w:tcPr>
          <w:p w14:paraId="3B2C1213" w14:textId="0CD0C982" w:rsidR="000C321E" w:rsidRPr="00C73E17" w:rsidRDefault="000C321E" w:rsidP="000C321E">
            <w:pPr>
              <w:rPr>
                <w:rFonts w:cs="Arial"/>
                <w:caps/>
                <w:spacing w:val="-3"/>
              </w:rPr>
            </w:pPr>
            <w:r w:rsidRPr="00C73E17">
              <w:rPr>
                <w:rFonts w:cs="Arial"/>
                <w:caps/>
                <w:spacing w:val="-3"/>
              </w:rPr>
              <w:t>ubrogepant</w:t>
            </w:r>
          </w:p>
        </w:tc>
        <w:tc>
          <w:tcPr>
            <w:tcW w:w="2695" w:type="dxa"/>
            <w:vAlign w:val="center"/>
          </w:tcPr>
          <w:p w14:paraId="24BE41FD" w14:textId="40CF3BA5" w:rsidR="000C321E" w:rsidRPr="001B5710" w:rsidRDefault="000C321E" w:rsidP="000C321E">
            <w:pPr>
              <w:rPr>
                <w:rFonts w:cs="Arial"/>
              </w:rPr>
            </w:pPr>
            <w:r>
              <w:rPr>
                <w:rFonts w:cs="Arial"/>
                <w:szCs w:val="20"/>
              </w:rPr>
              <w:t xml:space="preserve">10 tablets per 30 days </w:t>
            </w:r>
          </w:p>
        </w:tc>
      </w:tr>
      <w:tr w:rsidR="000C321E" w:rsidRPr="00C02553" w14:paraId="64FA316D" w14:textId="77777777" w:rsidTr="00E41AD0">
        <w:trPr>
          <w:trHeight w:val="276"/>
        </w:trPr>
        <w:tc>
          <w:tcPr>
            <w:tcW w:w="3417" w:type="dxa"/>
            <w:vAlign w:val="center"/>
          </w:tcPr>
          <w:p w14:paraId="56641DEA" w14:textId="6D46FDEF" w:rsidR="000C321E" w:rsidRPr="00C73E17" w:rsidRDefault="000C321E" w:rsidP="000C321E">
            <w:pPr>
              <w:rPr>
                <w:rFonts w:cs="Arial"/>
                <w:caps/>
                <w:szCs w:val="20"/>
              </w:rPr>
            </w:pPr>
            <w:r w:rsidRPr="00C73E17">
              <w:rPr>
                <w:rFonts w:cs="Arial"/>
                <w:caps/>
                <w:szCs w:val="20"/>
              </w:rPr>
              <w:t>Ubrelvy 100mg</w:t>
            </w:r>
          </w:p>
        </w:tc>
        <w:tc>
          <w:tcPr>
            <w:tcW w:w="3238" w:type="dxa"/>
            <w:vAlign w:val="center"/>
          </w:tcPr>
          <w:p w14:paraId="59DC7678" w14:textId="5788A3C6" w:rsidR="000C321E" w:rsidRPr="00C73E17" w:rsidRDefault="000C321E" w:rsidP="000C321E">
            <w:pPr>
              <w:rPr>
                <w:rFonts w:cs="Arial"/>
                <w:caps/>
                <w:spacing w:val="-3"/>
              </w:rPr>
            </w:pPr>
            <w:r w:rsidRPr="00C73E17">
              <w:rPr>
                <w:rFonts w:cs="Arial"/>
                <w:caps/>
                <w:spacing w:val="-3"/>
              </w:rPr>
              <w:t>ubrogepant</w:t>
            </w:r>
          </w:p>
        </w:tc>
        <w:tc>
          <w:tcPr>
            <w:tcW w:w="2695" w:type="dxa"/>
            <w:vAlign w:val="center"/>
          </w:tcPr>
          <w:p w14:paraId="79B9B8F9" w14:textId="2FFFB6C7" w:rsidR="000C321E" w:rsidRDefault="000C321E" w:rsidP="000C321E">
            <w:pPr>
              <w:rPr>
                <w:rFonts w:cs="Arial"/>
                <w:szCs w:val="20"/>
              </w:rPr>
            </w:pPr>
            <w:r>
              <w:rPr>
                <w:rFonts w:cs="Arial"/>
                <w:szCs w:val="20"/>
              </w:rPr>
              <w:t xml:space="preserve">10 tablets per 30 days </w:t>
            </w:r>
          </w:p>
        </w:tc>
      </w:tr>
      <w:tr w:rsidR="000C321E" w:rsidRPr="00C02553" w14:paraId="0D47E934" w14:textId="77777777" w:rsidTr="00E41AD0">
        <w:trPr>
          <w:trHeight w:val="276"/>
        </w:trPr>
        <w:tc>
          <w:tcPr>
            <w:tcW w:w="3417" w:type="dxa"/>
            <w:vAlign w:val="center"/>
          </w:tcPr>
          <w:p w14:paraId="15ED6EAB" w14:textId="1ACA2372" w:rsidR="000C321E" w:rsidRPr="00C73E17" w:rsidRDefault="000C321E" w:rsidP="000C321E">
            <w:pPr>
              <w:rPr>
                <w:rFonts w:cs="Arial"/>
                <w:caps/>
                <w:szCs w:val="20"/>
              </w:rPr>
            </w:pPr>
            <w:r w:rsidRPr="00C73E17">
              <w:rPr>
                <w:rFonts w:cs="Arial"/>
                <w:caps/>
                <w:szCs w:val="20"/>
              </w:rPr>
              <w:t>Reyvow 50mg</w:t>
            </w:r>
          </w:p>
        </w:tc>
        <w:tc>
          <w:tcPr>
            <w:tcW w:w="3238" w:type="dxa"/>
            <w:vAlign w:val="center"/>
          </w:tcPr>
          <w:p w14:paraId="50BB5B47" w14:textId="57BE7EB1" w:rsidR="000C321E" w:rsidRPr="00C73E17" w:rsidRDefault="000C321E" w:rsidP="000C321E">
            <w:pPr>
              <w:rPr>
                <w:rFonts w:cs="Arial"/>
                <w:caps/>
                <w:spacing w:val="-3"/>
              </w:rPr>
            </w:pPr>
            <w:r w:rsidRPr="00C73E17">
              <w:rPr>
                <w:rFonts w:cs="Arial"/>
                <w:caps/>
                <w:spacing w:val="-3"/>
              </w:rPr>
              <w:t>lasmiditan</w:t>
            </w:r>
          </w:p>
        </w:tc>
        <w:tc>
          <w:tcPr>
            <w:tcW w:w="2695" w:type="dxa"/>
            <w:vAlign w:val="center"/>
          </w:tcPr>
          <w:p w14:paraId="3EA9A5BC" w14:textId="420F2192" w:rsidR="000C321E" w:rsidRDefault="000C321E" w:rsidP="000C321E">
            <w:pPr>
              <w:rPr>
                <w:rFonts w:cs="Arial"/>
                <w:szCs w:val="20"/>
              </w:rPr>
            </w:pPr>
            <w:r>
              <w:rPr>
                <w:rFonts w:cs="Arial"/>
                <w:szCs w:val="20"/>
              </w:rPr>
              <w:t>4 tablets per 30 days</w:t>
            </w:r>
          </w:p>
        </w:tc>
      </w:tr>
      <w:tr w:rsidR="000C321E" w:rsidRPr="00C02553" w14:paraId="6537360C" w14:textId="77777777" w:rsidTr="00E41AD0">
        <w:trPr>
          <w:trHeight w:val="276"/>
        </w:trPr>
        <w:tc>
          <w:tcPr>
            <w:tcW w:w="3417" w:type="dxa"/>
            <w:vAlign w:val="center"/>
          </w:tcPr>
          <w:p w14:paraId="49379C94" w14:textId="12215F67" w:rsidR="000C321E" w:rsidRPr="00C73E17" w:rsidRDefault="000C321E" w:rsidP="000C321E">
            <w:pPr>
              <w:rPr>
                <w:rFonts w:cs="Arial"/>
                <w:caps/>
                <w:szCs w:val="20"/>
              </w:rPr>
            </w:pPr>
            <w:r w:rsidRPr="00C73E17">
              <w:rPr>
                <w:rFonts w:cs="Arial"/>
                <w:caps/>
                <w:szCs w:val="20"/>
              </w:rPr>
              <w:t>Revyow 100mg</w:t>
            </w:r>
          </w:p>
        </w:tc>
        <w:tc>
          <w:tcPr>
            <w:tcW w:w="3238" w:type="dxa"/>
            <w:vAlign w:val="center"/>
          </w:tcPr>
          <w:p w14:paraId="757EC309" w14:textId="25559B41" w:rsidR="000C321E" w:rsidRPr="00C73E17" w:rsidRDefault="000C321E" w:rsidP="000C321E">
            <w:pPr>
              <w:rPr>
                <w:rFonts w:cs="Arial"/>
                <w:caps/>
                <w:spacing w:val="-3"/>
              </w:rPr>
            </w:pPr>
            <w:r w:rsidRPr="00C73E17">
              <w:rPr>
                <w:rFonts w:cs="Arial"/>
                <w:caps/>
                <w:spacing w:val="-3"/>
              </w:rPr>
              <w:t>lasmiditan</w:t>
            </w:r>
          </w:p>
        </w:tc>
        <w:tc>
          <w:tcPr>
            <w:tcW w:w="2695" w:type="dxa"/>
            <w:vAlign w:val="center"/>
          </w:tcPr>
          <w:p w14:paraId="1B0D3858" w14:textId="6031E63A" w:rsidR="000C321E" w:rsidRDefault="000C321E" w:rsidP="000C321E">
            <w:pPr>
              <w:rPr>
                <w:rFonts w:cs="Arial"/>
                <w:szCs w:val="20"/>
              </w:rPr>
            </w:pPr>
            <w:r>
              <w:rPr>
                <w:rFonts w:cs="Arial"/>
                <w:szCs w:val="20"/>
              </w:rPr>
              <w:t>8 tablets per 30 days</w:t>
            </w:r>
          </w:p>
        </w:tc>
      </w:tr>
      <w:tr w:rsidR="000C321E" w:rsidRPr="00C02553" w14:paraId="1E3888E4" w14:textId="77777777" w:rsidTr="00E41AD0">
        <w:trPr>
          <w:trHeight w:val="276"/>
        </w:trPr>
        <w:tc>
          <w:tcPr>
            <w:tcW w:w="3417" w:type="dxa"/>
            <w:vAlign w:val="center"/>
          </w:tcPr>
          <w:p w14:paraId="116D590A" w14:textId="79E867CB" w:rsidR="000C321E" w:rsidRPr="00C73E17" w:rsidRDefault="000C321E" w:rsidP="000C321E">
            <w:pPr>
              <w:rPr>
                <w:rFonts w:cs="Arial"/>
                <w:caps/>
                <w:szCs w:val="20"/>
              </w:rPr>
            </w:pPr>
            <w:r w:rsidRPr="00B31A1F">
              <w:rPr>
                <w:rFonts w:cs="Arial"/>
                <w:szCs w:val="20"/>
              </w:rPr>
              <w:t>ZAVZPRET 10 MG NASAL SPRAY</w:t>
            </w:r>
          </w:p>
        </w:tc>
        <w:tc>
          <w:tcPr>
            <w:tcW w:w="3238" w:type="dxa"/>
            <w:vAlign w:val="center"/>
          </w:tcPr>
          <w:p w14:paraId="2AFD8975" w14:textId="63E2D632" w:rsidR="000C321E" w:rsidRPr="00C73E17" w:rsidRDefault="000C321E" w:rsidP="000C321E">
            <w:pPr>
              <w:rPr>
                <w:rFonts w:cs="Arial"/>
                <w:caps/>
                <w:spacing w:val="-3"/>
              </w:rPr>
            </w:pPr>
            <w:r w:rsidRPr="00B31A1F">
              <w:rPr>
                <w:rFonts w:cs="Arial"/>
                <w:szCs w:val="20"/>
              </w:rPr>
              <w:t>ZAVEGEPANT HCL</w:t>
            </w:r>
          </w:p>
        </w:tc>
        <w:tc>
          <w:tcPr>
            <w:tcW w:w="2695" w:type="dxa"/>
            <w:vAlign w:val="center"/>
          </w:tcPr>
          <w:p w14:paraId="5B8F2984" w14:textId="10403B52" w:rsidR="000C321E" w:rsidRDefault="000C321E" w:rsidP="000C321E">
            <w:pPr>
              <w:rPr>
                <w:rFonts w:cs="Arial"/>
                <w:szCs w:val="20"/>
              </w:rPr>
            </w:pPr>
            <w:r w:rsidRPr="00B31A1F">
              <w:rPr>
                <w:rFonts w:cs="Arial"/>
                <w:szCs w:val="20"/>
              </w:rPr>
              <w:t>6 units (1 box) per 22 days</w:t>
            </w:r>
          </w:p>
        </w:tc>
      </w:tr>
    </w:tbl>
    <w:p w14:paraId="6F0E2BB3" w14:textId="77777777" w:rsidR="000364EA" w:rsidRPr="0091700C" w:rsidRDefault="000364EA" w:rsidP="000364EA">
      <w:pPr>
        <w:ind w:left="360"/>
        <w:rPr>
          <w:rFonts w:cs="Arial"/>
          <w:noProof/>
          <w:color w:val="0070C0"/>
          <w:sz w:val="16"/>
          <w:szCs w:val="20"/>
        </w:rPr>
      </w:pPr>
      <w:r w:rsidRPr="00D01C38">
        <w:rPr>
          <w:rFonts w:cs="Arial"/>
          <w:b/>
          <w:bCs/>
          <w:noProof/>
          <w:color w:val="0070C0"/>
          <w:sz w:val="16"/>
          <w:szCs w:val="20"/>
        </w:rPr>
        <w:t xml:space="preserve">       </w:t>
      </w:r>
      <w:r w:rsidRPr="0091700C">
        <w:rPr>
          <w:rFonts w:cs="Arial"/>
          <w:noProof/>
          <w:sz w:val="16"/>
          <w:szCs w:val="20"/>
        </w:rPr>
        <w:t>*Up to 18 tablets per month will be allowed for migraine prevention when approval criteria is met</w:t>
      </w:r>
    </w:p>
    <w:p w14:paraId="032E110A" w14:textId="5E4C8472" w:rsidR="00694822" w:rsidRDefault="00694822" w:rsidP="00694822">
      <w:pPr>
        <w:pStyle w:val="ListParagraph"/>
        <w:numPr>
          <w:ilvl w:val="0"/>
          <w:numId w:val="17"/>
        </w:numPr>
        <w:rPr>
          <w:rFonts w:cs="Arial"/>
          <w:noProof/>
          <w:szCs w:val="20"/>
        </w:rPr>
      </w:pPr>
      <w:r>
        <w:rPr>
          <w:rFonts w:cs="Arial"/>
          <w:noProof/>
          <w:szCs w:val="20"/>
        </w:rPr>
        <w:t>Additional denial criteria for</w:t>
      </w:r>
      <w:r w:rsidRPr="0091700C">
        <w:rPr>
          <w:rFonts w:cs="Arial"/>
          <w:noProof/>
          <w:szCs w:val="20"/>
        </w:rPr>
        <w:t xml:space="preserve"> Nurtec and Reyvow:</w:t>
      </w:r>
    </w:p>
    <w:p w14:paraId="19507012" w14:textId="77777777" w:rsidR="00694822" w:rsidRPr="00FB385B" w:rsidRDefault="00694822" w:rsidP="00694822">
      <w:pPr>
        <w:pStyle w:val="ListParagraph"/>
        <w:numPr>
          <w:ilvl w:val="1"/>
          <w:numId w:val="17"/>
        </w:numPr>
        <w:rPr>
          <w:rFonts w:cs="Arial"/>
          <w:noProof/>
          <w:szCs w:val="20"/>
        </w:rPr>
      </w:pPr>
      <w:r>
        <w:rPr>
          <w:rFonts w:cs="Arial"/>
          <w:noProof/>
          <w:szCs w:val="20"/>
        </w:rPr>
        <w:t>Documentation</w:t>
      </w:r>
      <w:r w:rsidRPr="0091700C">
        <w:rPr>
          <w:rFonts w:cs="Arial"/>
          <w:noProof/>
          <w:szCs w:val="20"/>
        </w:rPr>
        <w:t xml:space="preserve"> of severe hepatic impairment (Child-Pugh C)</w:t>
      </w:r>
      <w:r>
        <w:rPr>
          <w:rFonts w:cs="Arial"/>
          <w:noProof/>
          <w:szCs w:val="20"/>
        </w:rPr>
        <w:t>.</w:t>
      </w:r>
    </w:p>
    <w:p w14:paraId="4D21EAF1" w14:textId="77777777" w:rsidR="001E4CBA" w:rsidRPr="002C2C41" w:rsidRDefault="001E4CBA" w:rsidP="001C73B1">
      <w:pPr>
        <w:pStyle w:val="ListParagraph"/>
        <w:numPr>
          <w:ilvl w:val="0"/>
          <w:numId w:val="0"/>
        </w:numPr>
        <w:ind w:left="360"/>
        <w:rPr>
          <w:rFonts w:cs="Arial"/>
          <w:szCs w:val="22"/>
        </w:rPr>
      </w:pPr>
    </w:p>
    <w:p w14:paraId="050492C1" w14:textId="77777777" w:rsidR="00BC5635" w:rsidRPr="00C02553" w:rsidRDefault="00BC5635" w:rsidP="00343D6B">
      <w:pPr>
        <w:pStyle w:val="Heading1"/>
        <w:rPr>
          <w:lang w:val="en-US"/>
        </w:rPr>
      </w:pPr>
      <w:bookmarkStart w:id="1"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71AAAF02" w14:textId="77777777" w:rsidR="0073669F" w:rsidRPr="0091700C" w:rsidRDefault="00343D6B" w:rsidP="0073669F">
      <w:pPr>
        <w:rPr>
          <w:rFonts w:cs="Arial"/>
          <w:szCs w:val="20"/>
        </w:rPr>
      </w:pPr>
      <w:r w:rsidRPr="00696E3A">
        <w:rPr>
          <w:b/>
          <w:bCs/>
        </w:rPr>
        <w:lastRenderedPageBreak/>
        <w:t>Default Approval Period:</w:t>
      </w:r>
      <w:r w:rsidR="00973BD6">
        <w:t xml:space="preserve"> </w:t>
      </w:r>
      <w:r w:rsidR="0073669F" w:rsidRPr="0091700C">
        <w:rPr>
          <w:rFonts w:cs="Arial"/>
          <w:szCs w:val="20"/>
        </w:rPr>
        <w:t>6 months</w:t>
      </w:r>
    </w:p>
    <w:p w14:paraId="5D43D3D3" w14:textId="3C08D1B1" w:rsidR="00343D6B" w:rsidRPr="00C02553" w:rsidRDefault="00343D6B" w:rsidP="00696E3A"/>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1A90F5BE" w14:textId="77777777" w:rsidR="00FE7B7F" w:rsidRPr="00716E00" w:rsidRDefault="00FE7B7F" w:rsidP="00FE7B7F">
      <w:pPr>
        <w:pStyle w:val="ListParagraph"/>
      </w:pPr>
      <w:r w:rsidRPr="00716E00">
        <w:t xml:space="preserve">Evidence-Based Medicine and Fiscal Analysis: “Therapeutic Class Review: CENTRAL NERVOUS SYSTEM: Anti-Migraine, Alternative Agents”, Gainwell Technologies; Last updated October 15, 2024 </w:t>
      </w:r>
    </w:p>
    <w:p w14:paraId="46302A6D" w14:textId="51D14D89" w:rsidR="00FE7B7F" w:rsidRPr="00716E00" w:rsidRDefault="00FE7B7F" w:rsidP="00FE7B7F">
      <w:pPr>
        <w:pStyle w:val="ListParagraph"/>
      </w:pPr>
      <w:r w:rsidRPr="00716E00">
        <w:t xml:space="preserve">Evidence-Based Medicine Analysis: “Anti-Migraine, Alternative Agents”, UMKC-DIC; </w:t>
      </w:r>
      <w:r w:rsidR="00E861A0">
        <w:t>Dec</w:t>
      </w:r>
      <w:r w:rsidR="001A5F37">
        <w:t>ember</w:t>
      </w:r>
      <w:r w:rsidRPr="00716E00">
        <w:t xml:space="preserve"> 202</w:t>
      </w:r>
      <w:r w:rsidR="001A5F37">
        <w:t>5</w:t>
      </w:r>
      <w:r w:rsidRPr="00716E00">
        <w:t>.</w:t>
      </w:r>
    </w:p>
    <w:p w14:paraId="40D87E79" w14:textId="77777777" w:rsidR="00FE7B7F" w:rsidRDefault="00FE7B7F" w:rsidP="00FE7B7F">
      <w:pPr>
        <w:pStyle w:val="ListParagraph"/>
        <w:rPr>
          <w:szCs w:val="22"/>
        </w:rPr>
      </w:pPr>
      <w:r>
        <w:t xml:space="preserve">Cutrer, F.M. (2020). Pathophysiology, clinical manifestations, and diagnosis of migraine in adults. In J.F. Dashe (Ed.). </w:t>
      </w:r>
      <w:r w:rsidRPr="00606FE1">
        <w:rPr>
          <w:i/>
        </w:rPr>
        <w:t>UpToDate.</w:t>
      </w:r>
      <w:r w:rsidRPr="001A0F49">
        <w:t xml:space="preserve"> </w:t>
      </w:r>
    </w:p>
    <w:p w14:paraId="4C78D0DB" w14:textId="77777777" w:rsidR="00FE7B7F" w:rsidRDefault="00FE7B7F" w:rsidP="00FE7B7F">
      <w:pPr>
        <w:pStyle w:val="ListParagraph"/>
      </w:pPr>
      <w:r>
        <w:t xml:space="preserve">Ailani, J., Burch R.C., Robbins, M.S. The American Headache Society Consensus Statement: Update on integrating new migraine treatments into clinical practice. </w:t>
      </w:r>
      <w:r w:rsidRPr="00DE74EE">
        <w:rPr>
          <w:i/>
          <w:iCs/>
        </w:rPr>
        <w:t>Headache</w:t>
      </w:r>
      <w:r>
        <w:t xml:space="preserve">. 2021; 00:1-19. </w:t>
      </w:r>
    </w:p>
    <w:p w14:paraId="51F146C9" w14:textId="22B50983" w:rsidR="00FE7B7F" w:rsidRDefault="00FE7B7F" w:rsidP="00FE7B7F">
      <w:pPr>
        <w:pStyle w:val="ListParagraph"/>
      </w:pPr>
      <w:bookmarkStart w:id="2" w:name="_Hlk34121003"/>
      <w:r w:rsidRPr="00BC5635">
        <w:t>USPDI, Micromedex; 202</w:t>
      </w:r>
      <w:r>
        <w:t>5</w:t>
      </w:r>
      <w:r w:rsidRPr="00BC5635">
        <w:t xml:space="preserve">. </w:t>
      </w:r>
    </w:p>
    <w:p w14:paraId="30357612" w14:textId="61F3510E" w:rsidR="00FE7B7F" w:rsidRDefault="00FE7B7F" w:rsidP="00FE7B7F">
      <w:pPr>
        <w:pStyle w:val="ListParagraph"/>
      </w:pPr>
      <w:r w:rsidRPr="00BC5635">
        <w:t>Facts and Comparisons eAnswers (online); 202</w:t>
      </w:r>
      <w:r>
        <w:t>5</w:t>
      </w:r>
      <w:r w:rsidRPr="00BC5635">
        <w:t xml:space="preserve"> Clinical Drug Information, LLC. </w:t>
      </w:r>
      <w:bookmarkEnd w:id="2"/>
    </w:p>
    <w:p w14:paraId="0DFF5D58" w14:textId="0E3322A7" w:rsidR="00FE7B7F" w:rsidRDefault="00FE7B7F" w:rsidP="00FE7B7F">
      <w:pPr>
        <w:pStyle w:val="ListParagraph"/>
      </w:pPr>
      <w:r>
        <w:t xml:space="preserve">Nurtec ODT [package insert]. New Haven, CT: Biohaven Pharmaceuticals Inc; </w:t>
      </w:r>
      <w:r w:rsidR="00802987">
        <w:t>August 2025</w:t>
      </w:r>
      <w:r>
        <w:t xml:space="preserve">. </w:t>
      </w:r>
    </w:p>
    <w:p w14:paraId="18ACB36A" w14:textId="77777777" w:rsidR="00FE7B7F" w:rsidRPr="00D3717F" w:rsidRDefault="00FE7B7F" w:rsidP="00FE7B7F">
      <w:pPr>
        <w:pStyle w:val="ListParagraph"/>
        <w:rPr>
          <w:sz w:val="16"/>
        </w:rPr>
      </w:pPr>
      <w:r>
        <w:t>Reyvow [package insert]. Indianapolis, IN: Eli Lilly and Company; September 2022.</w:t>
      </w:r>
    </w:p>
    <w:p w14:paraId="346BB70F" w14:textId="366E399E" w:rsidR="00FE7B7F" w:rsidRPr="0084128F" w:rsidRDefault="00FE7B7F" w:rsidP="00FE7B7F">
      <w:pPr>
        <w:pStyle w:val="ListParagraph"/>
        <w:rPr>
          <w:sz w:val="16"/>
        </w:rPr>
      </w:pPr>
      <w:r>
        <w:t>Ubrelvy [package insert]. Madison, NJ: Allergen; June 202</w:t>
      </w:r>
      <w:r w:rsidR="00FC3FA8">
        <w:t>5</w:t>
      </w:r>
      <w:r>
        <w:t>.</w:t>
      </w:r>
    </w:p>
    <w:p w14:paraId="235A9437" w14:textId="3D406BA7" w:rsidR="00FE7B7F" w:rsidRPr="0084128F" w:rsidRDefault="00FE7B7F" w:rsidP="00FE7B7F">
      <w:pPr>
        <w:pStyle w:val="ListParagraph"/>
        <w:rPr>
          <w:sz w:val="16"/>
        </w:rPr>
      </w:pPr>
      <w:r>
        <w:t xml:space="preserve">Zavzpret [package insert]. New York, NY. Pfizer Labs. </w:t>
      </w:r>
      <w:r w:rsidR="00A933B1">
        <w:t>August 2025</w:t>
      </w:r>
      <w:r>
        <w:t>.</w:t>
      </w:r>
    </w:p>
    <w:p w14:paraId="3FA1E7DB" w14:textId="03CE409A" w:rsidR="00777CA4" w:rsidRDefault="00777CA4" w:rsidP="00FE7B7F">
      <w:r>
        <w:t>.</w:t>
      </w:r>
    </w:p>
    <w:sectPr w:rsidR="00777CA4" w:rsidSect="00AB0B9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84319" w14:textId="77777777" w:rsidR="00F30E82" w:rsidRPr="00C02553" w:rsidRDefault="00F30E82" w:rsidP="00AE77DB">
      <w:r w:rsidRPr="00C02553">
        <w:separator/>
      </w:r>
    </w:p>
  </w:endnote>
  <w:endnote w:type="continuationSeparator" w:id="0">
    <w:p w14:paraId="6C9C26AC" w14:textId="77777777" w:rsidR="00F30E82" w:rsidRPr="00C02553" w:rsidRDefault="00F30E82" w:rsidP="00AE77DB">
      <w:r w:rsidRPr="00C02553">
        <w:continuationSeparator/>
      </w:r>
    </w:p>
  </w:endnote>
  <w:endnote w:type="continuationNotice" w:id="1">
    <w:p w14:paraId="1F99F485" w14:textId="77777777" w:rsidR="00F30E82" w:rsidRPr="00C02553" w:rsidRDefault="00F30E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21B51" w14:textId="77777777" w:rsidR="00F30E82" w:rsidRPr="00C02553" w:rsidRDefault="00F30E82" w:rsidP="00AE77DB">
      <w:r w:rsidRPr="00C02553">
        <w:separator/>
      </w:r>
    </w:p>
  </w:footnote>
  <w:footnote w:type="continuationSeparator" w:id="0">
    <w:p w14:paraId="4C8509A0" w14:textId="77777777" w:rsidR="00F30E82" w:rsidRPr="00C02553" w:rsidRDefault="00F30E82" w:rsidP="00AE77DB">
      <w:r w:rsidRPr="00C02553">
        <w:continuationSeparator/>
      </w:r>
    </w:p>
  </w:footnote>
  <w:footnote w:type="continuationNotice" w:id="1">
    <w:p w14:paraId="73E91749" w14:textId="77777777" w:rsidR="00F30E82" w:rsidRPr="00C02553" w:rsidRDefault="00F30E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79CBC0E" w:rsidR="00006A61" w:rsidRPr="00C02553" w:rsidRDefault="00191E84">
    <w:pPr>
      <w:pStyle w:val="Header"/>
      <w:framePr w:wrap="around" w:vAnchor="text" w:hAnchor="margin"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4C3FB2C" w:rsidR="00596936" w:rsidRDefault="00191E84">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8841AA8"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191E84">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0AA0605E"/>
    <w:multiLevelType w:val="hybridMultilevel"/>
    <w:tmpl w:val="9454CA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17419F"/>
    <w:multiLevelType w:val="hybridMultilevel"/>
    <w:tmpl w:val="5CAEEA5A"/>
    <w:lvl w:ilvl="0" w:tplc="04090001">
      <w:start w:val="1"/>
      <w:numFmt w:val="bullet"/>
      <w:lvlText w:val=""/>
      <w:lvlJc w:val="left"/>
      <w:pPr>
        <w:tabs>
          <w:tab w:val="num" w:pos="159"/>
        </w:tabs>
        <w:ind w:left="159" w:hanging="360"/>
      </w:pPr>
      <w:rPr>
        <w:rFonts w:ascii="Symbol" w:hAnsi="Symbol" w:hint="default"/>
      </w:rPr>
    </w:lvl>
    <w:lvl w:ilvl="1" w:tplc="04090019" w:tentative="1">
      <w:start w:val="1"/>
      <w:numFmt w:val="lowerLetter"/>
      <w:lvlText w:val="%2."/>
      <w:lvlJc w:val="left"/>
      <w:pPr>
        <w:tabs>
          <w:tab w:val="num" w:pos="879"/>
        </w:tabs>
        <w:ind w:left="879" w:hanging="360"/>
      </w:pPr>
    </w:lvl>
    <w:lvl w:ilvl="2" w:tplc="0409001B" w:tentative="1">
      <w:start w:val="1"/>
      <w:numFmt w:val="lowerRoman"/>
      <w:lvlText w:val="%3."/>
      <w:lvlJc w:val="right"/>
      <w:pPr>
        <w:tabs>
          <w:tab w:val="num" w:pos="1599"/>
        </w:tabs>
        <w:ind w:left="1599" w:hanging="180"/>
      </w:pPr>
    </w:lvl>
    <w:lvl w:ilvl="3" w:tplc="0409000F" w:tentative="1">
      <w:start w:val="1"/>
      <w:numFmt w:val="decimal"/>
      <w:lvlText w:val="%4."/>
      <w:lvlJc w:val="left"/>
      <w:pPr>
        <w:tabs>
          <w:tab w:val="num" w:pos="2319"/>
        </w:tabs>
        <w:ind w:left="2319" w:hanging="360"/>
      </w:pPr>
    </w:lvl>
    <w:lvl w:ilvl="4" w:tplc="04090019" w:tentative="1">
      <w:start w:val="1"/>
      <w:numFmt w:val="lowerLetter"/>
      <w:lvlText w:val="%5."/>
      <w:lvlJc w:val="left"/>
      <w:pPr>
        <w:tabs>
          <w:tab w:val="num" w:pos="3039"/>
        </w:tabs>
        <w:ind w:left="3039" w:hanging="360"/>
      </w:pPr>
    </w:lvl>
    <w:lvl w:ilvl="5" w:tplc="0409001B" w:tentative="1">
      <w:start w:val="1"/>
      <w:numFmt w:val="lowerRoman"/>
      <w:lvlText w:val="%6."/>
      <w:lvlJc w:val="right"/>
      <w:pPr>
        <w:tabs>
          <w:tab w:val="num" w:pos="3759"/>
        </w:tabs>
        <w:ind w:left="3759" w:hanging="180"/>
      </w:pPr>
    </w:lvl>
    <w:lvl w:ilvl="6" w:tplc="0409000F" w:tentative="1">
      <w:start w:val="1"/>
      <w:numFmt w:val="decimal"/>
      <w:lvlText w:val="%7."/>
      <w:lvlJc w:val="left"/>
      <w:pPr>
        <w:tabs>
          <w:tab w:val="num" w:pos="4479"/>
        </w:tabs>
        <w:ind w:left="4479" w:hanging="360"/>
      </w:pPr>
    </w:lvl>
    <w:lvl w:ilvl="7" w:tplc="04090019" w:tentative="1">
      <w:start w:val="1"/>
      <w:numFmt w:val="lowerLetter"/>
      <w:lvlText w:val="%8."/>
      <w:lvlJc w:val="left"/>
      <w:pPr>
        <w:tabs>
          <w:tab w:val="num" w:pos="5199"/>
        </w:tabs>
        <w:ind w:left="5199" w:hanging="360"/>
      </w:pPr>
    </w:lvl>
    <w:lvl w:ilvl="8" w:tplc="0409001B" w:tentative="1">
      <w:start w:val="1"/>
      <w:numFmt w:val="lowerRoman"/>
      <w:lvlText w:val="%9."/>
      <w:lvlJc w:val="right"/>
      <w:pPr>
        <w:tabs>
          <w:tab w:val="num" w:pos="5919"/>
        </w:tabs>
        <w:ind w:left="5919" w:hanging="180"/>
      </w:pPr>
    </w:lvl>
  </w:abstractNum>
  <w:abstractNum w:abstractNumId="11"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D643976"/>
    <w:multiLevelType w:val="hybridMultilevel"/>
    <w:tmpl w:val="56345F10"/>
    <w:lvl w:ilvl="0" w:tplc="DCE02FF4">
      <w:start w:val="1"/>
      <w:numFmt w:val="bullet"/>
      <w:lvlText w:val=""/>
      <w:lvlJc w:val="left"/>
      <w:pPr>
        <w:ind w:left="360" w:hanging="360"/>
      </w:pPr>
      <w:rPr>
        <w:rFonts w:ascii="Symbol" w:hAnsi="Symbol" w:hint="default"/>
        <w:color w:val="auto"/>
      </w:rPr>
    </w:lvl>
    <w:lvl w:ilvl="1" w:tplc="B2444AA4">
      <w:start w:val="1"/>
      <w:numFmt w:val="bullet"/>
      <w:lvlText w:val="o"/>
      <w:lvlJc w:val="left"/>
      <w:pPr>
        <w:ind w:left="720" w:hanging="360"/>
      </w:pPr>
      <w:rPr>
        <w:rFonts w:ascii="Courier New" w:hAnsi="Courier New" w:cs="Courier New" w:hint="default"/>
        <w:color w:val="auto"/>
      </w:r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144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DD076A7"/>
    <w:multiLevelType w:val="hybridMultilevel"/>
    <w:tmpl w:val="8500C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7A433670"/>
    <w:multiLevelType w:val="hybridMultilevel"/>
    <w:tmpl w:val="D194D718"/>
    <w:lvl w:ilvl="0" w:tplc="B2444AA4">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2458C6F0">
      <w:start w:val="1"/>
      <w:numFmt w:val="bullet"/>
      <w:lvlText w:val=""/>
      <w:lvlJc w:val="left"/>
      <w:pPr>
        <w:ind w:left="360" w:hanging="360"/>
      </w:pPr>
      <w:rPr>
        <w:rFonts w:ascii="Symbol" w:hAnsi="Symbol"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7994657">
    <w:abstractNumId w:val="0"/>
  </w:num>
  <w:num w:numId="2" w16cid:durableId="517891239">
    <w:abstractNumId w:val="17"/>
  </w:num>
  <w:num w:numId="3" w16cid:durableId="1729067566">
    <w:abstractNumId w:val="4"/>
  </w:num>
  <w:num w:numId="4" w16cid:durableId="320159068">
    <w:abstractNumId w:val="8"/>
  </w:num>
  <w:num w:numId="5" w16cid:durableId="1769498754">
    <w:abstractNumId w:val="3"/>
  </w:num>
  <w:num w:numId="6" w16cid:durableId="1094596320">
    <w:abstractNumId w:val="15"/>
  </w:num>
  <w:num w:numId="7" w16cid:durableId="2110008555">
    <w:abstractNumId w:val="2"/>
  </w:num>
  <w:num w:numId="8" w16cid:durableId="489712751">
    <w:abstractNumId w:val="7"/>
  </w:num>
  <w:num w:numId="9" w16cid:durableId="1085147965">
    <w:abstractNumId w:val="11"/>
  </w:num>
  <w:num w:numId="10" w16cid:durableId="917518096">
    <w:abstractNumId w:val="9"/>
  </w:num>
  <w:num w:numId="11" w16cid:durableId="1894998475">
    <w:abstractNumId w:val="1"/>
  </w:num>
  <w:num w:numId="12" w16cid:durableId="1418215296">
    <w:abstractNumId w:val="16"/>
  </w:num>
  <w:num w:numId="13" w16cid:durableId="604729665">
    <w:abstractNumId w:val="6"/>
  </w:num>
  <w:num w:numId="14" w16cid:durableId="1805081292">
    <w:abstractNumId w:val="14"/>
  </w:num>
  <w:num w:numId="15" w16cid:durableId="1493333792">
    <w:abstractNumId w:val="13"/>
  </w:num>
  <w:num w:numId="16" w16cid:durableId="629871035">
    <w:abstractNumId w:val="5"/>
  </w:num>
  <w:num w:numId="17" w16cid:durableId="1490710786">
    <w:abstractNumId w:val="12"/>
  </w:num>
  <w:num w:numId="18" w16cid:durableId="928662698">
    <w:abstractNumId w:val="18"/>
  </w:num>
  <w:num w:numId="19" w16cid:durableId="44527518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276D9"/>
    <w:rsid w:val="000344C5"/>
    <w:rsid w:val="000364EA"/>
    <w:rsid w:val="00040AD3"/>
    <w:rsid w:val="00053807"/>
    <w:rsid w:val="000572E5"/>
    <w:rsid w:val="00057F84"/>
    <w:rsid w:val="00061541"/>
    <w:rsid w:val="00064162"/>
    <w:rsid w:val="00065C22"/>
    <w:rsid w:val="00074464"/>
    <w:rsid w:val="00076030"/>
    <w:rsid w:val="00082590"/>
    <w:rsid w:val="00084D82"/>
    <w:rsid w:val="000913C3"/>
    <w:rsid w:val="000953B9"/>
    <w:rsid w:val="000A101F"/>
    <w:rsid w:val="000A413B"/>
    <w:rsid w:val="000A6279"/>
    <w:rsid w:val="000B496B"/>
    <w:rsid w:val="000C321E"/>
    <w:rsid w:val="000C3940"/>
    <w:rsid w:val="000C5992"/>
    <w:rsid w:val="000E1479"/>
    <w:rsid w:val="000E231E"/>
    <w:rsid w:val="000E247D"/>
    <w:rsid w:val="000E6B14"/>
    <w:rsid w:val="000E70D8"/>
    <w:rsid w:val="00102A4F"/>
    <w:rsid w:val="001062F6"/>
    <w:rsid w:val="00106865"/>
    <w:rsid w:val="0011035B"/>
    <w:rsid w:val="00112FC7"/>
    <w:rsid w:val="00125F5F"/>
    <w:rsid w:val="00126951"/>
    <w:rsid w:val="00126B60"/>
    <w:rsid w:val="00127EF6"/>
    <w:rsid w:val="001310AD"/>
    <w:rsid w:val="001314A5"/>
    <w:rsid w:val="00132C7F"/>
    <w:rsid w:val="00135E6D"/>
    <w:rsid w:val="00144DBE"/>
    <w:rsid w:val="00152C8B"/>
    <w:rsid w:val="0015636A"/>
    <w:rsid w:val="00172053"/>
    <w:rsid w:val="00177A80"/>
    <w:rsid w:val="00191E84"/>
    <w:rsid w:val="001A0408"/>
    <w:rsid w:val="001A50CB"/>
    <w:rsid w:val="001A5F37"/>
    <w:rsid w:val="001A74B7"/>
    <w:rsid w:val="001B2D47"/>
    <w:rsid w:val="001B32E2"/>
    <w:rsid w:val="001C0250"/>
    <w:rsid w:val="001C6DA4"/>
    <w:rsid w:val="001C73B1"/>
    <w:rsid w:val="001D1E7D"/>
    <w:rsid w:val="001D6567"/>
    <w:rsid w:val="001E2CCB"/>
    <w:rsid w:val="001E4CBA"/>
    <w:rsid w:val="001E523C"/>
    <w:rsid w:val="001E61DF"/>
    <w:rsid w:val="001F2B9F"/>
    <w:rsid w:val="001F5954"/>
    <w:rsid w:val="00202DD3"/>
    <w:rsid w:val="00206E7D"/>
    <w:rsid w:val="00217E14"/>
    <w:rsid w:val="00217EFD"/>
    <w:rsid w:val="00222134"/>
    <w:rsid w:val="0022233F"/>
    <w:rsid w:val="00226275"/>
    <w:rsid w:val="00237751"/>
    <w:rsid w:val="00241305"/>
    <w:rsid w:val="002429B1"/>
    <w:rsid w:val="00246564"/>
    <w:rsid w:val="00246A3B"/>
    <w:rsid w:val="00255404"/>
    <w:rsid w:val="0025594F"/>
    <w:rsid w:val="00260820"/>
    <w:rsid w:val="00270C5E"/>
    <w:rsid w:val="00290A03"/>
    <w:rsid w:val="0029159A"/>
    <w:rsid w:val="00291600"/>
    <w:rsid w:val="002A02F4"/>
    <w:rsid w:val="002C2C41"/>
    <w:rsid w:val="002C62E7"/>
    <w:rsid w:val="002D3EC6"/>
    <w:rsid w:val="002E05E2"/>
    <w:rsid w:val="002E2DD6"/>
    <w:rsid w:val="002E3F28"/>
    <w:rsid w:val="002F0E52"/>
    <w:rsid w:val="002F2274"/>
    <w:rsid w:val="002F2405"/>
    <w:rsid w:val="002F690F"/>
    <w:rsid w:val="0030301F"/>
    <w:rsid w:val="00303B21"/>
    <w:rsid w:val="00313701"/>
    <w:rsid w:val="00314430"/>
    <w:rsid w:val="00316188"/>
    <w:rsid w:val="003171AF"/>
    <w:rsid w:val="00317469"/>
    <w:rsid w:val="0032215C"/>
    <w:rsid w:val="003245EF"/>
    <w:rsid w:val="0032616B"/>
    <w:rsid w:val="00326687"/>
    <w:rsid w:val="003275F9"/>
    <w:rsid w:val="003355AC"/>
    <w:rsid w:val="00343D6B"/>
    <w:rsid w:val="00344C72"/>
    <w:rsid w:val="00347FB5"/>
    <w:rsid w:val="00355515"/>
    <w:rsid w:val="003608B5"/>
    <w:rsid w:val="003613AF"/>
    <w:rsid w:val="003878C1"/>
    <w:rsid w:val="00396C0B"/>
    <w:rsid w:val="003A630F"/>
    <w:rsid w:val="003B3958"/>
    <w:rsid w:val="003B4820"/>
    <w:rsid w:val="003B5F4B"/>
    <w:rsid w:val="003B682F"/>
    <w:rsid w:val="003C53FC"/>
    <w:rsid w:val="003C7013"/>
    <w:rsid w:val="003D2E1A"/>
    <w:rsid w:val="003D641B"/>
    <w:rsid w:val="003F227C"/>
    <w:rsid w:val="004023CC"/>
    <w:rsid w:val="00407564"/>
    <w:rsid w:val="00411152"/>
    <w:rsid w:val="004156AA"/>
    <w:rsid w:val="004253A1"/>
    <w:rsid w:val="004313B6"/>
    <w:rsid w:val="00433339"/>
    <w:rsid w:val="00446BBC"/>
    <w:rsid w:val="004472C0"/>
    <w:rsid w:val="00450705"/>
    <w:rsid w:val="00451928"/>
    <w:rsid w:val="0046618B"/>
    <w:rsid w:val="0048608C"/>
    <w:rsid w:val="00496E57"/>
    <w:rsid w:val="004B3E10"/>
    <w:rsid w:val="004C0F5D"/>
    <w:rsid w:val="004C375A"/>
    <w:rsid w:val="004C4954"/>
    <w:rsid w:val="004C5767"/>
    <w:rsid w:val="004D5322"/>
    <w:rsid w:val="004D78B0"/>
    <w:rsid w:val="004E611F"/>
    <w:rsid w:val="004F2A79"/>
    <w:rsid w:val="004F4D37"/>
    <w:rsid w:val="00501A14"/>
    <w:rsid w:val="00501DE3"/>
    <w:rsid w:val="005058CB"/>
    <w:rsid w:val="0051044D"/>
    <w:rsid w:val="005139E4"/>
    <w:rsid w:val="00515075"/>
    <w:rsid w:val="00520FE9"/>
    <w:rsid w:val="005233E7"/>
    <w:rsid w:val="005328B2"/>
    <w:rsid w:val="00535BD5"/>
    <w:rsid w:val="00540977"/>
    <w:rsid w:val="00551668"/>
    <w:rsid w:val="005572D5"/>
    <w:rsid w:val="00566BE4"/>
    <w:rsid w:val="00570D21"/>
    <w:rsid w:val="00573856"/>
    <w:rsid w:val="00576113"/>
    <w:rsid w:val="00590652"/>
    <w:rsid w:val="0059235F"/>
    <w:rsid w:val="00596936"/>
    <w:rsid w:val="005A2F1E"/>
    <w:rsid w:val="005A4232"/>
    <w:rsid w:val="005C3616"/>
    <w:rsid w:val="005C5549"/>
    <w:rsid w:val="005C7094"/>
    <w:rsid w:val="005D36B2"/>
    <w:rsid w:val="005D52E7"/>
    <w:rsid w:val="005D78B5"/>
    <w:rsid w:val="005E3572"/>
    <w:rsid w:val="005E45E4"/>
    <w:rsid w:val="005F0A81"/>
    <w:rsid w:val="005F0FCF"/>
    <w:rsid w:val="0060042F"/>
    <w:rsid w:val="006008BC"/>
    <w:rsid w:val="00602CFD"/>
    <w:rsid w:val="00606B55"/>
    <w:rsid w:val="00611CD9"/>
    <w:rsid w:val="00612A7B"/>
    <w:rsid w:val="00616E5E"/>
    <w:rsid w:val="006173A4"/>
    <w:rsid w:val="00617E50"/>
    <w:rsid w:val="006205AD"/>
    <w:rsid w:val="00624B6D"/>
    <w:rsid w:val="00625C3A"/>
    <w:rsid w:val="00635DDB"/>
    <w:rsid w:val="0064149A"/>
    <w:rsid w:val="00646DFE"/>
    <w:rsid w:val="00650530"/>
    <w:rsid w:val="00650C96"/>
    <w:rsid w:val="00651645"/>
    <w:rsid w:val="00653788"/>
    <w:rsid w:val="0065477F"/>
    <w:rsid w:val="00656896"/>
    <w:rsid w:val="00661656"/>
    <w:rsid w:val="0066374F"/>
    <w:rsid w:val="006643E4"/>
    <w:rsid w:val="00677C65"/>
    <w:rsid w:val="00693152"/>
    <w:rsid w:val="00694822"/>
    <w:rsid w:val="00694FAE"/>
    <w:rsid w:val="00696E3A"/>
    <w:rsid w:val="006A0834"/>
    <w:rsid w:val="006A4BBD"/>
    <w:rsid w:val="006A52F1"/>
    <w:rsid w:val="006B561D"/>
    <w:rsid w:val="006B6D5D"/>
    <w:rsid w:val="006D2330"/>
    <w:rsid w:val="006E0F8B"/>
    <w:rsid w:val="006E12F7"/>
    <w:rsid w:val="006E29D7"/>
    <w:rsid w:val="007068A4"/>
    <w:rsid w:val="00706D67"/>
    <w:rsid w:val="00713052"/>
    <w:rsid w:val="00721367"/>
    <w:rsid w:val="007231FA"/>
    <w:rsid w:val="00732C67"/>
    <w:rsid w:val="00734418"/>
    <w:rsid w:val="0073669F"/>
    <w:rsid w:val="00746E26"/>
    <w:rsid w:val="00752150"/>
    <w:rsid w:val="00757826"/>
    <w:rsid w:val="007632B7"/>
    <w:rsid w:val="0076382F"/>
    <w:rsid w:val="00765768"/>
    <w:rsid w:val="00765D10"/>
    <w:rsid w:val="00766AC8"/>
    <w:rsid w:val="00767486"/>
    <w:rsid w:val="0077070E"/>
    <w:rsid w:val="0077296A"/>
    <w:rsid w:val="00774A33"/>
    <w:rsid w:val="00777CA4"/>
    <w:rsid w:val="00792DF0"/>
    <w:rsid w:val="0079347E"/>
    <w:rsid w:val="0079438F"/>
    <w:rsid w:val="007A1524"/>
    <w:rsid w:val="007A3034"/>
    <w:rsid w:val="007A527E"/>
    <w:rsid w:val="007A53E7"/>
    <w:rsid w:val="007A78F7"/>
    <w:rsid w:val="007B3333"/>
    <w:rsid w:val="007B379F"/>
    <w:rsid w:val="007B37D6"/>
    <w:rsid w:val="007B5D30"/>
    <w:rsid w:val="007D1E88"/>
    <w:rsid w:val="007D2920"/>
    <w:rsid w:val="007D42DD"/>
    <w:rsid w:val="007E6A37"/>
    <w:rsid w:val="007F1774"/>
    <w:rsid w:val="00802987"/>
    <w:rsid w:val="00811A70"/>
    <w:rsid w:val="0081406E"/>
    <w:rsid w:val="00832211"/>
    <w:rsid w:val="008325F4"/>
    <w:rsid w:val="00832AC8"/>
    <w:rsid w:val="00844981"/>
    <w:rsid w:val="00846FA4"/>
    <w:rsid w:val="008524BA"/>
    <w:rsid w:val="00852B74"/>
    <w:rsid w:val="00856928"/>
    <w:rsid w:val="00865538"/>
    <w:rsid w:val="00870875"/>
    <w:rsid w:val="0088225C"/>
    <w:rsid w:val="0088280F"/>
    <w:rsid w:val="00884026"/>
    <w:rsid w:val="00884C78"/>
    <w:rsid w:val="008859E1"/>
    <w:rsid w:val="00896264"/>
    <w:rsid w:val="008A5D88"/>
    <w:rsid w:val="008B2851"/>
    <w:rsid w:val="008B6532"/>
    <w:rsid w:val="008C000E"/>
    <w:rsid w:val="008D0F2F"/>
    <w:rsid w:val="008D237F"/>
    <w:rsid w:val="008D6B05"/>
    <w:rsid w:val="008E7D2D"/>
    <w:rsid w:val="008F44C0"/>
    <w:rsid w:val="008F5999"/>
    <w:rsid w:val="00903AD6"/>
    <w:rsid w:val="00904D7A"/>
    <w:rsid w:val="00911392"/>
    <w:rsid w:val="00915332"/>
    <w:rsid w:val="009204BB"/>
    <w:rsid w:val="0092166E"/>
    <w:rsid w:val="00935918"/>
    <w:rsid w:val="00935EC3"/>
    <w:rsid w:val="00941EF1"/>
    <w:rsid w:val="00951097"/>
    <w:rsid w:val="00952EFD"/>
    <w:rsid w:val="00953C1E"/>
    <w:rsid w:val="00954F4C"/>
    <w:rsid w:val="0096210F"/>
    <w:rsid w:val="00962633"/>
    <w:rsid w:val="00963187"/>
    <w:rsid w:val="00963ACF"/>
    <w:rsid w:val="00963D1C"/>
    <w:rsid w:val="00964284"/>
    <w:rsid w:val="0097028A"/>
    <w:rsid w:val="00973BD6"/>
    <w:rsid w:val="00976B80"/>
    <w:rsid w:val="00984549"/>
    <w:rsid w:val="00985D28"/>
    <w:rsid w:val="00991BF0"/>
    <w:rsid w:val="009A0FB1"/>
    <w:rsid w:val="009A1FAC"/>
    <w:rsid w:val="009B001A"/>
    <w:rsid w:val="009B0143"/>
    <w:rsid w:val="009B1A62"/>
    <w:rsid w:val="009C3CC7"/>
    <w:rsid w:val="009C4EA1"/>
    <w:rsid w:val="009C5863"/>
    <w:rsid w:val="009D2057"/>
    <w:rsid w:val="009D3D6C"/>
    <w:rsid w:val="009D5551"/>
    <w:rsid w:val="009D62DB"/>
    <w:rsid w:val="009E3B42"/>
    <w:rsid w:val="00A05B60"/>
    <w:rsid w:val="00A13266"/>
    <w:rsid w:val="00A14FA6"/>
    <w:rsid w:val="00A15D64"/>
    <w:rsid w:val="00A20575"/>
    <w:rsid w:val="00A32452"/>
    <w:rsid w:val="00A32BBF"/>
    <w:rsid w:val="00A37444"/>
    <w:rsid w:val="00A4281A"/>
    <w:rsid w:val="00A459CF"/>
    <w:rsid w:val="00A5014D"/>
    <w:rsid w:val="00A53E96"/>
    <w:rsid w:val="00A56F18"/>
    <w:rsid w:val="00A628F8"/>
    <w:rsid w:val="00A62BAA"/>
    <w:rsid w:val="00A66172"/>
    <w:rsid w:val="00A744C3"/>
    <w:rsid w:val="00A933B1"/>
    <w:rsid w:val="00AA70AB"/>
    <w:rsid w:val="00AB0B9F"/>
    <w:rsid w:val="00AB1713"/>
    <w:rsid w:val="00AB63BE"/>
    <w:rsid w:val="00AC1EBC"/>
    <w:rsid w:val="00AC2599"/>
    <w:rsid w:val="00AC2DE9"/>
    <w:rsid w:val="00AD2C5F"/>
    <w:rsid w:val="00AE1481"/>
    <w:rsid w:val="00AE27F9"/>
    <w:rsid w:val="00AE77DB"/>
    <w:rsid w:val="00AF4892"/>
    <w:rsid w:val="00AF7453"/>
    <w:rsid w:val="00B00FFF"/>
    <w:rsid w:val="00B06084"/>
    <w:rsid w:val="00B1150E"/>
    <w:rsid w:val="00B16735"/>
    <w:rsid w:val="00B17EDE"/>
    <w:rsid w:val="00B22585"/>
    <w:rsid w:val="00B33693"/>
    <w:rsid w:val="00B34C53"/>
    <w:rsid w:val="00B507A5"/>
    <w:rsid w:val="00B52475"/>
    <w:rsid w:val="00B535DA"/>
    <w:rsid w:val="00B56DCC"/>
    <w:rsid w:val="00B56F54"/>
    <w:rsid w:val="00B638C2"/>
    <w:rsid w:val="00B758AB"/>
    <w:rsid w:val="00B76277"/>
    <w:rsid w:val="00B772AB"/>
    <w:rsid w:val="00B80395"/>
    <w:rsid w:val="00B80B56"/>
    <w:rsid w:val="00B86372"/>
    <w:rsid w:val="00B948DE"/>
    <w:rsid w:val="00B96D62"/>
    <w:rsid w:val="00BA1C17"/>
    <w:rsid w:val="00BA1D65"/>
    <w:rsid w:val="00BB3B4D"/>
    <w:rsid w:val="00BB69F7"/>
    <w:rsid w:val="00BC351E"/>
    <w:rsid w:val="00BC3F77"/>
    <w:rsid w:val="00BC5635"/>
    <w:rsid w:val="00BC5675"/>
    <w:rsid w:val="00BD081C"/>
    <w:rsid w:val="00BD2680"/>
    <w:rsid w:val="00BD277B"/>
    <w:rsid w:val="00BD47CA"/>
    <w:rsid w:val="00BD62C7"/>
    <w:rsid w:val="00BE020D"/>
    <w:rsid w:val="00BE354A"/>
    <w:rsid w:val="00BF5EEF"/>
    <w:rsid w:val="00C02553"/>
    <w:rsid w:val="00C03299"/>
    <w:rsid w:val="00C04EB6"/>
    <w:rsid w:val="00C056F9"/>
    <w:rsid w:val="00C1018C"/>
    <w:rsid w:val="00C1150E"/>
    <w:rsid w:val="00C14D52"/>
    <w:rsid w:val="00C2586C"/>
    <w:rsid w:val="00C26001"/>
    <w:rsid w:val="00C27FFC"/>
    <w:rsid w:val="00C32DB4"/>
    <w:rsid w:val="00C34E72"/>
    <w:rsid w:val="00C56B1F"/>
    <w:rsid w:val="00C61B52"/>
    <w:rsid w:val="00C62745"/>
    <w:rsid w:val="00C654CA"/>
    <w:rsid w:val="00C722C9"/>
    <w:rsid w:val="00C763BD"/>
    <w:rsid w:val="00C779A8"/>
    <w:rsid w:val="00C82E19"/>
    <w:rsid w:val="00C96873"/>
    <w:rsid w:val="00C9749E"/>
    <w:rsid w:val="00CA1735"/>
    <w:rsid w:val="00CA3C4B"/>
    <w:rsid w:val="00CA7252"/>
    <w:rsid w:val="00CB2C5A"/>
    <w:rsid w:val="00CE0C1C"/>
    <w:rsid w:val="00CE34AF"/>
    <w:rsid w:val="00CF00A4"/>
    <w:rsid w:val="00CF25FB"/>
    <w:rsid w:val="00CF614C"/>
    <w:rsid w:val="00D02F34"/>
    <w:rsid w:val="00D13D87"/>
    <w:rsid w:val="00D16590"/>
    <w:rsid w:val="00D20720"/>
    <w:rsid w:val="00D250D9"/>
    <w:rsid w:val="00D27533"/>
    <w:rsid w:val="00D42DA3"/>
    <w:rsid w:val="00D4546D"/>
    <w:rsid w:val="00D47996"/>
    <w:rsid w:val="00D61118"/>
    <w:rsid w:val="00D614F1"/>
    <w:rsid w:val="00D66A9A"/>
    <w:rsid w:val="00D70D50"/>
    <w:rsid w:val="00D71917"/>
    <w:rsid w:val="00D813EB"/>
    <w:rsid w:val="00D81DBA"/>
    <w:rsid w:val="00D94025"/>
    <w:rsid w:val="00DA3A0F"/>
    <w:rsid w:val="00DA4E62"/>
    <w:rsid w:val="00DA6990"/>
    <w:rsid w:val="00DB0351"/>
    <w:rsid w:val="00DB27BA"/>
    <w:rsid w:val="00DB337A"/>
    <w:rsid w:val="00DC51CB"/>
    <w:rsid w:val="00DD4819"/>
    <w:rsid w:val="00DD4B8A"/>
    <w:rsid w:val="00DD5403"/>
    <w:rsid w:val="00DE1388"/>
    <w:rsid w:val="00DE7501"/>
    <w:rsid w:val="00DF3146"/>
    <w:rsid w:val="00DF57C3"/>
    <w:rsid w:val="00E008D9"/>
    <w:rsid w:val="00E02FE0"/>
    <w:rsid w:val="00E07ABE"/>
    <w:rsid w:val="00E11A3F"/>
    <w:rsid w:val="00E1386E"/>
    <w:rsid w:val="00E2369B"/>
    <w:rsid w:val="00E23EC0"/>
    <w:rsid w:val="00E315D9"/>
    <w:rsid w:val="00E354AA"/>
    <w:rsid w:val="00E41AD0"/>
    <w:rsid w:val="00E43D54"/>
    <w:rsid w:val="00E442FB"/>
    <w:rsid w:val="00E51DBD"/>
    <w:rsid w:val="00E529DB"/>
    <w:rsid w:val="00E536BB"/>
    <w:rsid w:val="00E5382B"/>
    <w:rsid w:val="00E53A5E"/>
    <w:rsid w:val="00E6466A"/>
    <w:rsid w:val="00E72221"/>
    <w:rsid w:val="00E83428"/>
    <w:rsid w:val="00E84C58"/>
    <w:rsid w:val="00E861A0"/>
    <w:rsid w:val="00E873A5"/>
    <w:rsid w:val="00E90D11"/>
    <w:rsid w:val="00E915E5"/>
    <w:rsid w:val="00EB0367"/>
    <w:rsid w:val="00EB4FB9"/>
    <w:rsid w:val="00EB5BC8"/>
    <w:rsid w:val="00EB6821"/>
    <w:rsid w:val="00EC2738"/>
    <w:rsid w:val="00ED7B42"/>
    <w:rsid w:val="00EE3EA5"/>
    <w:rsid w:val="00EE613F"/>
    <w:rsid w:val="00EE6BD1"/>
    <w:rsid w:val="00EF0262"/>
    <w:rsid w:val="00EF0828"/>
    <w:rsid w:val="00EF6F8B"/>
    <w:rsid w:val="00F03898"/>
    <w:rsid w:val="00F1527A"/>
    <w:rsid w:val="00F2696B"/>
    <w:rsid w:val="00F27821"/>
    <w:rsid w:val="00F30E82"/>
    <w:rsid w:val="00F33D55"/>
    <w:rsid w:val="00F4092A"/>
    <w:rsid w:val="00F41F69"/>
    <w:rsid w:val="00F43E41"/>
    <w:rsid w:val="00F4790C"/>
    <w:rsid w:val="00F50C4B"/>
    <w:rsid w:val="00F54C08"/>
    <w:rsid w:val="00F553A2"/>
    <w:rsid w:val="00F6068C"/>
    <w:rsid w:val="00F62F33"/>
    <w:rsid w:val="00F63A52"/>
    <w:rsid w:val="00F730BA"/>
    <w:rsid w:val="00F903BE"/>
    <w:rsid w:val="00F908E6"/>
    <w:rsid w:val="00F95D04"/>
    <w:rsid w:val="00FA16EC"/>
    <w:rsid w:val="00FA2811"/>
    <w:rsid w:val="00FA4837"/>
    <w:rsid w:val="00FB1D33"/>
    <w:rsid w:val="00FB5E96"/>
    <w:rsid w:val="00FC05A0"/>
    <w:rsid w:val="00FC3FA8"/>
    <w:rsid w:val="00FC6758"/>
    <w:rsid w:val="00FD34EA"/>
    <w:rsid w:val="00FE2CB0"/>
    <w:rsid w:val="00FE3F3E"/>
    <w:rsid w:val="00FE4D52"/>
    <w:rsid w:val="00FE5AEE"/>
    <w:rsid w:val="00FE7B7F"/>
    <w:rsid w:val="00FF106B"/>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styleId="CommentReference">
    <w:name w:val="annotation reference"/>
    <w:basedOn w:val="DefaultParagraphFont"/>
    <w:uiPriority w:val="99"/>
    <w:semiHidden/>
    <w:unhideWhenUsed/>
    <w:rsid w:val="00941EF1"/>
    <w:rPr>
      <w:sz w:val="16"/>
      <w:szCs w:val="16"/>
    </w:rPr>
  </w:style>
  <w:style w:type="paragraph" w:styleId="CommentSubject">
    <w:name w:val="annotation subject"/>
    <w:basedOn w:val="CommentText"/>
    <w:next w:val="CommentText"/>
    <w:link w:val="CommentSubjectChar"/>
    <w:uiPriority w:val="99"/>
    <w:semiHidden/>
    <w:unhideWhenUsed/>
    <w:rsid w:val="00941EF1"/>
    <w:rPr>
      <w:b/>
      <w:bCs/>
    </w:rPr>
  </w:style>
  <w:style w:type="character" w:customStyle="1" w:styleId="CommentTextChar">
    <w:name w:val="Comment Text Char"/>
    <w:basedOn w:val="DefaultParagraphFont"/>
    <w:link w:val="CommentText"/>
    <w:semiHidden/>
    <w:rsid w:val="00941EF1"/>
    <w:rPr>
      <w:rFonts w:ascii="Arial" w:hAnsi="Arial"/>
    </w:rPr>
  </w:style>
  <w:style w:type="character" w:customStyle="1" w:styleId="CommentSubjectChar">
    <w:name w:val="Comment Subject Char"/>
    <w:basedOn w:val="CommentTextChar"/>
    <w:link w:val="CommentSubject"/>
    <w:uiPriority w:val="99"/>
    <w:semiHidden/>
    <w:rsid w:val="00941EF1"/>
    <w:rPr>
      <w:rFonts w:ascii="Arial" w:hAnsi="Arial"/>
      <w:b/>
      <w:bCs/>
    </w:rPr>
  </w:style>
  <w:style w:type="paragraph" w:styleId="Revision">
    <w:name w:val="Revision"/>
    <w:hidden/>
    <w:uiPriority w:val="99"/>
    <w:semiHidden/>
    <w:rsid w:val="00BB69F7"/>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ldefense.com/v3/__https:/mydss.mo.gov/mhd/pharmacy-clinical-edits-pdl__;!!Mh0G0HQJXw!Ftntf4uiw5MU21pklbS14xE_VFdv-QswbQ7Ygqy9IP_XiQhNonJ128hUnwn9QwwCXMNzvL5FA68XQFxs84P4HiFCuNFmnaq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c626da6d0afa7058de7cd05ed520ec03">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81c9995cbbe671f8198193bc0cf7741c"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2.xml><?xml version="1.0" encoding="utf-8"?>
<ds:datastoreItem xmlns:ds="http://schemas.openxmlformats.org/officeDocument/2006/customXml" ds:itemID="{C15E0675-4917-4607-9FD6-26DDD981A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9992BC-7C11-4A83-A97F-D2E41AE80BFC}">
  <ds:schemaRefs>
    <ds:schemaRef ds:uri="http://schemas.openxmlformats.org/package/2006/metadata/core-properties"/>
    <ds:schemaRef ds:uri="http://www.w3.org/XML/1998/namespace"/>
    <ds:schemaRef ds:uri="http://purl.org/dc/dcmitype/"/>
    <ds:schemaRef ds:uri="aba01ddc-ae9a-4c9e-819c-7140b4239cde"/>
    <ds:schemaRef ds:uri="http://purl.org/dc/elements/1.1/"/>
    <ds:schemaRef ds:uri="http://schemas.microsoft.com/office/2006/documentManagement/types"/>
    <ds:schemaRef ds:uri="http://schemas.microsoft.com/office/infopath/2007/PartnerControls"/>
    <ds:schemaRef ds:uri="http://schemas.microsoft.com/office/2006/metadata/properties"/>
    <ds:schemaRef ds:uri="f5eefb00-5952-4f7e-8cf8-96f81cfadd01"/>
    <ds:schemaRef ds:uri="http://schemas.microsoft.com/sharepoint/v3"/>
    <ds:schemaRef ds:uri="http://purl.org/dc/terms/"/>
  </ds:schemaRefs>
</ds:datastoreItem>
</file>

<file path=customXml/itemProps4.xml><?xml version="1.0" encoding="utf-8"?>
<ds:datastoreItem xmlns:ds="http://schemas.openxmlformats.org/officeDocument/2006/customXml" ds:itemID="{20443CD0-BAC0-4286-8661-ED5329119F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832</Words>
  <Characters>4974</Characters>
  <Application>Microsoft Office Word</Application>
  <DocSecurity>0</DocSecurity>
  <Lines>127</Lines>
  <Paragraphs>91</Paragraphs>
  <ScaleCrop>false</ScaleCrop>
  <HeadingPairs>
    <vt:vector size="2" baseType="variant">
      <vt:variant>
        <vt:lpstr>Title</vt:lpstr>
      </vt:variant>
      <vt:variant>
        <vt:i4>1</vt:i4>
      </vt:variant>
    </vt:vector>
  </HeadingPairs>
  <TitlesOfParts>
    <vt:vector size="1" baseType="lpstr">
      <vt:lpstr>PDL Edit Template</vt:lpstr>
    </vt:vector>
  </TitlesOfParts>
  <Company>DSS</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Anti-Migraine, Alternative Agents PDL Edit</dc:title>
  <dc:creator>DMS</dc:creator>
  <cp:lastModifiedBy>Dolan, John</cp:lastModifiedBy>
  <cp:revision>69</cp:revision>
  <cp:lastPrinted>2018-10-31T20:17:00Z</cp:lastPrinted>
  <dcterms:created xsi:type="dcterms:W3CDTF">2025-09-19T16:48:00Z</dcterms:created>
  <dcterms:modified xsi:type="dcterms:W3CDTF">2025-12-17T19:48:00Z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