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D9BFAE6" w:rsidR="00AE77DB" w:rsidRPr="00F1632C" w:rsidRDefault="004829D4" w:rsidP="00D02F34">
      <w:pPr>
        <w:pStyle w:val="Heading1"/>
        <w:rPr>
          <w:color w:val="002060"/>
          <w:lang w:val="en-US"/>
        </w:rPr>
      </w:pPr>
      <w:r w:rsidRPr="00F1632C">
        <w:rPr>
          <w:color w:val="002060"/>
          <w:lang w:val="en-US"/>
        </w:rPr>
        <w:t>New Drug Fact Blast</w:t>
      </w:r>
    </w:p>
    <w:p w14:paraId="61ABCEEA" w14:textId="525A4A59" w:rsidR="004829D4" w:rsidRPr="004829D4" w:rsidRDefault="004829D4" w:rsidP="004829D4"/>
    <w:p w14:paraId="6413BFE7" w14:textId="506D81F7" w:rsidR="00AE77DB" w:rsidRPr="00C02553" w:rsidRDefault="00AE77DB" w:rsidP="00074464">
      <w:pPr>
        <w:rPr>
          <w:rFonts w:cs="Arial"/>
          <w:b/>
          <w:spacing w:val="-3"/>
          <w:szCs w:val="20"/>
        </w:rPr>
      </w:pPr>
    </w:p>
    <w:p w14:paraId="36D838E1" w14:textId="1B0F2B20" w:rsidR="00507DA1" w:rsidRDefault="1692D195" w:rsidP="1DC144F9">
      <w:pPr>
        <w:pStyle w:val="tbody"/>
        <w:rPr>
          <w:b w:val="0"/>
          <w:i/>
          <w:iCs/>
          <w:sz w:val="18"/>
          <w:szCs w:val="18"/>
        </w:rPr>
      </w:pPr>
      <w:r>
        <w:t>Drug/Manufacturer:</w:t>
      </w:r>
      <w:r w:rsidR="78C3ED1E">
        <w:t xml:space="preserve"> </w:t>
      </w:r>
      <w:r w:rsidR="00613BFB" w:rsidRPr="00613BFB">
        <w:t>Ekterly</w:t>
      </w:r>
      <w:r w:rsidR="00613BFB" w:rsidRPr="00613BFB">
        <w:rPr>
          <w:vertAlign w:val="superscript"/>
        </w:rPr>
        <w:t>®</w:t>
      </w:r>
      <w:r w:rsidR="00613BFB" w:rsidRPr="00613BFB">
        <w:t xml:space="preserve"> (sebetralstat) [KalVista Pharmaceuticals, Inc.] </w:t>
      </w:r>
      <w:r w:rsidR="00613BFB" w:rsidRPr="00613BFB">
        <w:rPr>
          <w:b w:val="0"/>
          <w:bCs/>
          <w:i/>
          <w:iCs/>
        </w:rPr>
        <w:t>(ek-TURR-lee)</w:t>
      </w:r>
    </w:p>
    <w:p w14:paraId="21AB3CE2" w14:textId="6EFC331C" w:rsidR="1692D195" w:rsidRDefault="1692D195" w:rsidP="1DC144F9">
      <w:pPr>
        <w:pStyle w:val="tbody"/>
      </w:pPr>
      <w:r>
        <w:t>Dosage Formulations:</w:t>
      </w:r>
      <w:r w:rsidR="78C3ED1E">
        <w:rPr>
          <w:b w:val="0"/>
        </w:rPr>
        <w:t xml:space="preserve"> </w:t>
      </w:r>
      <w:r w:rsidR="00613BFB" w:rsidRPr="00613BFB">
        <w:rPr>
          <w:b w:val="0"/>
        </w:rPr>
        <w:t>300</w:t>
      </w:r>
      <w:r w:rsidR="00C42487">
        <w:rPr>
          <w:b w:val="0"/>
        </w:rPr>
        <w:t xml:space="preserve"> </w:t>
      </w:r>
      <w:r w:rsidR="00613BFB" w:rsidRPr="00613BFB">
        <w:rPr>
          <w:b w:val="0"/>
        </w:rPr>
        <w:t>mg oral tablet</w:t>
      </w:r>
    </w:p>
    <w:p w14:paraId="6587D11D" w14:textId="667CBE3E" w:rsidR="00507DA1" w:rsidRDefault="00CE4651" w:rsidP="00CE4651">
      <w:pPr>
        <w:pStyle w:val="tbody"/>
      </w:pPr>
      <w:r>
        <w:t xml:space="preserve">FDA Approval Date: </w:t>
      </w:r>
      <w:r w:rsidR="00613BFB" w:rsidRPr="00613BFB">
        <w:rPr>
          <w:b w:val="0"/>
          <w:bCs/>
        </w:rPr>
        <w:t>July 3, 2025</w:t>
      </w:r>
    </w:p>
    <w:p w14:paraId="4BEA5866" w14:textId="4B0BBD76" w:rsidR="00CE4651" w:rsidRDefault="00507DA1" w:rsidP="00CE4651">
      <w:pPr>
        <w:pStyle w:val="tbody"/>
      </w:pPr>
      <w:r>
        <w:t>F</w:t>
      </w:r>
      <w:r w:rsidR="00CE4651">
        <w:t>DB File Date</w:t>
      </w:r>
      <w:r w:rsidR="00613BFB">
        <w:t xml:space="preserve">: </w:t>
      </w:r>
      <w:r w:rsidR="00613BFB" w:rsidRPr="00613BFB">
        <w:rPr>
          <w:b w:val="0"/>
          <w:bCs/>
        </w:rPr>
        <w:t>August 7, 2025</w:t>
      </w:r>
    </w:p>
    <w:p w14:paraId="2726A013" w14:textId="125D943C" w:rsidR="004C5767" w:rsidRPr="00C02553" w:rsidRDefault="004C5767" w:rsidP="00CE4651">
      <w:pPr>
        <w:pStyle w:val="tbody"/>
      </w:pPr>
      <w:r w:rsidRPr="00C02553">
        <w:t xml:space="preserve">Prepared For: </w:t>
      </w:r>
      <w:r w:rsidR="00EE613F" w:rsidRPr="00D27533">
        <w:rPr>
          <w:b w:val="0"/>
          <w:bCs/>
        </w:rPr>
        <w:t>MO HealthNet</w:t>
      </w:r>
      <w:r w:rsidRPr="00C02553">
        <w:tab/>
      </w:r>
    </w:p>
    <w:p w14:paraId="0FD7BA18" w14:textId="5244A7E2" w:rsidR="004C5767" w:rsidRPr="00C02553" w:rsidRDefault="004C5767" w:rsidP="00D27533">
      <w:pPr>
        <w:pStyle w:val="tbody"/>
      </w:pPr>
      <w:r w:rsidRPr="00C02553">
        <w:t xml:space="preserve">Prepared By: </w:t>
      </w:r>
      <w:r w:rsidR="00303B21" w:rsidRPr="00D27533">
        <w:rPr>
          <w:b w:val="0"/>
          <w:bCs/>
        </w:rPr>
        <w:t>Conduent</w:t>
      </w:r>
      <w:r w:rsidR="00507DA1">
        <w:rPr>
          <w:b w:val="0"/>
          <w:bCs/>
        </w:rPr>
        <w:t xml:space="preserve"> Clinical Services</w:t>
      </w:r>
      <w:r w:rsidRPr="00C02553">
        <w:tab/>
      </w:r>
    </w:p>
    <w:p w14:paraId="03479354" w14:textId="77777777" w:rsidR="004C5767" w:rsidRPr="002C2C41" w:rsidRDefault="004C5767" w:rsidP="00E23EC0">
      <w:pPr>
        <w:rPr>
          <w:rFonts w:cs="Arial"/>
          <w:szCs w:val="20"/>
        </w:rPr>
      </w:pPr>
    </w:p>
    <w:p w14:paraId="6413BFE9" w14:textId="01575574" w:rsidR="00AE77DB" w:rsidRPr="00F1632C" w:rsidRDefault="0F2EF9AC" w:rsidP="00F1632C">
      <w:pPr>
        <w:pStyle w:val="Heading1"/>
        <w:jc w:val="left"/>
        <w:rPr>
          <w:color w:val="002060"/>
          <w:spacing w:val="-3"/>
          <w:sz w:val="32"/>
          <w:szCs w:val="32"/>
          <w:lang w:val="en-US"/>
        </w:rPr>
      </w:pPr>
      <w:r w:rsidRPr="00F1632C">
        <w:rPr>
          <w:color w:val="002060"/>
          <w:sz w:val="32"/>
          <w:szCs w:val="32"/>
          <w:lang w:val="en-US"/>
        </w:rPr>
        <w:t>Indication</w:t>
      </w:r>
    </w:p>
    <w:p w14:paraId="6D696800" w14:textId="303A2CF9" w:rsidR="00E23EC0" w:rsidRPr="002C2C41" w:rsidRDefault="00613BFB" w:rsidP="1DC144F9">
      <w:pPr>
        <w:rPr>
          <w:rFonts w:cs="Arial"/>
          <w:spacing w:val="-3"/>
        </w:rPr>
      </w:pPr>
      <w:r w:rsidRPr="00613BFB">
        <w:rPr>
          <w:rFonts w:cs="Arial"/>
          <w:spacing w:val="-3"/>
        </w:rPr>
        <w:t>Ekterly is a plasma kallikrein inhibitor indicated for the treatment of acute attacks of hereditary angioedema (HAE) in adult and pediatric patients aged 12 years and older.</w:t>
      </w:r>
    </w:p>
    <w:p w14:paraId="51136309" w14:textId="0293E146" w:rsidR="1DC144F9" w:rsidRDefault="1DC144F9" w:rsidP="1DC144F9">
      <w:pPr>
        <w:rPr>
          <w:rFonts w:cs="Arial"/>
        </w:rPr>
      </w:pPr>
    </w:p>
    <w:p w14:paraId="7F2A9816" w14:textId="0960EDE1" w:rsidR="005328B2" w:rsidRPr="00F1632C" w:rsidRDefault="77EC644F" w:rsidP="00F1632C">
      <w:pPr>
        <w:pStyle w:val="Heading1"/>
        <w:jc w:val="left"/>
        <w:rPr>
          <w:color w:val="002060"/>
          <w:sz w:val="32"/>
          <w:szCs w:val="32"/>
          <w:lang w:val="en-US"/>
        </w:rPr>
      </w:pPr>
      <w:r w:rsidRPr="00F1632C">
        <w:rPr>
          <w:color w:val="002060"/>
          <w:sz w:val="32"/>
          <w:szCs w:val="32"/>
          <w:lang w:val="en-US"/>
        </w:rPr>
        <w:t>Mechanism of Action</w:t>
      </w:r>
    </w:p>
    <w:p w14:paraId="0B0C0D72" w14:textId="7D4D8B34" w:rsidR="005328B2" w:rsidRDefault="00613BFB" w:rsidP="0064149A">
      <w:r w:rsidRPr="00613BFB">
        <w:t>Ekterly is a competitive, reversible inhibitor of plasma kallikrein. Plasma kallikrein normally cleaves high molecular weight kininogen (HK) to release bradykinin, which increases vascular permeability through activation of bradykinin receptors and results in edema. By inhibiting kallikrein, Ekterly prevents the cleavage of HK and reduces bradykinin production, thereby treating the symptoms of an acute HAE attack. Inhibition of plasma kallikrein also disrupts the positive feedback loop of the kallikrein-kinin system, decreasing factor XIIa–mediated generation of additional kallikrein.</w:t>
      </w:r>
    </w:p>
    <w:p w14:paraId="46F88EFE" w14:textId="77777777" w:rsidR="00826902" w:rsidRDefault="00826902" w:rsidP="0064149A"/>
    <w:p w14:paraId="5E2F7885" w14:textId="405DB26C" w:rsidR="00826902" w:rsidRPr="00826902" w:rsidRDefault="00826902" w:rsidP="00826902">
      <w:pPr>
        <w:pStyle w:val="Heading1"/>
        <w:jc w:val="left"/>
        <w:rPr>
          <w:color w:val="002060"/>
          <w:sz w:val="32"/>
          <w:szCs w:val="32"/>
        </w:rPr>
      </w:pPr>
      <w:r w:rsidRPr="00324CA2">
        <w:rPr>
          <w:color w:val="002060"/>
          <w:sz w:val="32"/>
          <w:szCs w:val="32"/>
        </w:rPr>
        <w:t>Dose/</w:t>
      </w:r>
      <w:r w:rsidR="00324CA2">
        <w:rPr>
          <w:color w:val="002060"/>
          <w:sz w:val="32"/>
          <w:szCs w:val="32"/>
        </w:rPr>
        <w:t xml:space="preserve"> </w:t>
      </w:r>
      <w:r w:rsidRPr="00324CA2">
        <w:rPr>
          <w:color w:val="002060"/>
          <w:sz w:val="32"/>
          <w:szCs w:val="32"/>
        </w:rPr>
        <w:t xml:space="preserve">Administration </w:t>
      </w:r>
    </w:p>
    <w:p w14:paraId="13746149" w14:textId="2CEFC6DB" w:rsidR="00826902" w:rsidRPr="00023F48" w:rsidRDefault="00826902" w:rsidP="00D232B4">
      <w:pPr>
        <w:pStyle w:val="ListParagraph"/>
        <w:numPr>
          <w:ilvl w:val="0"/>
          <w:numId w:val="42"/>
        </w:numPr>
        <w:ind w:left="360"/>
        <w:rPr>
          <w:bCs/>
          <w:szCs w:val="20"/>
          <w:lang w:val="it-IT"/>
        </w:rPr>
      </w:pPr>
      <w:r w:rsidRPr="00023F48">
        <w:rPr>
          <w:bCs/>
          <w:szCs w:val="20"/>
          <w:lang w:val="it-IT"/>
        </w:rPr>
        <w:t>Recommended Dosage: one dose of 600 mg (</w:t>
      </w:r>
      <w:r w:rsidR="00023F48" w:rsidRPr="00023F48">
        <w:rPr>
          <w:bCs/>
          <w:szCs w:val="20"/>
          <w:lang w:val="it-IT"/>
        </w:rPr>
        <w:t>two</w:t>
      </w:r>
      <w:r w:rsidRPr="00023F48">
        <w:rPr>
          <w:bCs/>
          <w:szCs w:val="20"/>
          <w:lang w:val="it-IT"/>
        </w:rPr>
        <w:t xml:space="preserve"> tablets) taken orally at</w:t>
      </w:r>
      <w:r w:rsidR="00023F48" w:rsidRPr="00023F48">
        <w:rPr>
          <w:bCs/>
          <w:szCs w:val="20"/>
          <w:lang w:val="it-IT"/>
        </w:rPr>
        <w:t xml:space="preserve"> </w:t>
      </w:r>
      <w:r w:rsidRPr="00023F48">
        <w:rPr>
          <w:bCs/>
          <w:szCs w:val="20"/>
          <w:lang w:val="it-IT"/>
        </w:rPr>
        <w:t xml:space="preserve">the earliest recognition of an HAE attack. </w:t>
      </w:r>
    </w:p>
    <w:p w14:paraId="0D9D873A" w14:textId="47ED48DF" w:rsidR="00826902" w:rsidRPr="00023F48" w:rsidRDefault="00826902" w:rsidP="00D232B4">
      <w:pPr>
        <w:pStyle w:val="ListParagraph"/>
        <w:numPr>
          <w:ilvl w:val="1"/>
          <w:numId w:val="42"/>
        </w:numPr>
        <w:ind w:left="720"/>
        <w:rPr>
          <w:bCs/>
          <w:szCs w:val="20"/>
          <w:lang w:val="it-IT"/>
        </w:rPr>
      </w:pPr>
      <w:r w:rsidRPr="00826902">
        <w:rPr>
          <w:bCs/>
          <w:szCs w:val="20"/>
          <w:lang w:val="it-IT"/>
        </w:rPr>
        <w:t>A second dose of 600 mg (</w:t>
      </w:r>
      <w:r w:rsidR="00023F48">
        <w:rPr>
          <w:bCs/>
          <w:szCs w:val="20"/>
          <w:lang w:val="it-IT"/>
        </w:rPr>
        <w:t>two</w:t>
      </w:r>
      <w:r w:rsidRPr="00826902">
        <w:rPr>
          <w:bCs/>
          <w:szCs w:val="20"/>
          <w:lang w:val="it-IT"/>
        </w:rPr>
        <w:t xml:space="preserve"> tablets) may be taken 3 hours after</w:t>
      </w:r>
      <w:r w:rsidR="00023F48">
        <w:rPr>
          <w:bCs/>
          <w:szCs w:val="20"/>
          <w:lang w:val="it-IT"/>
        </w:rPr>
        <w:t xml:space="preserve"> </w:t>
      </w:r>
      <w:r w:rsidRPr="00023F48">
        <w:rPr>
          <w:bCs/>
          <w:szCs w:val="20"/>
          <w:lang w:val="it-IT"/>
        </w:rPr>
        <w:t>the first dose if response is inadequate, or if symptoms worsen or</w:t>
      </w:r>
      <w:r w:rsidR="00023F48">
        <w:rPr>
          <w:bCs/>
          <w:szCs w:val="20"/>
          <w:lang w:val="it-IT"/>
        </w:rPr>
        <w:t xml:space="preserve"> </w:t>
      </w:r>
      <w:r w:rsidRPr="00023F48">
        <w:rPr>
          <w:bCs/>
          <w:szCs w:val="20"/>
          <w:lang w:val="it-IT"/>
        </w:rPr>
        <w:t xml:space="preserve">recur. </w:t>
      </w:r>
    </w:p>
    <w:p w14:paraId="7E4C052F" w14:textId="21B947A1" w:rsidR="00826902" w:rsidRDefault="00826902" w:rsidP="00D232B4">
      <w:pPr>
        <w:pStyle w:val="ListParagraph"/>
        <w:numPr>
          <w:ilvl w:val="1"/>
          <w:numId w:val="42"/>
        </w:numPr>
        <w:tabs>
          <w:tab w:val="left" w:pos="810"/>
        </w:tabs>
        <w:ind w:left="720"/>
        <w:rPr>
          <w:bCs/>
          <w:szCs w:val="20"/>
          <w:lang w:val="it-IT"/>
        </w:rPr>
      </w:pPr>
      <w:r w:rsidRPr="00826902">
        <w:rPr>
          <w:bCs/>
          <w:szCs w:val="20"/>
          <w:lang w:val="it-IT"/>
        </w:rPr>
        <w:t xml:space="preserve">Maximum Recommended Dosage: 1,200 mg in </w:t>
      </w:r>
      <w:r w:rsidR="00023F48">
        <w:rPr>
          <w:bCs/>
          <w:szCs w:val="20"/>
          <w:lang w:val="it-IT"/>
        </w:rPr>
        <w:t>a</w:t>
      </w:r>
      <w:r w:rsidRPr="00826902">
        <w:rPr>
          <w:bCs/>
          <w:szCs w:val="20"/>
          <w:lang w:val="it-IT"/>
        </w:rPr>
        <w:t xml:space="preserve"> 24-hour</w:t>
      </w:r>
      <w:r w:rsidR="00023F48">
        <w:rPr>
          <w:bCs/>
          <w:szCs w:val="20"/>
          <w:lang w:val="it-IT"/>
        </w:rPr>
        <w:t xml:space="preserve"> </w:t>
      </w:r>
      <w:r w:rsidRPr="00023F48">
        <w:rPr>
          <w:bCs/>
          <w:szCs w:val="20"/>
          <w:lang w:val="it-IT"/>
        </w:rPr>
        <w:t>period</w:t>
      </w:r>
      <w:r w:rsidR="00023F48">
        <w:rPr>
          <w:bCs/>
          <w:szCs w:val="20"/>
          <w:lang w:val="it-IT"/>
        </w:rPr>
        <w:t>.</w:t>
      </w:r>
    </w:p>
    <w:p w14:paraId="6623D0D8" w14:textId="1AD8ABFB" w:rsidR="00023F48" w:rsidRDefault="00023F48" w:rsidP="00D232B4">
      <w:pPr>
        <w:pStyle w:val="ListParagraph"/>
        <w:numPr>
          <w:ilvl w:val="0"/>
          <w:numId w:val="42"/>
        </w:numPr>
        <w:tabs>
          <w:tab w:val="left" w:pos="810"/>
        </w:tabs>
        <w:ind w:left="360"/>
        <w:rPr>
          <w:bCs/>
          <w:szCs w:val="20"/>
          <w:lang w:val="it-IT"/>
        </w:rPr>
      </w:pPr>
      <w:r>
        <w:rPr>
          <w:bCs/>
          <w:szCs w:val="20"/>
          <w:lang w:val="it-IT"/>
        </w:rPr>
        <w:t xml:space="preserve">Dose Modifications </w:t>
      </w:r>
      <w:r w:rsidR="008D3E15">
        <w:rPr>
          <w:bCs/>
          <w:szCs w:val="20"/>
          <w:lang w:val="it-IT"/>
        </w:rPr>
        <w:t>for</w:t>
      </w:r>
      <w:r>
        <w:rPr>
          <w:bCs/>
          <w:szCs w:val="20"/>
          <w:lang w:val="it-IT"/>
        </w:rPr>
        <w:t xml:space="preserve"> CYP3</w:t>
      </w:r>
      <w:r w:rsidR="008D3E15">
        <w:rPr>
          <w:bCs/>
          <w:szCs w:val="20"/>
          <w:lang w:val="it-IT"/>
        </w:rPr>
        <w:t>A</w:t>
      </w:r>
      <w:r>
        <w:rPr>
          <w:bCs/>
          <w:szCs w:val="20"/>
          <w:lang w:val="it-IT"/>
        </w:rPr>
        <w:t>4 inhibitors</w:t>
      </w:r>
    </w:p>
    <w:p w14:paraId="4FBAD257" w14:textId="2FAD4872" w:rsidR="00023F48" w:rsidRDefault="00023F48" w:rsidP="00D232B4">
      <w:pPr>
        <w:pStyle w:val="ListParagraph"/>
        <w:numPr>
          <w:ilvl w:val="1"/>
          <w:numId w:val="42"/>
        </w:numPr>
        <w:tabs>
          <w:tab w:val="left" w:pos="810"/>
        </w:tabs>
        <w:ind w:left="720"/>
        <w:rPr>
          <w:bCs/>
          <w:szCs w:val="20"/>
          <w:lang w:val="it-IT"/>
        </w:rPr>
      </w:pPr>
      <w:r>
        <w:rPr>
          <w:bCs/>
          <w:szCs w:val="20"/>
          <w:lang w:val="it-IT"/>
        </w:rPr>
        <w:t xml:space="preserve">Strong CYP3A4 inhibitors: </w:t>
      </w:r>
      <w:r w:rsidR="008D3E15">
        <w:rPr>
          <w:bCs/>
          <w:szCs w:val="20"/>
          <w:lang w:val="it-IT"/>
        </w:rPr>
        <w:t xml:space="preserve">Concomittant use with Ekterly </w:t>
      </w:r>
      <w:r>
        <w:rPr>
          <w:bCs/>
          <w:szCs w:val="20"/>
          <w:lang w:val="it-IT"/>
        </w:rPr>
        <w:t>should be avoid</w:t>
      </w:r>
      <w:r w:rsidR="008D3E15">
        <w:rPr>
          <w:bCs/>
          <w:szCs w:val="20"/>
          <w:lang w:val="it-IT"/>
        </w:rPr>
        <w:t>ed</w:t>
      </w:r>
      <w:r w:rsidR="00B76F0B">
        <w:rPr>
          <w:bCs/>
          <w:szCs w:val="20"/>
          <w:lang w:val="it-IT"/>
        </w:rPr>
        <w:t>.</w:t>
      </w:r>
    </w:p>
    <w:p w14:paraId="66575253" w14:textId="14E47F38" w:rsidR="008D3E15" w:rsidRPr="008D3E15" w:rsidRDefault="00023F48" w:rsidP="00D232B4">
      <w:pPr>
        <w:pStyle w:val="ListParagraph"/>
        <w:numPr>
          <w:ilvl w:val="1"/>
          <w:numId w:val="42"/>
        </w:numPr>
        <w:tabs>
          <w:tab w:val="left" w:pos="810"/>
        </w:tabs>
        <w:ind w:left="720"/>
        <w:rPr>
          <w:bCs/>
          <w:szCs w:val="20"/>
          <w:lang w:val="it-IT"/>
        </w:rPr>
      </w:pPr>
      <w:r>
        <w:rPr>
          <w:bCs/>
          <w:szCs w:val="20"/>
          <w:lang w:val="it-IT"/>
        </w:rPr>
        <w:t>Moderate</w:t>
      </w:r>
      <w:r w:rsidR="008D3E15">
        <w:rPr>
          <w:bCs/>
          <w:szCs w:val="20"/>
          <w:lang w:val="it-IT"/>
        </w:rPr>
        <w:t xml:space="preserve"> CYP3A4 inhibitors: </w:t>
      </w:r>
      <w:r w:rsidR="00B76F0B">
        <w:rPr>
          <w:bCs/>
          <w:szCs w:val="20"/>
          <w:lang w:val="it-IT"/>
        </w:rPr>
        <w:t>R</w:t>
      </w:r>
      <w:r w:rsidR="008D3E15">
        <w:rPr>
          <w:bCs/>
          <w:szCs w:val="20"/>
          <w:lang w:val="it-IT"/>
        </w:rPr>
        <w:t>educe dose to 300</w:t>
      </w:r>
      <w:r w:rsidR="005F5131">
        <w:rPr>
          <w:bCs/>
          <w:szCs w:val="20"/>
          <w:lang w:val="it-IT"/>
        </w:rPr>
        <w:t xml:space="preserve"> </w:t>
      </w:r>
      <w:r w:rsidR="008D3E15">
        <w:rPr>
          <w:bCs/>
          <w:szCs w:val="20"/>
          <w:lang w:val="it-IT"/>
        </w:rPr>
        <w:t xml:space="preserve">mg orally at the earliest recognition of an acute HAE attack. </w:t>
      </w:r>
      <w:r w:rsidR="00060916">
        <w:rPr>
          <w:bCs/>
          <w:szCs w:val="20"/>
          <w:lang w:val="it-IT"/>
        </w:rPr>
        <w:t>A</w:t>
      </w:r>
      <w:r w:rsidR="003219B1">
        <w:rPr>
          <w:bCs/>
          <w:szCs w:val="20"/>
          <w:lang w:val="it-IT"/>
        </w:rPr>
        <w:t xml:space="preserve"> </w:t>
      </w:r>
      <w:r w:rsidR="008D3E15">
        <w:rPr>
          <w:bCs/>
          <w:szCs w:val="20"/>
          <w:lang w:val="it-IT"/>
        </w:rPr>
        <w:t>second 300</w:t>
      </w:r>
      <w:r w:rsidR="005F5131">
        <w:rPr>
          <w:bCs/>
          <w:szCs w:val="20"/>
          <w:lang w:val="it-IT"/>
        </w:rPr>
        <w:t xml:space="preserve"> </w:t>
      </w:r>
      <w:r w:rsidR="008D3E15">
        <w:rPr>
          <w:bCs/>
          <w:szCs w:val="20"/>
          <w:lang w:val="it-IT"/>
        </w:rPr>
        <w:t xml:space="preserve">mg dose may be administered </w:t>
      </w:r>
      <w:r w:rsidR="00B76F0B" w:rsidRPr="0083500D">
        <w:rPr>
          <w:rFonts w:cs="Arial"/>
          <w:bCs/>
          <w:szCs w:val="20"/>
          <w:lang w:val="it-IT"/>
        </w:rPr>
        <w:t>≥</w:t>
      </w:r>
      <w:r w:rsidR="008D3E15">
        <w:rPr>
          <w:bCs/>
          <w:szCs w:val="20"/>
          <w:lang w:val="it-IT"/>
        </w:rPr>
        <w:t xml:space="preserve"> 3 hours after the initial dose if response is inadequate or if symptoms worsen or recur.</w:t>
      </w:r>
    </w:p>
    <w:p w14:paraId="2C4728B2" w14:textId="20C0C649" w:rsidR="00D232B4" w:rsidRPr="00D232B4" w:rsidRDefault="00023F48" w:rsidP="00D232B4">
      <w:pPr>
        <w:pStyle w:val="ListParagraph"/>
        <w:numPr>
          <w:ilvl w:val="1"/>
          <w:numId w:val="42"/>
        </w:numPr>
        <w:tabs>
          <w:tab w:val="left" w:pos="810"/>
        </w:tabs>
        <w:ind w:left="720"/>
        <w:rPr>
          <w:bCs/>
          <w:szCs w:val="20"/>
          <w:lang w:val="it-IT"/>
        </w:rPr>
      </w:pPr>
      <w:r>
        <w:rPr>
          <w:bCs/>
          <w:szCs w:val="20"/>
          <w:lang w:val="it-IT"/>
        </w:rPr>
        <w:t>Weak</w:t>
      </w:r>
      <w:r w:rsidR="008D3E15">
        <w:rPr>
          <w:bCs/>
          <w:szCs w:val="20"/>
          <w:lang w:val="it-IT"/>
        </w:rPr>
        <w:t xml:space="preserve"> CYP3A4 inhibitor</w:t>
      </w:r>
      <w:r w:rsidR="00560E6D">
        <w:rPr>
          <w:bCs/>
          <w:szCs w:val="20"/>
          <w:lang w:val="it-IT"/>
        </w:rPr>
        <w:t>s</w:t>
      </w:r>
      <w:r w:rsidR="008D3E15">
        <w:rPr>
          <w:bCs/>
          <w:szCs w:val="20"/>
          <w:lang w:val="it-IT"/>
        </w:rPr>
        <w:t>: No dose adjustment is required</w:t>
      </w:r>
      <w:r w:rsidR="00B76F0B">
        <w:rPr>
          <w:bCs/>
          <w:szCs w:val="20"/>
          <w:lang w:val="it-IT"/>
        </w:rPr>
        <w:t>.</w:t>
      </w:r>
    </w:p>
    <w:p w14:paraId="276FEE8D" w14:textId="0EECC4D0" w:rsidR="00023F48" w:rsidRDefault="008D3E15" w:rsidP="00D232B4">
      <w:pPr>
        <w:pStyle w:val="ListParagraph"/>
        <w:numPr>
          <w:ilvl w:val="0"/>
          <w:numId w:val="42"/>
        </w:numPr>
        <w:tabs>
          <w:tab w:val="left" w:pos="810"/>
        </w:tabs>
        <w:ind w:left="360"/>
        <w:rPr>
          <w:bCs/>
          <w:szCs w:val="20"/>
          <w:lang w:val="it-IT"/>
        </w:rPr>
      </w:pPr>
      <w:r>
        <w:rPr>
          <w:bCs/>
          <w:szCs w:val="20"/>
          <w:lang w:val="it-IT"/>
        </w:rPr>
        <w:t>Dose Modifications for</w:t>
      </w:r>
      <w:r w:rsidR="00023F48">
        <w:rPr>
          <w:bCs/>
          <w:szCs w:val="20"/>
          <w:lang w:val="it-IT"/>
        </w:rPr>
        <w:t xml:space="preserve"> CYP3</w:t>
      </w:r>
      <w:r>
        <w:rPr>
          <w:bCs/>
          <w:szCs w:val="20"/>
          <w:lang w:val="it-IT"/>
        </w:rPr>
        <w:t>A</w:t>
      </w:r>
      <w:r w:rsidR="00023F48">
        <w:rPr>
          <w:bCs/>
          <w:szCs w:val="20"/>
          <w:lang w:val="it-IT"/>
        </w:rPr>
        <w:t xml:space="preserve">4 inducers </w:t>
      </w:r>
    </w:p>
    <w:p w14:paraId="589F1E16" w14:textId="2FB37302" w:rsidR="008D3E15" w:rsidRDefault="008D3E15" w:rsidP="00AE6AC0">
      <w:pPr>
        <w:pStyle w:val="ListParagraph"/>
        <w:numPr>
          <w:ilvl w:val="1"/>
          <w:numId w:val="42"/>
        </w:numPr>
        <w:tabs>
          <w:tab w:val="left" w:pos="810"/>
        </w:tabs>
        <w:ind w:left="720"/>
        <w:rPr>
          <w:bCs/>
          <w:szCs w:val="20"/>
          <w:lang w:val="it-IT"/>
        </w:rPr>
      </w:pPr>
      <w:r>
        <w:rPr>
          <w:bCs/>
          <w:szCs w:val="20"/>
          <w:lang w:val="it-IT"/>
        </w:rPr>
        <w:t xml:space="preserve">Strong CYP3A4 inducers: </w:t>
      </w:r>
      <w:r w:rsidRPr="008D3E15">
        <w:rPr>
          <w:bCs/>
          <w:szCs w:val="20"/>
          <w:lang w:val="it-IT"/>
        </w:rPr>
        <w:t>Concomittant use with Ekterly should be avoided</w:t>
      </w:r>
      <w:r w:rsidR="00B76F0B">
        <w:rPr>
          <w:bCs/>
          <w:szCs w:val="20"/>
          <w:lang w:val="it-IT"/>
        </w:rPr>
        <w:t>.</w:t>
      </w:r>
    </w:p>
    <w:p w14:paraId="535E4441" w14:textId="645179B7" w:rsidR="008D3E15" w:rsidRDefault="008D3E15" w:rsidP="00AE6AC0">
      <w:pPr>
        <w:pStyle w:val="ListParagraph"/>
        <w:numPr>
          <w:ilvl w:val="1"/>
          <w:numId w:val="42"/>
        </w:numPr>
        <w:tabs>
          <w:tab w:val="left" w:pos="810"/>
        </w:tabs>
        <w:ind w:left="720"/>
        <w:rPr>
          <w:bCs/>
          <w:szCs w:val="20"/>
          <w:lang w:val="it-IT"/>
        </w:rPr>
      </w:pPr>
      <w:r>
        <w:rPr>
          <w:bCs/>
          <w:szCs w:val="20"/>
          <w:lang w:val="it-IT"/>
        </w:rPr>
        <w:t xml:space="preserve">Moderate CYP3A4 inducers: </w:t>
      </w:r>
      <w:r w:rsidRPr="008D3E15">
        <w:rPr>
          <w:bCs/>
          <w:szCs w:val="20"/>
          <w:lang w:val="it-IT"/>
        </w:rPr>
        <w:t>Concomittant use with Ekterly should be avoided</w:t>
      </w:r>
      <w:r w:rsidR="00B76F0B">
        <w:rPr>
          <w:bCs/>
          <w:szCs w:val="20"/>
          <w:lang w:val="it-IT"/>
        </w:rPr>
        <w:t>.</w:t>
      </w:r>
    </w:p>
    <w:p w14:paraId="49A059D5" w14:textId="33550288" w:rsidR="00D232B4" w:rsidRPr="00324CA2" w:rsidRDefault="008D3E15" w:rsidP="00AE6AC0">
      <w:pPr>
        <w:pStyle w:val="ListParagraph"/>
        <w:numPr>
          <w:ilvl w:val="1"/>
          <w:numId w:val="42"/>
        </w:numPr>
        <w:ind w:left="720"/>
        <w:rPr>
          <w:bCs/>
          <w:szCs w:val="20"/>
          <w:lang w:val="it-IT"/>
        </w:rPr>
      </w:pPr>
      <w:r w:rsidRPr="008D3E15">
        <w:rPr>
          <w:bCs/>
          <w:szCs w:val="20"/>
          <w:lang w:val="it-IT"/>
        </w:rPr>
        <w:t>Weak CYP3A4 inducers: No dose adjustment is required</w:t>
      </w:r>
      <w:r w:rsidR="00B76F0B">
        <w:rPr>
          <w:bCs/>
          <w:szCs w:val="20"/>
          <w:lang w:val="it-IT"/>
        </w:rPr>
        <w:t>.</w:t>
      </w:r>
    </w:p>
    <w:p w14:paraId="5DBFF25C" w14:textId="77777777" w:rsidR="005D0C2C" w:rsidRPr="005D0C2C" w:rsidRDefault="005D0C2C" w:rsidP="0064149A"/>
    <w:p w14:paraId="51B66B15" w14:textId="6692803E" w:rsidR="00C61B52" w:rsidRPr="00F1632C" w:rsidRDefault="00777829" w:rsidP="00F1632C">
      <w:pPr>
        <w:pStyle w:val="Heading1"/>
        <w:jc w:val="left"/>
        <w:rPr>
          <w:color w:val="002060"/>
          <w:sz w:val="32"/>
          <w:szCs w:val="32"/>
          <w:lang w:val="en-US"/>
        </w:rPr>
      </w:pPr>
      <w:r w:rsidRPr="00F1632C">
        <w:rPr>
          <w:color w:val="002060"/>
          <w:sz w:val="32"/>
          <w:szCs w:val="32"/>
          <w:lang w:val="en-US"/>
        </w:rPr>
        <w:t>Disease State Clinical Highlights</w:t>
      </w:r>
    </w:p>
    <w:p w14:paraId="5B3A30C0" w14:textId="6DF00ADA" w:rsidR="00613BFB" w:rsidRDefault="00613BFB" w:rsidP="00613BFB">
      <w:pPr>
        <w:pStyle w:val="ListParagraph"/>
        <w:numPr>
          <w:ilvl w:val="0"/>
          <w:numId w:val="17"/>
        </w:numPr>
        <w:ind w:left="360"/>
      </w:pPr>
      <w:r>
        <w:t xml:space="preserve">Hereditary angioedema (HAE) is a rare autosomal dominant disorder caused by deficiency or dysfunction of C1 esterase inhibitor (C1-INH) due to a genetic variant in the SERPING1 gene, leading to excessive bradykinin production and recurrent, unpredictable episodes of non-pruritic, non-urticarial angioedema involving the skin, gastrointestinal tract, or upper airway. </w:t>
      </w:r>
    </w:p>
    <w:p w14:paraId="5238B80A" w14:textId="77777777" w:rsidR="00F1632C" w:rsidRDefault="00F1632C" w:rsidP="00F1632C">
      <w:pPr>
        <w:pStyle w:val="ListParagraph"/>
        <w:numPr>
          <w:ilvl w:val="0"/>
          <w:numId w:val="17"/>
        </w:numPr>
        <w:ind w:left="360"/>
      </w:pPr>
      <w:r>
        <w:t>There are two common forms of HAE:</w:t>
      </w:r>
    </w:p>
    <w:p w14:paraId="64F92B53" w14:textId="47E4F827" w:rsidR="00F1632C" w:rsidRDefault="00F1632C" w:rsidP="00F1632C">
      <w:pPr>
        <w:pStyle w:val="ListParagraph"/>
        <w:numPr>
          <w:ilvl w:val="1"/>
          <w:numId w:val="24"/>
        </w:numPr>
        <w:ind w:left="720"/>
      </w:pPr>
      <w:r>
        <w:t xml:space="preserve">HAE due to a deficiency of C1-inhibitor </w:t>
      </w:r>
    </w:p>
    <w:p w14:paraId="46000B3C" w14:textId="5F93A9A3" w:rsidR="00F1632C" w:rsidRDefault="00F1632C" w:rsidP="00F1632C">
      <w:pPr>
        <w:pStyle w:val="ListParagraph"/>
        <w:numPr>
          <w:ilvl w:val="0"/>
          <w:numId w:val="24"/>
        </w:numPr>
      </w:pPr>
      <w:r>
        <w:lastRenderedPageBreak/>
        <w:t>HAE with normal C1 levels is rare (accounts for &lt;1% of cases)</w:t>
      </w:r>
    </w:p>
    <w:p w14:paraId="0ABBCED9" w14:textId="77777777" w:rsidR="00F1632C" w:rsidRDefault="00F1632C" w:rsidP="00F1632C">
      <w:pPr>
        <w:pStyle w:val="ListParagraph"/>
        <w:numPr>
          <w:ilvl w:val="0"/>
          <w:numId w:val="25"/>
        </w:numPr>
        <w:ind w:left="360"/>
      </w:pPr>
      <w:r>
        <w:t xml:space="preserve">HAE due to a deficiency of C1-inhibitor has two common types: </w:t>
      </w:r>
    </w:p>
    <w:p w14:paraId="61FB0A56" w14:textId="77777777" w:rsidR="00F1632C" w:rsidRDefault="00F1632C" w:rsidP="00F1632C">
      <w:pPr>
        <w:pStyle w:val="ListParagraph"/>
        <w:numPr>
          <w:ilvl w:val="0"/>
          <w:numId w:val="26"/>
        </w:numPr>
      </w:pPr>
      <w:r>
        <w:t>Type I HAE- characterized by low C1-INH levels with reduced functional activity (accounts for 80-85% of cases)</w:t>
      </w:r>
    </w:p>
    <w:p w14:paraId="76C86539" w14:textId="77777777" w:rsidR="00F1632C" w:rsidRDefault="00F1632C" w:rsidP="00F1632C">
      <w:pPr>
        <w:pStyle w:val="ListParagraph"/>
        <w:numPr>
          <w:ilvl w:val="0"/>
          <w:numId w:val="26"/>
        </w:numPr>
      </w:pPr>
      <w:r>
        <w:t>Type II HAE- normal or elevated C1-INH levels with impaired function (accounts for 15-20% of cases)</w:t>
      </w:r>
    </w:p>
    <w:p w14:paraId="4E6C9A55" w14:textId="3EAB7C8C" w:rsidR="00613BFB" w:rsidRDefault="00613BFB" w:rsidP="00F1632C">
      <w:pPr>
        <w:pStyle w:val="ListParagraph"/>
        <w:numPr>
          <w:ilvl w:val="0"/>
          <w:numId w:val="25"/>
        </w:numPr>
        <w:ind w:left="360"/>
      </w:pPr>
      <w:r>
        <w:t>HAE typically begins in childhood or adolescence and persists lifelong, with variability in attack frequency and severity; gastrointestinal attacks may cause severe abdominal pain, while laryngeal edema, though less common, poses the highest risk due to potential for rapid airway compromise and fatal asphyxiation.</w:t>
      </w:r>
    </w:p>
    <w:p w14:paraId="37698A98" w14:textId="5718A257" w:rsidR="00613BFB" w:rsidRDefault="00613BFB" w:rsidP="00F1632C">
      <w:pPr>
        <w:pStyle w:val="ListParagraph"/>
        <w:numPr>
          <w:ilvl w:val="0"/>
          <w:numId w:val="25"/>
        </w:numPr>
        <w:ind w:left="360"/>
      </w:pPr>
      <w:r>
        <w:t>HAE affects an estimated 1 in 10,000 to 1 in 50,000 individuals in the United States. Symptoms often begin early in life, and the pattern, severity, and frequency of attacks differ widely among patients. Attacks can occur as often as every few days or be separated by months or years, with some patients identifying triggers such as stress, trauma, infections, hormonal changes, or medical/dental procedures.</w:t>
      </w:r>
    </w:p>
    <w:p w14:paraId="4D21EAF1" w14:textId="092220B6" w:rsidR="001E4CBA" w:rsidRPr="005D0C2C" w:rsidRDefault="00613BFB" w:rsidP="005D0C2C">
      <w:pPr>
        <w:pStyle w:val="ListParagraph"/>
        <w:numPr>
          <w:ilvl w:val="0"/>
          <w:numId w:val="25"/>
        </w:numPr>
        <w:ind w:left="360"/>
      </w:pPr>
      <w:r>
        <w:t>Treatment of hereditary angioedema involves both on-demand therapy for acute attacks and long-term prophylaxis to prevent future episodes. Ekterly is an on-demand therapy used for the acute, episodic treatment of symptomatic HAE attacks. As a rapid plasma kallikrein inhibitor, Ekterly reduces bradykinin generation at the time of the flare to help resolve swelling and associated symptoms. Even in patients receiving long-term prophylaxis, breakthrough attacks can occur, and access to effective on-demand treatment such as Ekterly remains essential</w:t>
      </w:r>
      <w:r w:rsidR="00F1632C">
        <w:t>.</w:t>
      </w:r>
    </w:p>
    <w:p w14:paraId="050492C1" w14:textId="4F1840ED" w:rsidR="00BC5635" w:rsidRPr="00F1632C" w:rsidRDefault="003A43A6" w:rsidP="00F1632C">
      <w:pPr>
        <w:pStyle w:val="Heading1"/>
        <w:jc w:val="left"/>
        <w:rPr>
          <w:color w:val="002060"/>
          <w:sz w:val="32"/>
          <w:szCs w:val="32"/>
          <w:lang w:val="en-US"/>
        </w:rPr>
      </w:pPr>
      <w:bookmarkStart w:id="0" w:name="_Hlk34120952"/>
      <w:r w:rsidRPr="00F1632C">
        <w:rPr>
          <w:color w:val="002060"/>
          <w:sz w:val="32"/>
          <w:szCs w:val="32"/>
          <w:lang w:val="en-US"/>
        </w:rPr>
        <w:t>Drug Clinical Highlights</w:t>
      </w:r>
    </w:p>
    <w:p w14:paraId="46ADEFEA" w14:textId="01D89666" w:rsidR="00613BFB" w:rsidRPr="00613BFB" w:rsidRDefault="00613BFB" w:rsidP="00F1632C">
      <w:pPr>
        <w:pStyle w:val="ListParagraph"/>
        <w:numPr>
          <w:ilvl w:val="0"/>
          <w:numId w:val="17"/>
        </w:numPr>
        <w:ind w:left="360"/>
        <w:rPr>
          <w:rFonts w:cs="Arial"/>
          <w:szCs w:val="32"/>
        </w:rPr>
      </w:pPr>
      <w:r w:rsidRPr="00613BFB">
        <w:rPr>
          <w:rFonts w:cs="Arial"/>
          <w:szCs w:val="32"/>
        </w:rPr>
        <w:t>Ekterly is the first and only oral on-demand plasma kallikrein inhibitor for acute HAE attacks, offering a convenient, needle-free option for patients aged ≥</w:t>
      </w:r>
      <w:r w:rsidR="00D45632">
        <w:rPr>
          <w:rFonts w:cs="Arial"/>
          <w:szCs w:val="32"/>
        </w:rPr>
        <w:t xml:space="preserve"> </w:t>
      </w:r>
      <w:r w:rsidRPr="00613BFB">
        <w:rPr>
          <w:rFonts w:cs="Arial"/>
          <w:szCs w:val="32"/>
        </w:rPr>
        <w:t>12 years to treat symptoms promptly at the onset of an attack.</w:t>
      </w:r>
    </w:p>
    <w:p w14:paraId="19D9CCAF" w14:textId="654F6CD4" w:rsidR="00613BFB" w:rsidRPr="00613BFB" w:rsidRDefault="00613BFB" w:rsidP="00F1632C">
      <w:pPr>
        <w:pStyle w:val="ListParagraph"/>
        <w:numPr>
          <w:ilvl w:val="0"/>
          <w:numId w:val="17"/>
        </w:numPr>
        <w:ind w:left="360"/>
        <w:rPr>
          <w:rFonts w:cs="Arial"/>
          <w:szCs w:val="32"/>
        </w:rPr>
      </w:pPr>
      <w:r w:rsidRPr="00613BFB">
        <w:rPr>
          <w:rFonts w:cs="Arial"/>
          <w:szCs w:val="32"/>
        </w:rPr>
        <w:t>By rapidly inhibiting plasma kallikrein and reducing bradykinin generation, Ekterly provides a targeted, non–C1-INH acute treatment alternative for patients with unpredictable HAE attacks, including those experiencing breakthrough symptoms while on long-term prophylaxis.</w:t>
      </w:r>
    </w:p>
    <w:p w14:paraId="538E25E5" w14:textId="77777777" w:rsidR="00613BFB" w:rsidRPr="00613BFB" w:rsidRDefault="00613BFB" w:rsidP="00613BFB">
      <w:pPr>
        <w:ind w:left="-180"/>
        <w:rPr>
          <w:rFonts w:cs="Arial"/>
          <w:szCs w:val="32"/>
        </w:rPr>
      </w:pPr>
    </w:p>
    <w:p w14:paraId="0F50B79B" w14:textId="77777777" w:rsidR="00613BFB" w:rsidRPr="00613BFB" w:rsidRDefault="00613BFB" w:rsidP="00F1632C">
      <w:pPr>
        <w:ind w:left="-180" w:firstLine="180"/>
        <w:rPr>
          <w:rFonts w:cs="Arial"/>
          <w:szCs w:val="32"/>
          <w:u w:val="single"/>
        </w:rPr>
      </w:pPr>
      <w:r w:rsidRPr="00613BFB">
        <w:rPr>
          <w:rFonts w:cs="Arial"/>
          <w:szCs w:val="32"/>
          <w:u w:val="single"/>
        </w:rPr>
        <w:t>Warnings and Precautions</w:t>
      </w:r>
    </w:p>
    <w:p w14:paraId="26A080FD" w14:textId="69EF31EF" w:rsidR="00613BFB" w:rsidRPr="00613BFB" w:rsidRDefault="00613BFB" w:rsidP="00F1632C">
      <w:pPr>
        <w:rPr>
          <w:rFonts w:cs="Arial"/>
          <w:szCs w:val="32"/>
        </w:rPr>
      </w:pPr>
      <w:r w:rsidRPr="00613BFB">
        <w:rPr>
          <w:rFonts w:cs="Arial"/>
          <w:szCs w:val="32"/>
        </w:rPr>
        <w:t>Ekterly is metabolized by CYP3A4, and its use should be avoided with strong CYP3A4 inhibitors or inducers, while moderate inhibitors require a dose reduction to prevent excessive exposure.</w:t>
      </w:r>
    </w:p>
    <w:p w14:paraId="76812EEB" w14:textId="77777777" w:rsidR="00613BFB" w:rsidRPr="00613BFB" w:rsidRDefault="00613BFB" w:rsidP="00613BFB">
      <w:pPr>
        <w:ind w:left="-180"/>
        <w:rPr>
          <w:rFonts w:cs="Arial"/>
          <w:szCs w:val="32"/>
          <w:u w:val="single"/>
        </w:rPr>
      </w:pPr>
    </w:p>
    <w:p w14:paraId="54F1D260" w14:textId="77777777" w:rsidR="00613BFB" w:rsidRPr="00613BFB" w:rsidRDefault="00613BFB" w:rsidP="00F1632C">
      <w:pPr>
        <w:ind w:left="-180" w:firstLine="180"/>
        <w:rPr>
          <w:rFonts w:cs="Arial"/>
          <w:szCs w:val="32"/>
          <w:u w:val="single"/>
        </w:rPr>
      </w:pPr>
      <w:r w:rsidRPr="00613BFB">
        <w:rPr>
          <w:rFonts w:cs="Arial"/>
          <w:szCs w:val="32"/>
          <w:u w:val="single"/>
        </w:rPr>
        <w:t xml:space="preserve">Pregnancy and Lactation </w:t>
      </w:r>
    </w:p>
    <w:p w14:paraId="5C208105" w14:textId="0974B623" w:rsidR="00613BFB" w:rsidRPr="00F1632C" w:rsidRDefault="00613BFB" w:rsidP="00F1632C">
      <w:pPr>
        <w:pStyle w:val="ListParagraph"/>
        <w:numPr>
          <w:ilvl w:val="0"/>
          <w:numId w:val="21"/>
        </w:numPr>
        <w:ind w:left="360"/>
        <w:rPr>
          <w:rFonts w:cs="Arial"/>
          <w:szCs w:val="32"/>
        </w:rPr>
      </w:pPr>
      <w:r w:rsidRPr="00F1632C">
        <w:rPr>
          <w:rFonts w:cs="Arial"/>
          <w:szCs w:val="32"/>
        </w:rPr>
        <w:t>Pregnancy: There is no available data in pregnant women to evaluate for a drug-associated risk of major birth defects, miscarriage or other adverse maternal or fetal outcomes</w:t>
      </w:r>
    </w:p>
    <w:p w14:paraId="660275FB" w14:textId="7E20DB77" w:rsidR="00613BFB" w:rsidRPr="00F1632C" w:rsidRDefault="00613BFB" w:rsidP="00F1632C">
      <w:pPr>
        <w:pStyle w:val="ListParagraph"/>
        <w:numPr>
          <w:ilvl w:val="0"/>
          <w:numId w:val="21"/>
        </w:numPr>
        <w:ind w:left="360"/>
        <w:rPr>
          <w:rFonts w:cs="Arial"/>
          <w:szCs w:val="32"/>
        </w:rPr>
      </w:pPr>
      <w:r w:rsidRPr="00F1632C">
        <w:rPr>
          <w:rFonts w:cs="Arial"/>
          <w:szCs w:val="32"/>
        </w:rPr>
        <w:t>Lactation: There is no data on the presence of Ekterly or its metabolites in human milk, the effects on the breastfed infant, or the effects on milk production.</w:t>
      </w:r>
    </w:p>
    <w:p w14:paraId="0774FDDF" w14:textId="77777777" w:rsidR="00613BFB" w:rsidRPr="00613BFB" w:rsidRDefault="00613BFB" w:rsidP="00613BFB">
      <w:pPr>
        <w:ind w:left="-180"/>
        <w:rPr>
          <w:rFonts w:cs="Arial"/>
          <w:szCs w:val="32"/>
        </w:rPr>
      </w:pPr>
    </w:p>
    <w:p w14:paraId="2E3C05C4" w14:textId="77777777" w:rsidR="00613BFB" w:rsidRPr="00613BFB" w:rsidRDefault="00613BFB" w:rsidP="004E7A50">
      <w:pPr>
        <w:ind w:left="-180" w:firstLine="180"/>
        <w:rPr>
          <w:rFonts w:cs="Arial"/>
          <w:szCs w:val="32"/>
          <w:u w:val="single"/>
        </w:rPr>
      </w:pPr>
      <w:r w:rsidRPr="00613BFB">
        <w:rPr>
          <w:rFonts w:cs="Arial"/>
          <w:szCs w:val="32"/>
          <w:u w:val="single"/>
        </w:rPr>
        <w:t xml:space="preserve">Renal and Hepatic Impairment </w:t>
      </w:r>
    </w:p>
    <w:p w14:paraId="4FB5FB0E" w14:textId="6FF93BAB" w:rsidR="00613BFB" w:rsidRPr="00F1632C" w:rsidRDefault="00613BFB" w:rsidP="00F1632C">
      <w:pPr>
        <w:pStyle w:val="ListParagraph"/>
        <w:numPr>
          <w:ilvl w:val="0"/>
          <w:numId w:val="20"/>
        </w:numPr>
        <w:ind w:left="360"/>
        <w:rPr>
          <w:rFonts w:cs="Arial"/>
          <w:szCs w:val="32"/>
        </w:rPr>
      </w:pPr>
      <w:r w:rsidRPr="00F1632C">
        <w:rPr>
          <w:rFonts w:cs="Arial"/>
          <w:szCs w:val="32"/>
        </w:rPr>
        <w:t>Hepatic Impairment</w:t>
      </w:r>
    </w:p>
    <w:p w14:paraId="136D3389" w14:textId="64D712D5" w:rsidR="00613BFB" w:rsidRPr="00F1632C" w:rsidRDefault="00613BFB" w:rsidP="00F1632C">
      <w:pPr>
        <w:pStyle w:val="ListParagraph"/>
        <w:numPr>
          <w:ilvl w:val="0"/>
          <w:numId w:val="22"/>
        </w:numPr>
        <w:rPr>
          <w:rFonts w:cs="Arial"/>
          <w:szCs w:val="32"/>
        </w:rPr>
      </w:pPr>
      <w:r w:rsidRPr="00F1632C">
        <w:rPr>
          <w:rFonts w:cs="Arial"/>
          <w:szCs w:val="32"/>
        </w:rPr>
        <w:t xml:space="preserve">No dose adjustment is needed in mild hepatic impairment (Child-Pugh A). </w:t>
      </w:r>
    </w:p>
    <w:p w14:paraId="5F5ED460" w14:textId="3246945A" w:rsidR="00613BFB" w:rsidRPr="00F1632C" w:rsidRDefault="00613BFB" w:rsidP="00F1632C">
      <w:pPr>
        <w:pStyle w:val="ListParagraph"/>
        <w:numPr>
          <w:ilvl w:val="0"/>
          <w:numId w:val="22"/>
        </w:numPr>
        <w:rPr>
          <w:rFonts w:cs="Arial"/>
          <w:szCs w:val="32"/>
        </w:rPr>
      </w:pPr>
      <w:r w:rsidRPr="00F1632C">
        <w:rPr>
          <w:rFonts w:cs="Arial"/>
          <w:szCs w:val="32"/>
        </w:rPr>
        <w:t>In moderate impairment (Child-Pugh B), the recommended dose is 300 mg at attack onset, with a second 300 mg dose permitted after ≥</w:t>
      </w:r>
      <w:r w:rsidR="00D45632">
        <w:rPr>
          <w:rFonts w:cs="Arial"/>
          <w:szCs w:val="32"/>
        </w:rPr>
        <w:t xml:space="preserve"> </w:t>
      </w:r>
      <w:r w:rsidRPr="00F1632C">
        <w:rPr>
          <w:rFonts w:cs="Arial"/>
          <w:szCs w:val="32"/>
        </w:rPr>
        <w:t xml:space="preserve">3 hours if symptoms persist or recur. </w:t>
      </w:r>
    </w:p>
    <w:p w14:paraId="54065D43" w14:textId="66105397" w:rsidR="00613BFB" w:rsidRPr="00F1632C" w:rsidRDefault="00F1632C" w:rsidP="00F1632C">
      <w:pPr>
        <w:pStyle w:val="ListParagraph"/>
        <w:numPr>
          <w:ilvl w:val="0"/>
          <w:numId w:val="22"/>
        </w:numPr>
        <w:rPr>
          <w:rFonts w:cs="Arial"/>
          <w:szCs w:val="32"/>
        </w:rPr>
      </w:pPr>
      <w:r w:rsidRPr="00F1632C">
        <w:rPr>
          <w:rFonts w:cs="Arial"/>
          <w:szCs w:val="32"/>
        </w:rPr>
        <w:t>Avoid</w:t>
      </w:r>
      <w:r w:rsidR="00613BFB" w:rsidRPr="00F1632C">
        <w:rPr>
          <w:rFonts w:cs="Arial"/>
          <w:szCs w:val="32"/>
        </w:rPr>
        <w:t xml:space="preserve"> </w:t>
      </w:r>
      <w:r>
        <w:rPr>
          <w:rFonts w:cs="Arial"/>
          <w:szCs w:val="32"/>
        </w:rPr>
        <w:t xml:space="preserve">in </w:t>
      </w:r>
      <w:r w:rsidR="00613BFB" w:rsidRPr="00F1632C">
        <w:rPr>
          <w:rFonts w:cs="Arial"/>
          <w:szCs w:val="32"/>
        </w:rPr>
        <w:t>severe hepatic impairment (Child-Pugh C).</w:t>
      </w:r>
    </w:p>
    <w:p w14:paraId="1334ACE2" w14:textId="37884AF4" w:rsidR="00613BFB" w:rsidRPr="00613BFB" w:rsidRDefault="00613BFB" w:rsidP="00F1632C">
      <w:pPr>
        <w:pStyle w:val="ListParagraph"/>
        <w:numPr>
          <w:ilvl w:val="0"/>
          <w:numId w:val="20"/>
        </w:numPr>
        <w:ind w:left="360"/>
        <w:rPr>
          <w:rFonts w:cs="Arial"/>
          <w:szCs w:val="32"/>
        </w:rPr>
      </w:pPr>
      <w:r w:rsidRPr="00613BFB">
        <w:rPr>
          <w:rFonts w:cs="Arial"/>
          <w:szCs w:val="32"/>
        </w:rPr>
        <w:t>Renal Impairment</w:t>
      </w:r>
    </w:p>
    <w:p w14:paraId="66D90FE6" w14:textId="40C358BC" w:rsidR="00613BFB" w:rsidRPr="00F1632C" w:rsidRDefault="00613BFB" w:rsidP="00F1632C">
      <w:pPr>
        <w:pStyle w:val="ListParagraph"/>
        <w:numPr>
          <w:ilvl w:val="0"/>
          <w:numId w:val="23"/>
        </w:numPr>
        <w:rPr>
          <w:rFonts w:cs="Arial"/>
          <w:szCs w:val="32"/>
        </w:rPr>
      </w:pPr>
      <w:r w:rsidRPr="00F1632C">
        <w:rPr>
          <w:rFonts w:cs="Arial"/>
          <w:szCs w:val="32"/>
        </w:rPr>
        <w:t>No clinically relevant differences in mild renal impairment (eGFR 60-89 mL/min/1.73 m</w:t>
      </w:r>
      <w:r w:rsidRPr="00AE6AC0">
        <w:rPr>
          <w:rFonts w:cs="Arial"/>
          <w:szCs w:val="32"/>
          <w:vertAlign w:val="superscript"/>
        </w:rPr>
        <w:t>2</w:t>
      </w:r>
      <w:r w:rsidRPr="00F1632C">
        <w:rPr>
          <w:rFonts w:cs="Arial"/>
          <w:szCs w:val="32"/>
        </w:rPr>
        <w:t xml:space="preserve">). </w:t>
      </w:r>
    </w:p>
    <w:p w14:paraId="3043D46E" w14:textId="20F0B6A3" w:rsidR="00613BFB" w:rsidRPr="00F1632C" w:rsidRDefault="00613BFB" w:rsidP="00F1632C">
      <w:pPr>
        <w:pStyle w:val="ListParagraph"/>
        <w:numPr>
          <w:ilvl w:val="0"/>
          <w:numId w:val="23"/>
        </w:numPr>
        <w:rPr>
          <w:rFonts w:cs="Arial"/>
          <w:szCs w:val="32"/>
        </w:rPr>
      </w:pPr>
      <w:r w:rsidRPr="00F1632C">
        <w:rPr>
          <w:rFonts w:cs="Arial"/>
          <w:szCs w:val="32"/>
        </w:rPr>
        <w:t>The effect of moderate and severe renal impairment (eGFR</w:t>
      </w:r>
      <w:r w:rsidR="00D45632">
        <w:rPr>
          <w:rFonts w:cs="Arial"/>
          <w:szCs w:val="32"/>
        </w:rPr>
        <w:t xml:space="preserve"> </w:t>
      </w:r>
      <w:r w:rsidRPr="00F1632C">
        <w:rPr>
          <w:rFonts w:cs="Arial"/>
          <w:szCs w:val="32"/>
        </w:rPr>
        <w:t>&lt;</w:t>
      </w:r>
      <w:r w:rsidR="00D45632">
        <w:rPr>
          <w:rFonts w:cs="Arial"/>
          <w:szCs w:val="32"/>
        </w:rPr>
        <w:t xml:space="preserve"> </w:t>
      </w:r>
      <w:r w:rsidRPr="00F1632C">
        <w:rPr>
          <w:rFonts w:cs="Arial"/>
          <w:szCs w:val="32"/>
        </w:rPr>
        <w:t>60 ml/min/ 1.73 m</w:t>
      </w:r>
      <w:r w:rsidRPr="00AE6AC0">
        <w:rPr>
          <w:rFonts w:cs="Arial"/>
          <w:szCs w:val="32"/>
          <w:vertAlign w:val="superscript"/>
        </w:rPr>
        <w:t>2</w:t>
      </w:r>
      <w:r w:rsidRPr="00F1632C">
        <w:rPr>
          <w:rFonts w:cs="Arial"/>
          <w:szCs w:val="32"/>
        </w:rPr>
        <w:t>) is unknown.</w:t>
      </w:r>
    </w:p>
    <w:p w14:paraId="35394CB0" w14:textId="77777777" w:rsidR="00613BFB" w:rsidRPr="00613BFB" w:rsidRDefault="00613BFB" w:rsidP="00613BFB">
      <w:pPr>
        <w:ind w:left="-180"/>
        <w:rPr>
          <w:rFonts w:cs="Arial"/>
          <w:szCs w:val="32"/>
        </w:rPr>
      </w:pPr>
    </w:p>
    <w:p w14:paraId="723FD5C6" w14:textId="77777777" w:rsidR="00613BFB" w:rsidRPr="00613BFB" w:rsidRDefault="00613BFB" w:rsidP="00F1632C">
      <w:pPr>
        <w:ind w:left="-180" w:firstLine="180"/>
        <w:rPr>
          <w:rFonts w:cs="Arial"/>
          <w:szCs w:val="32"/>
          <w:u w:val="single"/>
        </w:rPr>
      </w:pPr>
      <w:r w:rsidRPr="00613BFB">
        <w:rPr>
          <w:rFonts w:cs="Arial"/>
          <w:szCs w:val="32"/>
          <w:u w:val="single"/>
        </w:rPr>
        <w:t xml:space="preserve">Clinical Studies </w:t>
      </w:r>
    </w:p>
    <w:p w14:paraId="15F904F8" w14:textId="77777777" w:rsidR="00613BFB" w:rsidRPr="00613BFB" w:rsidRDefault="00613BFB" w:rsidP="004E7A50">
      <w:pPr>
        <w:rPr>
          <w:rFonts w:cs="Arial"/>
          <w:szCs w:val="32"/>
        </w:rPr>
      </w:pPr>
      <w:r w:rsidRPr="00613BFB">
        <w:rPr>
          <w:rFonts w:cs="Arial"/>
          <w:szCs w:val="32"/>
        </w:rPr>
        <w:t>KONFIDENT trial (NCT05259917) is a Phase 3 randomized, double-blind, placebo-controlled, three-way crossover study comparing Ekterly 600 mg and Ekterly 300 mg to placebo for the on-demand treatment of hereditary angioedema (HAE) attacks in adolescent and adult patients.</w:t>
      </w:r>
    </w:p>
    <w:p w14:paraId="0D405146" w14:textId="7CBAD5B6" w:rsidR="00613BFB" w:rsidRPr="004E7A50" w:rsidRDefault="00613BFB" w:rsidP="004E7A50">
      <w:pPr>
        <w:pStyle w:val="ListParagraph"/>
        <w:numPr>
          <w:ilvl w:val="0"/>
          <w:numId w:val="20"/>
        </w:numPr>
        <w:ind w:left="360"/>
        <w:rPr>
          <w:rFonts w:cs="Arial"/>
          <w:szCs w:val="32"/>
        </w:rPr>
      </w:pPr>
      <w:r w:rsidRPr="004E7A50">
        <w:rPr>
          <w:rFonts w:cs="Arial"/>
          <w:szCs w:val="32"/>
        </w:rPr>
        <w:t>Study Population (n</w:t>
      </w:r>
      <w:r w:rsidR="00D45632">
        <w:rPr>
          <w:rFonts w:cs="Arial"/>
          <w:szCs w:val="32"/>
        </w:rPr>
        <w:t xml:space="preserve"> </w:t>
      </w:r>
      <w:r w:rsidRPr="004E7A50">
        <w:rPr>
          <w:rFonts w:cs="Arial"/>
          <w:szCs w:val="32"/>
        </w:rPr>
        <w:t>= 110)</w:t>
      </w:r>
    </w:p>
    <w:p w14:paraId="777AA03A" w14:textId="0F7543C2" w:rsidR="00613BFB" w:rsidRPr="004E7A50" w:rsidRDefault="00613BFB" w:rsidP="00E1253C">
      <w:pPr>
        <w:pStyle w:val="ListParagraph"/>
        <w:numPr>
          <w:ilvl w:val="0"/>
          <w:numId w:val="27"/>
        </w:numPr>
        <w:ind w:left="720"/>
        <w:rPr>
          <w:rFonts w:cs="Arial"/>
          <w:szCs w:val="32"/>
        </w:rPr>
      </w:pPr>
      <w:r w:rsidRPr="004E7A50">
        <w:rPr>
          <w:rFonts w:cs="Arial"/>
          <w:szCs w:val="32"/>
        </w:rPr>
        <w:lastRenderedPageBreak/>
        <w:t>Mean age at screening: 38 years (range: 12–69 years)</w:t>
      </w:r>
    </w:p>
    <w:p w14:paraId="3661BAF2" w14:textId="05B5852D" w:rsidR="00613BFB" w:rsidRPr="004E7A50" w:rsidRDefault="00613BFB" w:rsidP="00E1253C">
      <w:pPr>
        <w:pStyle w:val="ListParagraph"/>
        <w:numPr>
          <w:ilvl w:val="1"/>
          <w:numId w:val="27"/>
        </w:numPr>
        <w:ind w:left="1080"/>
        <w:rPr>
          <w:rFonts w:cs="Arial"/>
          <w:szCs w:val="32"/>
        </w:rPr>
      </w:pPr>
      <w:r w:rsidRPr="004E7A50">
        <w:rPr>
          <w:rFonts w:cs="Arial"/>
          <w:szCs w:val="32"/>
        </w:rPr>
        <w:t>60% female, 40% male</w:t>
      </w:r>
    </w:p>
    <w:p w14:paraId="5E4DA2B7" w14:textId="28D91326" w:rsidR="00613BFB" w:rsidRPr="004E7A50" w:rsidRDefault="00613BFB" w:rsidP="00E1253C">
      <w:pPr>
        <w:pStyle w:val="ListParagraph"/>
        <w:numPr>
          <w:ilvl w:val="1"/>
          <w:numId w:val="27"/>
        </w:numPr>
        <w:ind w:left="1080"/>
        <w:rPr>
          <w:rFonts w:cs="Arial"/>
          <w:szCs w:val="32"/>
        </w:rPr>
      </w:pPr>
      <w:r w:rsidRPr="004E7A50">
        <w:rPr>
          <w:rFonts w:cs="Arial"/>
          <w:szCs w:val="32"/>
        </w:rPr>
        <w:t>84% White, 9% Asian, 5% race not reported, 1% Black or African American, 1% other, 6% Hispanic or Latino ethnicity</w:t>
      </w:r>
    </w:p>
    <w:p w14:paraId="63682749" w14:textId="0ADADB81" w:rsidR="00613BFB" w:rsidRPr="004E7A50" w:rsidRDefault="00613BFB" w:rsidP="004E7A50">
      <w:pPr>
        <w:pStyle w:val="ListParagraph"/>
        <w:numPr>
          <w:ilvl w:val="0"/>
          <w:numId w:val="20"/>
        </w:numPr>
        <w:ind w:left="360"/>
        <w:rPr>
          <w:rFonts w:cs="Arial"/>
          <w:szCs w:val="32"/>
        </w:rPr>
      </w:pPr>
      <w:r w:rsidRPr="004E7A50">
        <w:rPr>
          <w:rFonts w:cs="Arial"/>
          <w:szCs w:val="32"/>
        </w:rPr>
        <w:t>Inclusion Criteria:</w:t>
      </w:r>
    </w:p>
    <w:p w14:paraId="2DB80F6F" w14:textId="26BD8FFD" w:rsidR="00613BFB" w:rsidRPr="004E7A50" w:rsidRDefault="00613BFB" w:rsidP="00E1253C">
      <w:pPr>
        <w:pStyle w:val="ListParagraph"/>
        <w:numPr>
          <w:ilvl w:val="0"/>
          <w:numId w:val="27"/>
        </w:numPr>
        <w:ind w:left="720"/>
        <w:rPr>
          <w:rFonts w:cs="Arial"/>
          <w:szCs w:val="32"/>
        </w:rPr>
      </w:pPr>
      <w:r w:rsidRPr="004E7A50">
        <w:rPr>
          <w:rFonts w:cs="Arial"/>
          <w:szCs w:val="32"/>
        </w:rPr>
        <w:t>Patients ≥</w:t>
      </w:r>
      <w:r w:rsidR="00D45632">
        <w:rPr>
          <w:rFonts w:cs="Arial"/>
          <w:szCs w:val="32"/>
        </w:rPr>
        <w:t xml:space="preserve"> </w:t>
      </w:r>
      <w:r w:rsidRPr="004E7A50">
        <w:rPr>
          <w:rFonts w:cs="Arial"/>
          <w:szCs w:val="32"/>
        </w:rPr>
        <w:t>12 years old</w:t>
      </w:r>
    </w:p>
    <w:p w14:paraId="0934EF18" w14:textId="0BF40F4D" w:rsidR="00613BFB" w:rsidRPr="004E7A50" w:rsidRDefault="00613BFB" w:rsidP="00E1253C">
      <w:pPr>
        <w:pStyle w:val="ListParagraph"/>
        <w:numPr>
          <w:ilvl w:val="0"/>
          <w:numId w:val="27"/>
        </w:numPr>
        <w:ind w:left="720"/>
        <w:rPr>
          <w:rFonts w:cs="Arial"/>
          <w:szCs w:val="32"/>
        </w:rPr>
      </w:pPr>
      <w:r w:rsidRPr="004E7A50">
        <w:rPr>
          <w:rFonts w:cs="Arial"/>
          <w:szCs w:val="32"/>
        </w:rPr>
        <w:t>Confirmed diagnosis of HAE type I or II</w:t>
      </w:r>
    </w:p>
    <w:p w14:paraId="4EC5100F" w14:textId="33F8D59D" w:rsidR="00613BFB" w:rsidRPr="004E7A50" w:rsidRDefault="00613BFB" w:rsidP="00E1253C">
      <w:pPr>
        <w:pStyle w:val="ListParagraph"/>
        <w:numPr>
          <w:ilvl w:val="0"/>
          <w:numId w:val="27"/>
        </w:numPr>
        <w:ind w:left="720"/>
        <w:rPr>
          <w:rFonts w:cs="Arial"/>
          <w:szCs w:val="32"/>
        </w:rPr>
      </w:pPr>
      <w:r w:rsidRPr="004E7A50">
        <w:rPr>
          <w:rFonts w:cs="Arial"/>
          <w:szCs w:val="32"/>
        </w:rPr>
        <w:t>Access to and ability to use standard on-demand HAE therapy</w:t>
      </w:r>
    </w:p>
    <w:p w14:paraId="7905ECF5" w14:textId="4B34E0C2" w:rsidR="00613BFB" w:rsidRPr="004E7A50" w:rsidRDefault="00613BFB" w:rsidP="00E1253C">
      <w:pPr>
        <w:pStyle w:val="ListParagraph"/>
        <w:numPr>
          <w:ilvl w:val="0"/>
          <w:numId w:val="27"/>
        </w:numPr>
        <w:ind w:left="720"/>
        <w:rPr>
          <w:rFonts w:cs="Arial"/>
          <w:szCs w:val="32"/>
        </w:rPr>
      </w:pPr>
      <w:r w:rsidRPr="004E7A50">
        <w:rPr>
          <w:rFonts w:cs="Arial"/>
          <w:szCs w:val="32"/>
        </w:rPr>
        <w:t>Stable long-term prophylaxis regimen if applicable (≥</w:t>
      </w:r>
      <w:r w:rsidR="00D45632">
        <w:rPr>
          <w:rFonts w:cs="Arial"/>
          <w:szCs w:val="32"/>
        </w:rPr>
        <w:t xml:space="preserve"> </w:t>
      </w:r>
      <w:r w:rsidRPr="004E7A50">
        <w:rPr>
          <w:rFonts w:cs="Arial"/>
          <w:szCs w:val="32"/>
        </w:rPr>
        <w:t>3 months; ≥</w:t>
      </w:r>
      <w:r w:rsidR="00D45632">
        <w:rPr>
          <w:rFonts w:cs="Arial"/>
          <w:szCs w:val="32"/>
        </w:rPr>
        <w:t xml:space="preserve"> </w:t>
      </w:r>
      <w:r w:rsidRPr="004E7A50">
        <w:rPr>
          <w:rFonts w:cs="Arial"/>
          <w:szCs w:val="32"/>
        </w:rPr>
        <w:t>6 months for danazol)</w:t>
      </w:r>
    </w:p>
    <w:p w14:paraId="73606737" w14:textId="753F8C27" w:rsidR="00613BFB" w:rsidRPr="004E7A50" w:rsidRDefault="00613BFB" w:rsidP="00E1253C">
      <w:pPr>
        <w:pStyle w:val="ListParagraph"/>
        <w:numPr>
          <w:ilvl w:val="0"/>
          <w:numId w:val="27"/>
        </w:numPr>
        <w:ind w:left="720"/>
        <w:rPr>
          <w:rFonts w:cs="Arial"/>
          <w:szCs w:val="32"/>
        </w:rPr>
      </w:pPr>
      <w:r w:rsidRPr="004E7A50">
        <w:rPr>
          <w:rFonts w:cs="Arial"/>
          <w:szCs w:val="32"/>
        </w:rPr>
        <w:t>Washout: last dose of attenuated androgens (other than danazol) ≥</w:t>
      </w:r>
      <w:r w:rsidR="00D45632">
        <w:rPr>
          <w:rFonts w:cs="Arial"/>
          <w:szCs w:val="32"/>
        </w:rPr>
        <w:t xml:space="preserve"> </w:t>
      </w:r>
      <w:r w:rsidRPr="004E7A50">
        <w:rPr>
          <w:rFonts w:cs="Arial"/>
          <w:szCs w:val="32"/>
        </w:rPr>
        <w:t>28 days prior</w:t>
      </w:r>
    </w:p>
    <w:p w14:paraId="54649EB1" w14:textId="7B080E1A" w:rsidR="00613BFB" w:rsidRPr="004E7A50" w:rsidRDefault="00613BFB" w:rsidP="00E1253C">
      <w:pPr>
        <w:pStyle w:val="ListParagraph"/>
        <w:numPr>
          <w:ilvl w:val="0"/>
          <w:numId w:val="27"/>
        </w:numPr>
        <w:ind w:left="720"/>
        <w:rPr>
          <w:rFonts w:cs="Arial"/>
          <w:szCs w:val="32"/>
        </w:rPr>
      </w:pPr>
      <w:r w:rsidRPr="004E7A50">
        <w:rPr>
          <w:rFonts w:cs="Arial"/>
          <w:szCs w:val="32"/>
        </w:rPr>
        <w:t>≥</w:t>
      </w:r>
      <w:r w:rsidR="00D45632">
        <w:rPr>
          <w:rFonts w:cs="Arial"/>
          <w:szCs w:val="32"/>
        </w:rPr>
        <w:t xml:space="preserve"> </w:t>
      </w:r>
      <w:r w:rsidRPr="004E7A50">
        <w:rPr>
          <w:rFonts w:cs="Arial"/>
          <w:szCs w:val="32"/>
        </w:rPr>
        <w:t>2 documented HAE attacks in the prior 3 months (to establish severity and need for on-demand therapy)</w:t>
      </w:r>
    </w:p>
    <w:p w14:paraId="3328D3ED" w14:textId="5127F9A0" w:rsidR="00613BFB" w:rsidRPr="004E7A50" w:rsidRDefault="00613BFB" w:rsidP="004E7A50">
      <w:pPr>
        <w:pStyle w:val="ListParagraph"/>
        <w:numPr>
          <w:ilvl w:val="0"/>
          <w:numId w:val="20"/>
        </w:numPr>
        <w:ind w:left="360"/>
        <w:rPr>
          <w:rFonts w:cs="Arial"/>
          <w:szCs w:val="32"/>
        </w:rPr>
      </w:pPr>
      <w:r w:rsidRPr="004E7A50">
        <w:rPr>
          <w:rFonts w:cs="Arial"/>
          <w:szCs w:val="32"/>
        </w:rPr>
        <w:t>Exclusion Criteria:</w:t>
      </w:r>
    </w:p>
    <w:p w14:paraId="40570CF4" w14:textId="48AED73E" w:rsidR="00613BFB" w:rsidRPr="004E7A50" w:rsidRDefault="00613BFB" w:rsidP="00E1253C">
      <w:pPr>
        <w:pStyle w:val="ListParagraph"/>
        <w:numPr>
          <w:ilvl w:val="0"/>
          <w:numId w:val="28"/>
        </w:numPr>
        <w:ind w:left="720"/>
        <w:rPr>
          <w:rFonts w:cs="Arial"/>
          <w:szCs w:val="32"/>
        </w:rPr>
      </w:pPr>
      <w:r w:rsidRPr="004E7A50">
        <w:rPr>
          <w:rFonts w:cs="Arial"/>
          <w:szCs w:val="32"/>
        </w:rPr>
        <w:t xml:space="preserve">Non-HAE angioedema </w:t>
      </w:r>
    </w:p>
    <w:p w14:paraId="6698CF05" w14:textId="71429B74" w:rsidR="00613BFB" w:rsidRPr="004E7A50" w:rsidRDefault="00613BFB" w:rsidP="00E1253C">
      <w:pPr>
        <w:pStyle w:val="ListParagraph"/>
        <w:numPr>
          <w:ilvl w:val="0"/>
          <w:numId w:val="28"/>
        </w:numPr>
        <w:ind w:left="720"/>
        <w:rPr>
          <w:rFonts w:cs="Arial"/>
          <w:szCs w:val="32"/>
        </w:rPr>
      </w:pPr>
      <w:r w:rsidRPr="004E7A50">
        <w:rPr>
          <w:rFonts w:cs="Arial"/>
          <w:szCs w:val="32"/>
        </w:rPr>
        <w:t xml:space="preserve">Clinically significant poor response to prior HAE therapies </w:t>
      </w:r>
    </w:p>
    <w:p w14:paraId="0F4ADF9E" w14:textId="478A01A9" w:rsidR="00613BFB" w:rsidRPr="004E7A50" w:rsidRDefault="00613BFB" w:rsidP="00E1253C">
      <w:pPr>
        <w:pStyle w:val="ListParagraph"/>
        <w:numPr>
          <w:ilvl w:val="0"/>
          <w:numId w:val="28"/>
        </w:numPr>
        <w:ind w:left="720"/>
        <w:rPr>
          <w:rFonts w:cs="Arial"/>
          <w:szCs w:val="32"/>
        </w:rPr>
      </w:pPr>
      <w:r w:rsidRPr="004E7A50">
        <w:rPr>
          <w:rFonts w:cs="Arial"/>
          <w:szCs w:val="32"/>
        </w:rPr>
        <w:t>Use of ACE inhibitors or estrogen-containing systemic therapies</w:t>
      </w:r>
    </w:p>
    <w:p w14:paraId="467159FC" w14:textId="4CD3687D" w:rsidR="00613BFB" w:rsidRPr="004E7A50" w:rsidRDefault="00613BFB" w:rsidP="00E1253C">
      <w:pPr>
        <w:pStyle w:val="ListParagraph"/>
        <w:numPr>
          <w:ilvl w:val="0"/>
          <w:numId w:val="28"/>
        </w:numPr>
        <w:ind w:left="720"/>
        <w:rPr>
          <w:rFonts w:cs="Arial"/>
          <w:szCs w:val="32"/>
        </w:rPr>
      </w:pPr>
      <w:r w:rsidRPr="004E7A50">
        <w:rPr>
          <w:rFonts w:cs="Arial"/>
          <w:szCs w:val="32"/>
        </w:rPr>
        <w:t>Use of strong CYP3A4 inhibitors or inducers</w:t>
      </w:r>
    </w:p>
    <w:p w14:paraId="0595EB1F" w14:textId="7A1ACA8F" w:rsidR="00613BFB" w:rsidRPr="004E7A50" w:rsidRDefault="00613BFB" w:rsidP="00E1253C">
      <w:pPr>
        <w:pStyle w:val="ListParagraph"/>
        <w:numPr>
          <w:ilvl w:val="0"/>
          <w:numId w:val="28"/>
        </w:numPr>
        <w:ind w:left="720"/>
        <w:rPr>
          <w:rFonts w:cs="Arial"/>
          <w:szCs w:val="32"/>
        </w:rPr>
      </w:pPr>
      <w:r w:rsidRPr="004E7A50">
        <w:rPr>
          <w:rFonts w:cs="Arial"/>
          <w:szCs w:val="32"/>
        </w:rPr>
        <w:t>Moderate to severe hepatic impairment or clinically significant abnormal liver function</w:t>
      </w:r>
    </w:p>
    <w:p w14:paraId="6369BE2E" w14:textId="1CAC916E" w:rsidR="00613BFB" w:rsidRPr="007D1669" w:rsidRDefault="00613BFB" w:rsidP="00E1253C">
      <w:pPr>
        <w:pStyle w:val="ListParagraph"/>
        <w:numPr>
          <w:ilvl w:val="0"/>
          <w:numId w:val="28"/>
        </w:numPr>
        <w:ind w:left="720"/>
        <w:rPr>
          <w:rFonts w:cs="Arial"/>
          <w:szCs w:val="32"/>
        </w:rPr>
      </w:pPr>
      <w:r w:rsidRPr="007D1669">
        <w:rPr>
          <w:rFonts w:cs="Arial"/>
          <w:szCs w:val="32"/>
        </w:rPr>
        <w:t>Comorbidities that pose a safety risk</w:t>
      </w:r>
    </w:p>
    <w:p w14:paraId="6AB1D435" w14:textId="6CC22738" w:rsidR="00613BFB" w:rsidRPr="004E7A50" w:rsidRDefault="00613BFB" w:rsidP="007D1669">
      <w:pPr>
        <w:pStyle w:val="ListParagraph"/>
        <w:numPr>
          <w:ilvl w:val="0"/>
          <w:numId w:val="20"/>
        </w:numPr>
        <w:ind w:left="360"/>
        <w:rPr>
          <w:rFonts w:cs="Arial"/>
          <w:szCs w:val="32"/>
        </w:rPr>
      </w:pPr>
      <w:r w:rsidRPr="004E7A50">
        <w:rPr>
          <w:rFonts w:cs="Arial"/>
          <w:szCs w:val="32"/>
        </w:rPr>
        <w:t>Intervention:</w:t>
      </w:r>
    </w:p>
    <w:p w14:paraId="4326EBDE" w14:textId="6313EBDE" w:rsidR="00613BFB" w:rsidRPr="007D1669" w:rsidRDefault="00613BFB" w:rsidP="00E1253C">
      <w:pPr>
        <w:pStyle w:val="ListParagraph"/>
        <w:numPr>
          <w:ilvl w:val="0"/>
          <w:numId w:val="29"/>
        </w:numPr>
        <w:rPr>
          <w:rFonts w:cs="Arial"/>
          <w:szCs w:val="32"/>
        </w:rPr>
      </w:pPr>
      <w:r w:rsidRPr="007D1669">
        <w:rPr>
          <w:rFonts w:cs="Arial"/>
          <w:szCs w:val="32"/>
        </w:rPr>
        <w:t>Patients were randomly assigned to 1 of 6 treatment sequences in a 3-way crossover design, in which 3 eligible HAE attacks were treated with one of the following for 25 weeks:</w:t>
      </w:r>
    </w:p>
    <w:p w14:paraId="47336BBB" w14:textId="1F7A45A6" w:rsidR="00613BFB" w:rsidRPr="007D1669" w:rsidRDefault="00613BFB" w:rsidP="00E1253C">
      <w:pPr>
        <w:pStyle w:val="ListParagraph"/>
        <w:numPr>
          <w:ilvl w:val="0"/>
          <w:numId w:val="30"/>
        </w:numPr>
        <w:ind w:left="1080"/>
        <w:rPr>
          <w:rFonts w:cs="Arial"/>
          <w:szCs w:val="32"/>
        </w:rPr>
      </w:pPr>
      <w:r w:rsidRPr="007D1669">
        <w:rPr>
          <w:rFonts w:cs="Arial"/>
          <w:szCs w:val="32"/>
        </w:rPr>
        <w:t>1 to 2 doses of Ekterly 300 mg (n = 87)</w:t>
      </w:r>
    </w:p>
    <w:p w14:paraId="1AB8B4BC" w14:textId="049F86CB" w:rsidR="00613BFB" w:rsidRPr="007D1669" w:rsidRDefault="00613BFB" w:rsidP="00E1253C">
      <w:pPr>
        <w:pStyle w:val="ListParagraph"/>
        <w:numPr>
          <w:ilvl w:val="0"/>
          <w:numId w:val="30"/>
        </w:numPr>
        <w:ind w:left="1080"/>
        <w:rPr>
          <w:rFonts w:cs="Arial"/>
          <w:szCs w:val="32"/>
        </w:rPr>
      </w:pPr>
      <w:r w:rsidRPr="007D1669">
        <w:rPr>
          <w:rFonts w:cs="Arial"/>
          <w:szCs w:val="32"/>
        </w:rPr>
        <w:t>1 to 2 doses of Ekterly 600 mg (n = 93)</w:t>
      </w:r>
    </w:p>
    <w:p w14:paraId="3AFA54EF" w14:textId="440BB869" w:rsidR="00613BFB" w:rsidRPr="007D1669" w:rsidRDefault="00613BFB" w:rsidP="00E1253C">
      <w:pPr>
        <w:pStyle w:val="ListParagraph"/>
        <w:numPr>
          <w:ilvl w:val="0"/>
          <w:numId w:val="30"/>
        </w:numPr>
        <w:ind w:left="1080"/>
        <w:rPr>
          <w:rFonts w:cs="Arial"/>
          <w:szCs w:val="32"/>
        </w:rPr>
      </w:pPr>
      <w:r w:rsidRPr="007D1669">
        <w:rPr>
          <w:rFonts w:cs="Arial"/>
          <w:szCs w:val="32"/>
        </w:rPr>
        <w:t>1 to 2 doses of placebo (n = 84)</w:t>
      </w:r>
    </w:p>
    <w:p w14:paraId="309916FD" w14:textId="0E56B2E1" w:rsidR="00613BFB" w:rsidRPr="00E1253C" w:rsidRDefault="00613BFB" w:rsidP="00E1253C">
      <w:pPr>
        <w:pStyle w:val="ListParagraph"/>
        <w:numPr>
          <w:ilvl w:val="0"/>
          <w:numId w:val="20"/>
        </w:numPr>
        <w:ind w:left="360"/>
        <w:rPr>
          <w:rFonts w:cs="Arial"/>
          <w:szCs w:val="32"/>
        </w:rPr>
      </w:pPr>
      <w:r w:rsidRPr="00E1253C">
        <w:rPr>
          <w:rFonts w:cs="Arial"/>
          <w:szCs w:val="32"/>
        </w:rPr>
        <w:t>Endpoints:</w:t>
      </w:r>
    </w:p>
    <w:p w14:paraId="1B7EA0C0" w14:textId="11813593" w:rsidR="00BC5635" w:rsidRDefault="00613BFB" w:rsidP="00D45632">
      <w:pPr>
        <w:pStyle w:val="ListParagraph"/>
        <w:numPr>
          <w:ilvl w:val="0"/>
          <w:numId w:val="41"/>
        </w:numPr>
      </w:pPr>
      <w:r w:rsidRPr="00D45632">
        <w:t xml:space="preserve">Primary Outcome: Beginning of symptom relief, defined as a rating of “a little better” on </w:t>
      </w:r>
      <w:r w:rsidR="00C9003C">
        <w:t>Patient Global Impression of Change (</w:t>
      </w:r>
      <w:r w:rsidRPr="00D45632">
        <w:t>PGI-C</w:t>
      </w:r>
      <w:r w:rsidR="00C9003C">
        <w:t>) scale</w:t>
      </w:r>
      <w:r w:rsidR="00D45632" w:rsidRPr="00D45632">
        <w:t xml:space="preserve"> </w:t>
      </w:r>
      <w:r w:rsidRPr="00D45632">
        <w:t>at ≥</w:t>
      </w:r>
      <w:r w:rsidR="00D45632" w:rsidRPr="00D45632">
        <w:t xml:space="preserve"> </w:t>
      </w:r>
      <w:r w:rsidRPr="00D45632">
        <w:t>2 consecutive time points within 12 hours after first administration of trial agent</w:t>
      </w:r>
      <w:r w:rsidR="00C9003C">
        <w:t>. PGI-C is a patient</w:t>
      </w:r>
      <w:r w:rsidR="0006644C">
        <w:t>-</w:t>
      </w:r>
      <w:r w:rsidR="00C9003C">
        <w:t>reported measure assessing overall change in condition since treatment initiation using an ordinal scale.</w:t>
      </w:r>
    </w:p>
    <w:p w14:paraId="0F4CA8C0" w14:textId="77777777" w:rsidR="00C9003C" w:rsidRDefault="00C9003C" w:rsidP="00C9003C">
      <w:pPr>
        <w:pStyle w:val="ListParagraph"/>
        <w:numPr>
          <w:ilvl w:val="0"/>
          <w:numId w:val="0"/>
        </w:numPr>
        <w:ind w:left="720"/>
      </w:pPr>
    </w:p>
    <w:p w14:paraId="0BFB9983" w14:textId="7A4EA03A" w:rsidR="00D45632" w:rsidRPr="00D45632" w:rsidRDefault="00D45632" w:rsidP="00AE6AC0">
      <w:pPr>
        <w:pStyle w:val="ListParagraph"/>
        <w:numPr>
          <w:ilvl w:val="1"/>
          <w:numId w:val="41"/>
        </w:numPr>
      </w:pPr>
      <w:r>
        <w:t>United States Participants:</w:t>
      </w:r>
    </w:p>
    <w:tbl>
      <w:tblPr>
        <w:tblStyle w:val="TableGrid"/>
        <w:tblW w:w="7997" w:type="dxa"/>
        <w:tblInd w:w="1075" w:type="dxa"/>
        <w:tblLook w:val="04A0" w:firstRow="1" w:lastRow="0" w:firstColumn="1" w:lastColumn="0" w:noHBand="0" w:noVBand="1"/>
      </w:tblPr>
      <w:tblGrid>
        <w:gridCol w:w="1980"/>
        <w:gridCol w:w="2005"/>
        <w:gridCol w:w="2006"/>
        <w:gridCol w:w="2006"/>
      </w:tblGrid>
      <w:tr w:rsidR="00D45632" w14:paraId="70F7D369" w14:textId="77777777" w:rsidTr="00AE6AC0">
        <w:trPr>
          <w:trHeight w:val="743"/>
        </w:trPr>
        <w:tc>
          <w:tcPr>
            <w:tcW w:w="1980" w:type="dxa"/>
          </w:tcPr>
          <w:p w14:paraId="2D4A7A04" w14:textId="77777777" w:rsidR="00D45632" w:rsidRPr="004F46E7" w:rsidRDefault="00D45632" w:rsidP="00024289">
            <w:pPr>
              <w:pStyle w:val="ListParagraph"/>
              <w:numPr>
                <w:ilvl w:val="0"/>
                <w:numId w:val="0"/>
              </w:numPr>
              <w:spacing w:before="100" w:beforeAutospacing="1" w:after="100" w:afterAutospacing="1"/>
              <w:outlineLvl w:val="2"/>
              <w:rPr>
                <w:rFonts w:cs="Arial"/>
                <w:b/>
                <w:bCs/>
                <w:szCs w:val="20"/>
              </w:rPr>
            </w:pPr>
            <w:r w:rsidRPr="004F46E7">
              <w:rPr>
                <w:rFonts w:cs="Arial"/>
                <w:b/>
                <w:bCs/>
                <w:szCs w:val="20"/>
              </w:rPr>
              <w:t>Treatment Arm</w:t>
            </w:r>
          </w:p>
        </w:tc>
        <w:tc>
          <w:tcPr>
            <w:tcW w:w="2005" w:type="dxa"/>
          </w:tcPr>
          <w:p w14:paraId="1D37C73E" w14:textId="77777777" w:rsidR="00D45632" w:rsidRPr="004F46E7" w:rsidRDefault="00D45632" w:rsidP="00024289">
            <w:pPr>
              <w:pStyle w:val="ListParagraph"/>
              <w:numPr>
                <w:ilvl w:val="0"/>
                <w:numId w:val="0"/>
              </w:numPr>
              <w:spacing w:before="100" w:beforeAutospacing="1" w:after="100" w:afterAutospacing="1"/>
              <w:outlineLvl w:val="2"/>
              <w:rPr>
                <w:rFonts w:cs="Arial"/>
                <w:b/>
                <w:bCs/>
                <w:szCs w:val="20"/>
              </w:rPr>
            </w:pPr>
            <w:r w:rsidRPr="004F46E7">
              <w:rPr>
                <w:rFonts w:cs="Arial"/>
                <w:b/>
                <w:bCs/>
                <w:szCs w:val="20"/>
              </w:rPr>
              <w:t xml:space="preserve">Median Time to Symptom Relief (IQR), in hours </w:t>
            </w:r>
          </w:p>
        </w:tc>
        <w:tc>
          <w:tcPr>
            <w:tcW w:w="2006" w:type="dxa"/>
          </w:tcPr>
          <w:p w14:paraId="7FE35C8D" w14:textId="44968FB3" w:rsidR="00D45632" w:rsidRPr="004F46E7" w:rsidRDefault="00D45632" w:rsidP="00024289">
            <w:pPr>
              <w:pStyle w:val="ListParagraph"/>
              <w:numPr>
                <w:ilvl w:val="0"/>
                <w:numId w:val="0"/>
              </w:numPr>
              <w:spacing w:before="100" w:beforeAutospacing="1" w:after="100" w:afterAutospacing="1"/>
              <w:outlineLvl w:val="2"/>
              <w:rPr>
                <w:rFonts w:cs="Arial"/>
                <w:b/>
                <w:bCs/>
                <w:szCs w:val="20"/>
              </w:rPr>
            </w:pPr>
            <w:r w:rsidRPr="004F46E7">
              <w:rPr>
                <w:rFonts w:cs="Arial"/>
                <w:b/>
                <w:bCs/>
                <w:szCs w:val="20"/>
              </w:rPr>
              <w:t xml:space="preserve">p-value vs. </w:t>
            </w:r>
            <w:r>
              <w:rPr>
                <w:rFonts w:cs="Arial"/>
                <w:b/>
                <w:bCs/>
                <w:szCs w:val="20"/>
              </w:rPr>
              <w:t>p</w:t>
            </w:r>
            <w:r w:rsidRPr="004F46E7">
              <w:rPr>
                <w:rFonts w:cs="Arial"/>
                <w:b/>
                <w:bCs/>
                <w:szCs w:val="20"/>
              </w:rPr>
              <w:t>lacebo</w:t>
            </w:r>
          </w:p>
        </w:tc>
        <w:tc>
          <w:tcPr>
            <w:tcW w:w="2006" w:type="dxa"/>
          </w:tcPr>
          <w:p w14:paraId="506294EB" w14:textId="77777777" w:rsidR="00D45632" w:rsidRPr="004F46E7" w:rsidRDefault="00D45632" w:rsidP="00024289">
            <w:pPr>
              <w:pStyle w:val="ListParagraph"/>
              <w:numPr>
                <w:ilvl w:val="0"/>
                <w:numId w:val="0"/>
              </w:numPr>
              <w:spacing w:before="100" w:beforeAutospacing="1" w:after="100" w:afterAutospacing="1"/>
              <w:outlineLvl w:val="2"/>
              <w:rPr>
                <w:rFonts w:cs="Arial"/>
                <w:b/>
                <w:bCs/>
                <w:szCs w:val="20"/>
              </w:rPr>
            </w:pPr>
            <w:r w:rsidRPr="004F46E7">
              <w:rPr>
                <w:rFonts w:cs="Arial"/>
                <w:b/>
                <w:bCs/>
                <w:szCs w:val="20"/>
              </w:rPr>
              <w:t>Attacks treated with study drug</w:t>
            </w:r>
          </w:p>
        </w:tc>
      </w:tr>
      <w:tr w:rsidR="00D45632" w14:paraId="64ECB5C0" w14:textId="77777777" w:rsidTr="00AE6AC0">
        <w:trPr>
          <w:trHeight w:val="484"/>
        </w:trPr>
        <w:tc>
          <w:tcPr>
            <w:tcW w:w="1980" w:type="dxa"/>
          </w:tcPr>
          <w:p w14:paraId="4B83E50C"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Sebetralstat 300mg</w:t>
            </w:r>
          </w:p>
        </w:tc>
        <w:tc>
          <w:tcPr>
            <w:tcW w:w="2005" w:type="dxa"/>
          </w:tcPr>
          <w:p w14:paraId="1DF6D09B"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1.28 (0.77 to 3.12)</w:t>
            </w:r>
          </w:p>
        </w:tc>
        <w:tc>
          <w:tcPr>
            <w:tcW w:w="2006" w:type="dxa"/>
          </w:tcPr>
          <w:p w14:paraId="20AD9C95"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0.0007</w:t>
            </w:r>
          </w:p>
        </w:tc>
        <w:tc>
          <w:tcPr>
            <w:tcW w:w="2006" w:type="dxa"/>
          </w:tcPr>
          <w:p w14:paraId="3F5CC48A"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27</w:t>
            </w:r>
          </w:p>
        </w:tc>
      </w:tr>
      <w:tr w:rsidR="00D45632" w14:paraId="0C4E66D2" w14:textId="77777777" w:rsidTr="00AE6AC0">
        <w:trPr>
          <w:trHeight w:val="484"/>
        </w:trPr>
        <w:tc>
          <w:tcPr>
            <w:tcW w:w="1980" w:type="dxa"/>
          </w:tcPr>
          <w:p w14:paraId="356DA374" w14:textId="77777777" w:rsidR="00D45632" w:rsidRDefault="00D45632" w:rsidP="00024289">
            <w:pPr>
              <w:pStyle w:val="ListParagraph"/>
              <w:numPr>
                <w:ilvl w:val="0"/>
                <w:numId w:val="0"/>
              </w:numPr>
              <w:spacing w:before="100" w:beforeAutospacing="1" w:after="100" w:afterAutospacing="1"/>
              <w:outlineLvl w:val="2"/>
              <w:rPr>
                <w:rFonts w:cs="Arial"/>
                <w:szCs w:val="20"/>
              </w:rPr>
            </w:pPr>
            <w:r w:rsidRPr="008B0D5C">
              <w:rPr>
                <w:rFonts w:cs="Arial"/>
                <w:szCs w:val="20"/>
              </w:rPr>
              <w:t>Sebetralstat</w:t>
            </w:r>
            <w:r>
              <w:rPr>
                <w:rFonts w:cs="Arial"/>
                <w:szCs w:val="20"/>
              </w:rPr>
              <w:t xml:space="preserve"> 600mg</w:t>
            </w:r>
          </w:p>
        </w:tc>
        <w:tc>
          <w:tcPr>
            <w:tcW w:w="2005" w:type="dxa"/>
          </w:tcPr>
          <w:p w14:paraId="4A246EA2"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1.77 (1.31 to 3.89)</w:t>
            </w:r>
          </w:p>
        </w:tc>
        <w:tc>
          <w:tcPr>
            <w:tcW w:w="2006" w:type="dxa"/>
          </w:tcPr>
          <w:p w14:paraId="72B5205B"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0.0242</w:t>
            </w:r>
          </w:p>
        </w:tc>
        <w:tc>
          <w:tcPr>
            <w:tcW w:w="2006" w:type="dxa"/>
          </w:tcPr>
          <w:p w14:paraId="29A7254B"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28</w:t>
            </w:r>
          </w:p>
        </w:tc>
      </w:tr>
      <w:tr w:rsidR="00D45632" w14:paraId="7180EDD0" w14:textId="77777777" w:rsidTr="00AE6AC0">
        <w:trPr>
          <w:trHeight w:val="467"/>
        </w:trPr>
        <w:tc>
          <w:tcPr>
            <w:tcW w:w="1980" w:type="dxa"/>
          </w:tcPr>
          <w:p w14:paraId="2E3FFCB2"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Placebo</w:t>
            </w:r>
          </w:p>
        </w:tc>
        <w:tc>
          <w:tcPr>
            <w:tcW w:w="2005" w:type="dxa"/>
          </w:tcPr>
          <w:p w14:paraId="67CDFA00"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6.23 (2.28 to &gt;12)</w:t>
            </w:r>
          </w:p>
        </w:tc>
        <w:tc>
          <w:tcPr>
            <w:tcW w:w="2006" w:type="dxa"/>
          </w:tcPr>
          <w:p w14:paraId="63FCBAD3" w14:textId="77777777" w:rsidR="00D45632" w:rsidRDefault="00D45632" w:rsidP="00024289">
            <w:pPr>
              <w:pStyle w:val="ListParagraph"/>
              <w:numPr>
                <w:ilvl w:val="0"/>
                <w:numId w:val="0"/>
              </w:numPr>
              <w:spacing w:before="100" w:beforeAutospacing="1" w:after="100" w:afterAutospacing="1"/>
              <w:jc w:val="center"/>
              <w:outlineLvl w:val="2"/>
              <w:rPr>
                <w:rFonts w:cs="Arial"/>
                <w:szCs w:val="20"/>
              </w:rPr>
            </w:pPr>
          </w:p>
        </w:tc>
        <w:tc>
          <w:tcPr>
            <w:tcW w:w="2006" w:type="dxa"/>
          </w:tcPr>
          <w:p w14:paraId="71980EE9" w14:textId="77777777" w:rsidR="00D45632" w:rsidRDefault="00D45632" w:rsidP="00024289">
            <w:pPr>
              <w:pStyle w:val="ListParagraph"/>
              <w:numPr>
                <w:ilvl w:val="0"/>
                <w:numId w:val="0"/>
              </w:numPr>
              <w:spacing w:before="100" w:beforeAutospacing="1" w:after="100" w:afterAutospacing="1"/>
              <w:outlineLvl w:val="2"/>
              <w:rPr>
                <w:rFonts w:cs="Arial"/>
                <w:szCs w:val="20"/>
              </w:rPr>
            </w:pPr>
            <w:r>
              <w:rPr>
                <w:rFonts w:cs="Arial"/>
                <w:szCs w:val="20"/>
              </w:rPr>
              <w:t>23</w:t>
            </w:r>
          </w:p>
        </w:tc>
      </w:tr>
    </w:tbl>
    <w:p w14:paraId="7DB5158E" w14:textId="20679541" w:rsidR="00613BFB" w:rsidRDefault="00801834" w:rsidP="00324CA2">
      <w:pPr>
        <w:ind w:left="1080" w:hanging="270"/>
      </w:pPr>
      <w:r>
        <w:t xml:space="preserve">     </w:t>
      </w:r>
      <w:bookmarkStart w:id="1" w:name="_Hlk216961098"/>
      <w:r>
        <w:t>I</w:t>
      </w:r>
      <w:r w:rsidR="00613BFB" w:rsidRPr="00613BFB">
        <w:t>nterquartile rang</w:t>
      </w:r>
      <w:r w:rsidR="00AE6AC0">
        <w:t>e</w:t>
      </w:r>
      <w:r w:rsidR="0053395C">
        <w:t xml:space="preserve"> (IQR</w:t>
      </w:r>
      <w:r w:rsidR="00324CA2">
        <w:t>) represents</w:t>
      </w:r>
      <w:r w:rsidR="00AE6AC0">
        <w:t xml:space="preserve"> the </w:t>
      </w:r>
      <w:r w:rsidR="0053395C">
        <w:t xml:space="preserve">range of outcomes observed in the </w:t>
      </w:r>
      <w:r w:rsidR="00AE6AC0">
        <w:t xml:space="preserve">middle 50% </w:t>
      </w:r>
      <w:r w:rsidR="0053395C">
        <w:t xml:space="preserve">  </w:t>
      </w:r>
      <w:r>
        <w:t xml:space="preserve">   </w:t>
      </w:r>
      <w:r w:rsidR="00324CA2">
        <w:t xml:space="preserve">         of patients</w:t>
      </w:r>
      <w:r w:rsidR="0053395C">
        <w:t xml:space="preserve"> and provides context around the median by showing how consistent patient responses were</w:t>
      </w:r>
      <w:r w:rsidR="007947C7">
        <w:t>.</w:t>
      </w:r>
      <w:bookmarkEnd w:id="1"/>
    </w:p>
    <w:p w14:paraId="401E92D2" w14:textId="77777777" w:rsidR="00324CA2" w:rsidRDefault="00324CA2" w:rsidP="0053395C">
      <w:pPr>
        <w:ind w:left="720"/>
      </w:pPr>
    </w:p>
    <w:p w14:paraId="4235A2DE" w14:textId="131CEA58" w:rsidR="00D45632" w:rsidRPr="00D45632" w:rsidRDefault="00D45632" w:rsidP="00D45632">
      <w:pPr>
        <w:pStyle w:val="ListParagraph"/>
        <w:numPr>
          <w:ilvl w:val="1"/>
          <w:numId w:val="41"/>
        </w:numPr>
      </w:pPr>
      <w:r>
        <w:t>European Participants:</w:t>
      </w:r>
      <w:r w:rsidR="008F06D7">
        <w:t xml:space="preserve"> </w:t>
      </w:r>
    </w:p>
    <w:tbl>
      <w:tblPr>
        <w:tblStyle w:val="TableGrid"/>
        <w:tblW w:w="7997" w:type="dxa"/>
        <w:tblInd w:w="1075" w:type="dxa"/>
        <w:tblLook w:val="04A0" w:firstRow="1" w:lastRow="0" w:firstColumn="1" w:lastColumn="0" w:noHBand="0" w:noVBand="1"/>
      </w:tblPr>
      <w:tblGrid>
        <w:gridCol w:w="1980"/>
        <w:gridCol w:w="2005"/>
        <w:gridCol w:w="2006"/>
        <w:gridCol w:w="2006"/>
      </w:tblGrid>
      <w:tr w:rsidR="00D45632" w14:paraId="3050F77C" w14:textId="77777777" w:rsidTr="0053395C">
        <w:trPr>
          <w:trHeight w:val="75"/>
        </w:trPr>
        <w:tc>
          <w:tcPr>
            <w:tcW w:w="1980" w:type="dxa"/>
          </w:tcPr>
          <w:p w14:paraId="3866AF5F" w14:textId="70CCE820" w:rsidR="00D45632" w:rsidRPr="008B0D5C" w:rsidRDefault="00D45632" w:rsidP="00D45632">
            <w:pPr>
              <w:pStyle w:val="ListParagraph"/>
              <w:numPr>
                <w:ilvl w:val="0"/>
                <w:numId w:val="0"/>
              </w:numPr>
              <w:spacing w:before="100" w:beforeAutospacing="1" w:after="100" w:afterAutospacing="1"/>
              <w:outlineLvl w:val="2"/>
              <w:rPr>
                <w:rFonts w:cs="Arial"/>
                <w:szCs w:val="20"/>
              </w:rPr>
            </w:pPr>
            <w:r w:rsidRPr="004F46E7">
              <w:rPr>
                <w:rFonts w:cs="Arial"/>
                <w:b/>
                <w:bCs/>
                <w:szCs w:val="20"/>
              </w:rPr>
              <w:t>Treatment Arm</w:t>
            </w:r>
          </w:p>
        </w:tc>
        <w:tc>
          <w:tcPr>
            <w:tcW w:w="2005" w:type="dxa"/>
          </w:tcPr>
          <w:p w14:paraId="56629C76" w14:textId="7FF20CEE" w:rsidR="00D45632" w:rsidRDefault="00D45632" w:rsidP="00D45632">
            <w:pPr>
              <w:pStyle w:val="ListParagraph"/>
              <w:numPr>
                <w:ilvl w:val="0"/>
                <w:numId w:val="0"/>
              </w:numPr>
              <w:spacing w:before="100" w:beforeAutospacing="1" w:after="100" w:afterAutospacing="1"/>
              <w:outlineLvl w:val="2"/>
              <w:rPr>
                <w:rFonts w:cs="Arial"/>
                <w:szCs w:val="20"/>
              </w:rPr>
            </w:pPr>
            <w:r w:rsidRPr="004F46E7">
              <w:rPr>
                <w:rFonts w:cs="Arial"/>
                <w:b/>
                <w:bCs/>
                <w:szCs w:val="20"/>
              </w:rPr>
              <w:t xml:space="preserve">Median Time to Symptom Relief (IQR), in hours </w:t>
            </w:r>
          </w:p>
        </w:tc>
        <w:tc>
          <w:tcPr>
            <w:tcW w:w="2006" w:type="dxa"/>
          </w:tcPr>
          <w:p w14:paraId="2019499D" w14:textId="03E709AA" w:rsidR="00D45632" w:rsidRDefault="00D45632" w:rsidP="00D45632">
            <w:pPr>
              <w:pStyle w:val="ListParagraph"/>
              <w:numPr>
                <w:ilvl w:val="0"/>
                <w:numId w:val="0"/>
              </w:numPr>
              <w:spacing w:before="100" w:beforeAutospacing="1" w:after="100" w:afterAutospacing="1"/>
              <w:outlineLvl w:val="2"/>
              <w:rPr>
                <w:rFonts w:cs="Arial"/>
                <w:szCs w:val="20"/>
              </w:rPr>
            </w:pPr>
            <w:r w:rsidRPr="004F46E7">
              <w:rPr>
                <w:rFonts w:cs="Arial"/>
                <w:b/>
                <w:bCs/>
                <w:szCs w:val="20"/>
              </w:rPr>
              <w:t xml:space="preserve">p-value vs. </w:t>
            </w:r>
            <w:r>
              <w:rPr>
                <w:rFonts w:cs="Arial"/>
                <w:b/>
                <w:bCs/>
                <w:szCs w:val="20"/>
              </w:rPr>
              <w:t>p</w:t>
            </w:r>
            <w:r w:rsidRPr="004F46E7">
              <w:rPr>
                <w:rFonts w:cs="Arial"/>
                <w:b/>
                <w:bCs/>
                <w:szCs w:val="20"/>
              </w:rPr>
              <w:t>lacebo</w:t>
            </w:r>
          </w:p>
        </w:tc>
        <w:tc>
          <w:tcPr>
            <w:tcW w:w="2006" w:type="dxa"/>
          </w:tcPr>
          <w:p w14:paraId="0529D159" w14:textId="516A7455" w:rsidR="00D45632" w:rsidRDefault="00D45632" w:rsidP="00D45632">
            <w:pPr>
              <w:pStyle w:val="ListParagraph"/>
              <w:numPr>
                <w:ilvl w:val="0"/>
                <w:numId w:val="0"/>
              </w:numPr>
              <w:spacing w:before="100" w:beforeAutospacing="1" w:after="100" w:afterAutospacing="1"/>
              <w:outlineLvl w:val="2"/>
              <w:rPr>
                <w:rFonts w:cs="Arial"/>
                <w:szCs w:val="20"/>
              </w:rPr>
            </w:pPr>
            <w:r w:rsidRPr="004F46E7">
              <w:rPr>
                <w:rFonts w:cs="Arial"/>
                <w:b/>
                <w:bCs/>
                <w:szCs w:val="20"/>
              </w:rPr>
              <w:t>Attacks treated with study drug</w:t>
            </w:r>
          </w:p>
        </w:tc>
      </w:tr>
      <w:tr w:rsidR="00D45632" w14:paraId="0069561B" w14:textId="77777777" w:rsidTr="0053395C">
        <w:trPr>
          <w:trHeight w:val="75"/>
        </w:trPr>
        <w:tc>
          <w:tcPr>
            <w:tcW w:w="1980" w:type="dxa"/>
          </w:tcPr>
          <w:p w14:paraId="71FF9308" w14:textId="77777777" w:rsidR="00D45632" w:rsidRDefault="00D45632" w:rsidP="00AA682D">
            <w:pPr>
              <w:pStyle w:val="ListParagraph"/>
              <w:numPr>
                <w:ilvl w:val="0"/>
                <w:numId w:val="0"/>
              </w:numPr>
              <w:spacing w:before="100" w:beforeAutospacing="1" w:after="100" w:afterAutospacing="1"/>
              <w:outlineLvl w:val="2"/>
              <w:rPr>
                <w:rFonts w:cs="Arial"/>
                <w:szCs w:val="20"/>
              </w:rPr>
            </w:pPr>
            <w:r w:rsidRPr="008B0D5C">
              <w:rPr>
                <w:rFonts w:cs="Arial"/>
                <w:szCs w:val="20"/>
              </w:rPr>
              <w:t>Sebetralstat</w:t>
            </w:r>
            <w:r>
              <w:rPr>
                <w:rFonts w:cs="Arial"/>
                <w:szCs w:val="20"/>
              </w:rPr>
              <w:t xml:space="preserve"> 300mg</w:t>
            </w:r>
          </w:p>
        </w:tc>
        <w:tc>
          <w:tcPr>
            <w:tcW w:w="2005" w:type="dxa"/>
          </w:tcPr>
          <w:p w14:paraId="74B89F5A"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1.78 (0.98 to 9.36)</w:t>
            </w:r>
          </w:p>
        </w:tc>
        <w:tc>
          <w:tcPr>
            <w:tcW w:w="2006" w:type="dxa"/>
          </w:tcPr>
          <w:p w14:paraId="69C62CDD"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0.0219</w:t>
            </w:r>
          </w:p>
        </w:tc>
        <w:tc>
          <w:tcPr>
            <w:tcW w:w="2006" w:type="dxa"/>
          </w:tcPr>
          <w:p w14:paraId="72B40D26"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44</w:t>
            </w:r>
          </w:p>
        </w:tc>
      </w:tr>
      <w:tr w:rsidR="00D45632" w14:paraId="62B8D747" w14:textId="77777777" w:rsidTr="0053395C">
        <w:trPr>
          <w:trHeight w:val="413"/>
        </w:trPr>
        <w:tc>
          <w:tcPr>
            <w:tcW w:w="1980" w:type="dxa"/>
          </w:tcPr>
          <w:p w14:paraId="2E5AA3F4" w14:textId="77777777" w:rsidR="00D45632" w:rsidRDefault="00D45632" w:rsidP="00AA682D">
            <w:pPr>
              <w:pStyle w:val="ListParagraph"/>
              <w:numPr>
                <w:ilvl w:val="0"/>
                <w:numId w:val="0"/>
              </w:numPr>
              <w:spacing w:before="100" w:beforeAutospacing="1" w:after="100" w:afterAutospacing="1"/>
              <w:outlineLvl w:val="2"/>
              <w:rPr>
                <w:rFonts w:cs="Arial"/>
                <w:szCs w:val="20"/>
              </w:rPr>
            </w:pPr>
            <w:r w:rsidRPr="008B0D5C">
              <w:rPr>
                <w:rFonts w:cs="Arial"/>
                <w:szCs w:val="20"/>
              </w:rPr>
              <w:t>Sebetralstat</w:t>
            </w:r>
            <w:r>
              <w:rPr>
                <w:rFonts w:cs="Arial"/>
                <w:szCs w:val="20"/>
              </w:rPr>
              <w:t xml:space="preserve"> 600mg</w:t>
            </w:r>
          </w:p>
        </w:tc>
        <w:tc>
          <w:tcPr>
            <w:tcW w:w="2005" w:type="dxa"/>
          </w:tcPr>
          <w:p w14:paraId="66508874"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1.77 (1.02 to 3.33)</w:t>
            </w:r>
          </w:p>
        </w:tc>
        <w:tc>
          <w:tcPr>
            <w:tcW w:w="2006" w:type="dxa"/>
          </w:tcPr>
          <w:p w14:paraId="3A8FA88D"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0.0071</w:t>
            </w:r>
          </w:p>
        </w:tc>
        <w:tc>
          <w:tcPr>
            <w:tcW w:w="2006" w:type="dxa"/>
          </w:tcPr>
          <w:p w14:paraId="3441FDF8"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49</w:t>
            </w:r>
          </w:p>
        </w:tc>
      </w:tr>
      <w:tr w:rsidR="00D45632" w14:paraId="2A227A73" w14:textId="77777777" w:rsidTr="0053395C">
        <w:trPr>
          <w:trHeight w:val="440"/>
        </w:trPr>
        <w:tc>
          <w:tcPr>
            <w:tcW w:w="1980" w:type="dxa"/>
          </w:tcPr>
          <w:p w14:paraId="53C67D20"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 xml:space="preserve">Placebo </w:t>
            </w:r>
          </w:p>
        </w:tc>
        <w:tc>
          <w:tcPr>
            <w:tcW w:w="2005" w:type="dxa"/>
          </w:tcPr>
          <w:p w14:paraId="00BB09AC"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5.54 (1.32 to &gt;12)</w:t>
            </w:r>
          </w:p>
        </w:tc>
        <w:tc>
          <w:tcPr>
            <w:tcW w:w="2006" w:type="dxa"/>
          </w:tcPr>
          <w:p w14:paraId="226EC52E" w14:textId="77777777" w:rsidR="00D45632" w:rsidRDefault="00D45632" w:rsidP="00AA682D">
            <w:pPr>
              <w:pStyle w:val="ListParagraph"/>
              <w:numPr>
                <w:ilvl w:val="0"/>
                <w:numId w:val="0"/>
              </w:numPr>
              <w:spacing w:before="100" w:beforeAutospacing="1" w:after="100" w:afterAutospacing="1"/>
              <w:outlineLvl w:val="2"/>
              <w:rPr>
                <w:rFonts w:cs="Arial"/>
                <w:szCs w:val="20"/>
              </w:rPr>
            </w:pPr>
          </w:p>
        </w:tc>
        <w:tc>
          <w:tcPr>
            <w:tcW w:w="2006" w:type="dxa"/>
          </w:tcPr>
          <w:p w14:paraId="0E8F4A4F" w14:textId="77777777" w:rsidR="00D45632" w:rsidRDefault="00D45632" w:rsidP="00AA682D">
            <w:pPr>
              <w:pStyle w:val="ListParagraph"/>
              <w:numPr>
                <w:ilvl w:val="0"/>
                <w:numId w:val="0"/>
              </w:numPr>
              <w:spacing w:before="100" w:beforeAutospacing="1" w:after="100" w:afterAutospacing="1"/>
              <w:outlineLvl w:val="2"/>
              <w:rPr>
                <w:rFonts w:cs="Arial"/>
                <w:szCs w:val="20"/>
              </w:rPr>
            </w:pPr>
            <w:r>
              <w:rPr>
                <w:rFonts w:cs="Arial"/>
                <w:szCs w:val="20"/>
              </w:rPr>
              <w:t>48</w:t>
            </w:r>
          </w:p>
        </w:tc>
      </w:tr>
    </w:tbl>
    <w:p w14:paraId="2708D964" w14:textId="139478D7" w:rsidR="00613BFB" w:rsidRPr="00613BFB" w:rsidRDefault="00613BFB" w:rsidP="005D0C2C">
      <w:pPr>
        <w:numPr>
          <w:ilvl w:val="2"/>
          <w:numId w:val="16"/>
        </w:numPr>
        <w:ind w:left="720"/>
      </w:pPr>
      <w:r w:rsidRPr="00613BFB">
        <w:lastRenderedPageBreak/>
        <w:t xml:space="preserve">Secondary Outcome: Reduction in attack severity </w:t>
      </w:r>
      <w:r w:rsidR="00C9003C">
        <w:t xml:space="preserve">defined as </w:t>
      </w:r>
      <w:r w:rsidRPr="00613BFB">
        <w:t xml:space="preserve">“improved” </w:t>
      </w:r>
      <w:r w:rsidR="00C9003C">
        <w:t xml:space="preserve">on the Patient Global Impression of Severity (PGI-S) scale </w:t>
      </w:r>
      <w:r w:rsidRPr="00613BFB">
        <w:t>at ≥</w:t>
      </w:r>
      <w:r w:rsidR="00D45632">
        <w:t xml:space="preserve"> </w:t>
      </w:r>
      <w:r w:rsidRPr="00613BFB">
        <w:t xml:space="preserve">2 consecutive time points within 12 hours and complete attack resolution </w:t>
      </w:r>
      <w:r w:rsidR="00C9003C">
        <w:t>defined as rating of “none” on the PGI-S scale within 24 hours. PGI-S is a patient reported measure in which patients rate overall disease severity using an ordinal scale</w:t>
      </w:r>
      <w:r w:rsidRPr="00613BFB">
        <w:t xml:space="preserve">. </w:t>
      </w:r>
    </w:p>
    <w:p w14:paraId="1988A9AC" w14:textId="77777777" w:rsidR="00613BFB" w:rsidRPr="00613BFB" w:rsidRDefault="00613BFB" w:rsidP="0036710C">
      <w:pPr>
        <w:numPr>
          <w:ilvl w:val="3"/>
          <w:numId w:val="38"/>
        </w:numPr>
        <w:ind w:left="1080"/>
      </w:pPr>
      <w:r w:rsidRPr="00613BFB">
        <w:t>Secondary endpoint results were described qualitatively in manufacturer materials; however, numerical results have not been publicly released.</w:t>
      </w:r>
    </w:p>
    <w:p w14:paraId="6649BF8C" w14:textId="00DC0592" w:rsidR="00343D6B" w:rsidRPr="005D0C2C" w:rsidRDefault="00613BFB" w:rsidP="00343D6B">
      <w:pPr>
        <w:pStyle w:val="ListParagraph"/>
        <w:numPr>
          <w:ilvl w:val="0"/>
          <w:numId w:val="16"/>
        </w:numPr>
      </w:pPr>
      <w:r w:rsidRPr="00613BFB">
        <w:t>Adverse Reactions: The most common adverse reaction is headache (</w:t>
      </w:r>
      <w:r w:rsidR="00D45632">
        <w:rPr>
          <w:rFonts w:cs="Arial"/>
        </w:rPr>
        <w:t>≥</w:t>
      </w:r>
      <w:r w:rsidR="00D45632" w:rsidRPr="0053395C">
        <w:t xml:space="preserve"> </w:t>
      </w:r>
      <w:r w:rsidRPr="00613BFB">
        <w:t xml:space="preserve">2%). No </w:t>
      </w:r>
      <w:r w:rsidR="00D45632">
        <w:t>s</w:t>
      </w:r>
      <w:r w:rsidRPr="00613BFB">
        <w:t>erious adverse reactions</w:t>
      </w:r>
      <w:r w:rsidR="00D45632">
        <w:t xml:space="preserve"> were reported.</w:t>
      </w:r>
    </w:p>
    <w:bookmarkEnd w:id="0"/>
    <w:p w14:paraId="79AC43AE" w14:textId="0F62FC48" w:rsidR="003A43A6" w:rsidRPr="005D0C2C" w:rsidRDefault="003A43A6" w:rsidP="005D0C2C">
      <w:pPr>
        <w:pStyle w:val="Heading1"/>
        <w:jc w:val="left"/>
        <w:rPr>
          <w:color w:val="002060"/>
          <w:sz w:val="32"/>
          <w:szCs w:val="32"/>
          <w:lang w:val="en-US"/>
        </w:rPr>
      </w:pPr>
      <w:r w:rsidRPr="005D0C2C">
        <w:rPr>
          <w:color w:val="002060"/>
          <w:sz w:val="32"/>
          <w:szCs w:val="32"/>
          <w:lang w:val="en-US"/>
        </w:rPr>
        <w:t>Price Per Unit (WAC)</w:t>
      </w:r>
    </w:p>
    <w:p w14:paraId="6E22A743" w14:textId="7709CCC8" w:rsidR="00613BFB" w:rsidRDefault="00613BFB" w:rsidP="005D0C2C">
      <w:pPr>
        <w:pStyle w:val="ListParagraph"/>
        <w:numPr>
          <w:ilvl w:val="0"/>
          <w:numId w:val="20"/>
        </w:numPr>
        <w:ind w:left="360"/>
      </w:pPr>
      <w:r>
        <w:t>WAC: $8,360 per tablet; $16,720 per dose (two 300-mg tablets).</w:t>
      </w:r>
    </w:p>
    <w:p w14:paraId="36CC35F2" w14:textId="1BF39F66" w:rsidR="003A43A6" w:rsidRDefault="00613BFB" w:rsidP="005D0C2C">
      <w:pPr>
        <w:pStyle w:val="ListParagraph"/>
        <w:numPr>
          <w:ilvl w:val="0"/>
          <w:numId w:val="20"/>
        </w:numPr>
        <w:ind w:left="360"/>
      </w:pPr>
      <w:r>
        <w:t>Each pack contains two doses (4 tablets); total WAC of $33,440 per package</w:t>
      </w:r>
    </w:p>
    <w:p w14:paraId="0AB12772" w14:textId="77777777" w:rsidR="005D0C2C" w:rsidRDefault="005D0C2C" w:rsidP="00613BFB"/>
    <w:p w14:paraId="6733C976" w14:textId="4942F790" w:rsidR="003A43A6" w:rsidRPr="005D0C2C" w:rsidRDefault="003A43A6" w:rsidP="005D0C2C">
      <w:pPr>
        <w:pStyle w:val="Heading1"/>
        <w:jc w:val="left"/>
        <w:rPr>
          <w:color w:val="002060"/>
          <w:sz w:val="32"/>
          <w:szCs w:val="32"/>
          <w:lang w:val="en-US"/>
        </w:rPr>
      </w:pPr>
      <w:r w:rsidRPr="005D0C2C">
        <w:rPr>
          <w:color w:val="002060"/>
          <w:sz w:val="32"/>
          <w:szCs w:val="32"/>
          <w:lang w:val="en-US"/>
        </w:rPr>
        <w:t>Therapeutic Alternatives</w:t>
      </w:r>
    </w:p>
    <w:p w14:paraId="67D169F9" w14:textId="77777777" w:rsidR="00324CA2" w:rsidRDefault="00613BFB" w:rsidP="00324CA2">
      <w:pPr>
        <w:pStyle w:val="ListParagraph"/>
        <w:numPr>
          <w:ilvl w:val="0"/>
          <w:numId w:val="20"/>
        </w:numPr>
        <w:ind w:left="360"/>
      </w:pPr>
      <w:r>
        <w:t>Ekterly is the first and only oral on-demand plasma kallikrein inhibitor for treatment of acute HAE attacks, offering an oral alternative to existing injectable or intravenous options and differentiating itself by its route of administration. Kalbitor</w:t>
      </w:r>
      <w:r w:rsidRPr="0036710C">
        <w:rPr>
          <w:vertAlign w:val="superscript"/>
        </w:rPr>
        <w:t>®</w:t>
      </w:r>
      <w:r>
        <w:t xml:space="preserve"> is a subcutaneous on-demand kallikrein inhibitor and Takhzyro</w:t>
      </w:r>
      <w:r w:rsidRPr="0036710C">
        <w:rPr>
          <w:vertAlign w:val="superscript"/>
        </w:rPr>
        <w:t>®</w:t>
      </w:r>
      <w:r>
        <w:t xml:space="preserve"> is a subcutaneous monoclonal antibody used for long-term prophylaxis rather than acute treatment; both target similar pathways as Ekterly but require injection-based administration.</w:t>
      </w:r>
    </w:p>
    <w:p w14:paraId="61F9D25C" w14:textId="08476860" w:rsidR="00324CA2" w:rsidRDefault="00324CA2" w:rsidP="00324CA2">
      <w:pPr>
        <w:pStyle w:val="ListParagraph"/>
        <w:numPr>
          <w:ilvl w:val="0"/>
          <w:numId w:val="20"/>
        </w:numPr>
        <w:ind w:left="360"/>
      </w:pPr>
      <w:r>
        <w:t xml:space="preserve">Other </w:t>
      </w:r>
      <w:r w:rsidR="00D4643D">
        <w:t>FDA</w:t>
      </w:r>
      <w:r w:rsidR="006700F9">
        <w:t>-</w:t>
      </w:r>
      <w:r w:rsidR="00D4643D">
        <w:t>approved</w:t>
      </w:r>
      <w:r>
        <w:t xml:space="preserve"> agents for acute HAE attacks include Firazyr</w:t>
      </w:r>
      <w:r w:rsidRPr="00324CA2">
        <w:rPr>
          <w:vertAlign w:val="superscript"/>
        </w:rPr>
        <w:t>®</w:t>
      </w:r>
      <w:r>
        <w:t>/Sajazir</w:t>
      </w:r>
      <w:r w:rsidRPr="00324CA2">
        <w:rPr>
          <w:vertAlign w:val="superscript"/>
        </w:rPr>
        <w:t>™</w:t>
      </w:r>
      <w:r w:rsidR="009B2A28">
        <w:t>,</w:t>
      </w:r>
      <w:r w:rsidR="006700F9">
        <w:t xml:space="preserve"> Berinert</w:t>
      </w:r>
      <w:r w:rsidR="00BF7FAC" w:rsidRPr="00C50ED1">
        <w:rPr>
          <w:vertAlign w:val="superscript"/>
        </w:rPr>
        <w:t>®</w:t>
      </w:r>
      <w:r w:rsidR="006700F9">
        <w:t xml:space="preserve"> </w:t>
      </w:r>
      <w:r w:rsidR="00C50ED1">
        <w:t xml:space="preserve">, </w:t>
      </w:r>
      <w:r w:rsidR="006700F9">
        <w:t>and</w:t>
      </w:r>
      <w:r>
        <w:t xml:space="preserve"> Ruconest</w:t>
      </w:r>
      <w:r>
        <w:rPr>
          <w:vertAlign w:val="superscript"/>
        </w:rPr>
        <w:t>®</w:t>
      </w:r>
      <w:r>
        <w:t xml:space="preserve"> all of which require subcutaneous or intravascular administration. </w:t>
      </w:r>
    </w:p>
    <w:p w14:paraId="4807FF2B" w14:textId="77777777" w:rsidR="00324CA2" w:rsidRPr="00324CA2" w:rsidRDefault="00324CA2" w:rsidP="00324CA2">
      <w:pPr>
        <w:pStyle w:val="ListParagraph"/>
        <w:numPr>
          <w:ilvl w:val="0"/>
          <w:numId w:val="20"/>
        </w:numPr>
        <w:ind w:left="360"/>
        <w:rPr>
          <w:rFonts w:cs="Arial"/>
          <w:szCs w:val="20"/>
        </w:rPr>
      </w:pPr>
      <w:r>
        <w:t>For patients who remain highly symptomatic despite effective on-demand therapy, prophylactic options such as Takhzyro</w:t>
      </w:r>
      <w:r w:rsidRPr="0036710C">
        <w:rPr>
          <w:vertAlign w:val="superscript"/>
        </w:rPr>
        <w:t>®</w:t>
      </w:r>
      <w:r>
        <w:t>, Cinryze</w:t>
      </w:r>
      <w:r w:rsidRPr="0036710C">
        <w:rPr>
          <w:vertAlign w:val="superscript"/>
        </w:rPr>
        <w:t>®</w:t>
      </w:r>
      <w:r>
        <w:t>, and Haegarda</w:t>
      </w:r>
      <w:r w:rsidRPr="0036710C">
        <w:rPr>
          <w:vertAlign w:val="superscript"/>
        </w:rPr>
        <w:t>®</w:t>
      </w:r>
      <w:r>
        <w:t>, which require regular injections and do not replace the need for on-demand therapy.</w:t>
      </w:r>
    </w:p>
    <w:p w14:paraId="74694240" w14:textId="75D4F61A" w:rsidR="00613BFB" w:rsidRDefault="00613BFB" w:rsidP="00324CA2">
      <w:pPr>
        <w:pStyle w:val="ListParagraph"/>
        <w:numPr>
          <w:ilvl w:val="0"/>
          <w:numId w:val="0"/>
        </w:numPr>
        <w:ind w:left="360"/>
      </w:pPr>
    </w:p>
    <w:tbl>
      <w:tblPr>
        <w:tblStyle w:val="TableGrid"/>
        <w:tblW w:w="10885" w:type="dxa"/>
        <w:tblInd w:w="-950" w:type="dxa"/>
        <w:tblLook w:val="04A0" w:firstRow="1" w:lastRow="0" w:firstColumn="1" w:lastColumn="0" w:noHBand="0" w:noVBand="1"/>
      </w:tblPr>
      <w:tblGrid>
        <w:gridCol w:w="1584"/>
        <w:gridCol w:w="1839"/>
        <w:gridCol w:w="1928"/>
        <w:gridCol w:w="1841"/>
        <w:gridCol w:w="1846"/>
        <w:gridCol w:w="1847"/>
      </w:tblGrid>
      <w:tr w:rsidR="00D4643D" w:rsidRPr="00613BFB" w14:paraId="7D3F0F0C" w14:textId="77777777" w:rsidTr="00D4643D">
        <w:trPr>
          <w:trHeight w:val="398"/>
        </w:trPr>
        <w:tc>
          <w:tcPr>
            <w:tcW w:w="1584" w:type="dxa"/>
          </w:tcPr>
          <w:p w14:paraId="29CE7229" w14:textId="77777777" w:rsidR="00324CA2" w:rsidRPr="00613BFB" w:rsidRDefault="00324CA2" w:rsidP="00D4643D">
            <w:pPr>
              <w:ind w:left="-180"/>
              <w:rPr>
                <w:rFonts w:cs="Arial"/>
                <w:szCs w:val="32"/>
              </w:rPr>
            </w:pPr>
          </w:p>
        </w:tc>
        <w:tc>
          <w:tcPr>
            <w:tcW w:w="1839" w:type="dxa"/>
          </w:tcPr>
          <w:p w14:paraId="6FFE51BA" w14:textId="77777777" w:rsidR="00324CA2" w:rsidRPr="00613BFB" w:rsidRDefault="00324CA2" w:rsidP="00D4643D">
            <w:pPr>
              <w:ind w:left="-180"/>
              <w:jc w:val="center"/>
              <w:rPr>
                <w:rFonts w:cs="Arial"/>
                <w:b/>
                <w:bCs/>
                <w:szCs w:val="32"/>
              </w:rPr>
            </w:pPr>
            <w:r w:rsidRPr="00613BFB">
              <w:rPr>
                <w:rFonts w:cs="Arial"/>
                <w:b/>
                <w:bCs/>
                <w:szCs w:val="32"/>
              </w:rPr>
              <w:t>Ekterly</w:t>
            </w:r>
            <w:r w:rsidRPr="00613BFB">
              <w:rPr>
                <w:rFonts w:cs="Arial"/>
                <w:b/>
                <w:bCs/>
                <w:szCs w:val="32"/>
                <w:vertAlign w:val="superscript"/>
              </w:rPr>
              <w:t>®</w:t>
            </w:r>
          </w:p>
        </w:tc>
        <w:tc>
          <w:tcPr>
            <w:tcW w:w="1928" w:type="dxa"/>
          </w:tcPr>
          <w:p w14:paraId="0A924DAD" w14:textId="77777777" w:rsidR="00324CA2" w:rsidRPr="00613BFB" w:rsidRDefault="00324CA2" w:rsidP="00D4643D">
            <w:pPr>
              <w:ind w:left="-180"/>
              <w:jc w:val="center"/>
              <w:rPr>
                <w:rFonts w:cs="Arial"/>
                <w:b/>
                <w:bCs/>
                <w:szCs w:val="32"/>
              </w:rPr>
            </w:pPr>
            <w:r w:rsidRPr="00613BFB">
              <w:rPr>
                <w:rFonts w:cs="Arial"/>
                <w:b/>
                <w:bCs/>
                <w:szCs w:val="32"/>
              </w:rPr>
              <w:t>Firazyr</w:t>
            </w:r>
            <w:r w:rsidRPr="00613BFB">
              <w:rPr>
                <w:rFonts w:cs="Arial"/>
                <w:b/>
                <w:bCs/>
                <w:szCs w:val="32"/>
                <w:vertAlign w:val="superscript"/>
              </w:rPr>
              <w:t>®</w:t>
            </w:r>
            <w:r w:rsidRPr="00613BFB">
              <w:rPr>
                <w:rFonts w:cs="Arial"/>
                <w:b/>
                <w:bCs/>
                <w:szCs w:val="32"/>
              </w:rPr>
              <w:t>/Sajazir</w:t>
            </w:r>
            <w:r w:rsidRPr="00613BFB">
              <w:rPr>
                <w:rFonts w:cs="Arial"/>
                <w:b/>
                <w:bCs/>
                <w:szCs w:val="32"/>
                <w:vertAlign w:val="superscript"/>
              </w:rPr>
              <w:t>™</w:t>
            </w:r>
          </w:p>
        </w:tc>
        <w:tc>
          <w:tcPr>
            <w:tcW w:w="1841" w:type="dxa"/>
          </w:tcPr>
          <w:p w14:paraId="29BA9820" w14:textId="77777777" w:rsidR="00324CA2" w:rsidRPr="00613BFB" w:rsidRDefault="00324CA2" w:rsidP="00D4643D">
            <w:pPr>
              <w:ind w:left="-180"/>
              <w:jc w:val="center"/>
              <w:rPr>
                <w:rFonts w:cs="Arial"/>
                <w:b/>
                <w:bCs/>
                <w:szCs w:val="32"/>
              </w:rPr>
            </w:pPr>
            <w:r w:rsidRPr="00613BFB">
              <w:rPr>
                <w:rFonts w:cs="Arial"/>
                <w:b/>
                <w:bCs/>
                <w:szCs w:val="32"/>
              </w:rPr>
              <w:t>Berinert</w:t>
            </w:r>
            <w:r w:rsidRPr="00613BFB">
              <w:rPr>
                <w:rFonts w:cs="Arial"/>
                <w:b/>
                <w:bCs/>
                <w:szCs w:val="32"/>
                <w:vertAlign w:val="superscript"/>
              </w:rPr>
              <w:t>®</w:t>
            </w:r>
          </w:p>
        </w:tc>
        <w:tc>
          <w:tcPr>
            <w:tcW w:w="1846" w:type="dxa"/>
          </w:tcPr>
          <w:p w14:paraId="766AD8E4" w14:textId="77777777" w:rsidR="00324CA2" w:rsidRPr="00613BFB" w:rsidRDefault="00324CA2" w:rsidP="00D4643D">
            <w:pPr>
              <w:ind w:left="-180"/>
              <w:jc w:val="center"/>
              <w:rPr>
                <w:rFonts w:cs="Arial"/>
                <w:b/>
                <w:bCs/>
                <w:szCs w:val="32"/>
              </w:rPr>
            </w:pPr>
            <w:r w:rsidRPr="00613BFB">
              <w:rPr>
                <w:rFonts w:cs="Arial"/>
                <w:b/>
                <w:bCs/>
                <w:szCs w:val="32"/>
              </w:rPr>
              <w:t>Kalbitor</w:t>
            </w:r>
            <w:r w:rsidRPr="00613BFB">
              <w:rPr>
                <w:rFonts w:cs="Arial"/>
                <w:b/>
                <w:bCs/>
                <w:szCs w:val="32"/>
                <w:vertAlign w:val="superscript"/>
              </w:rPr>
              <w:t>®</w:t>
            </w:r>
          </w:p>
        </w:tc>
        <w:tc>
          <w:tcPr>
            <w:tcW w:w="1847" w:type="dxa"/>
          </w:tcPr>
          <w:p w14:paraId="7C0F97CA" w14:textId="77777777" w:rsidR="00324CA2" w:rsidRPr="00613BFB" w:rsidRDefault="00324CA2" w:rsidP="00D4643D">
            <w:pPr>
              <w:ind w:left="-180"/>
              <w:jc w:val="center"/>
              <w:rPr>
                <w:rFonts w:cs="Arial"/>
                <w:b/>
                <w:bCs/>
                <w:szCs w:val="32"/>
              </w:rPr>
            </w:pPr>
            <w:r w:rsidRPr="00613BFB">
              <w:rPr>
                <w:rFonts w:cs="Arial"/>
                <w:b/>
                <w:bCs/>
                <w:szCs w:val="32"/>
              </w:rPr>
              <w:t>Ruconest</w:t>
            </w:r>
            <w:r w:rsidRPr="00613BFB">
              <w:rPr>
                <w:rFonts w:cs="Arial"/>
                <w:b/>
                <w:bCs/>
                <w:szCs w:val="32"/>
                <w:vertAlign w:val="superscript"/>
              </w:rPr>
              <w:t>®</w:t>
            </w:r>
          </w:p>
        </w:tc>
      </w:tr>
      <w:tr w:rsidR="00D4643D" w:rsidRPr="00613BFB" w14:paraId="25D7996C" w14:textId="77777777" w:rsidTr="00D4643D">
        <w:trPr>
          <w:trHeight w:val="848"/>
        </w:trPr>
        <w:tc>
          <w:tcPr>
            <w:tcW w:w="1584" w:type="dxa"/>
          </w:tcPr>
          <w:p w14:paraId="77314A80" w14:textId="77777777" w:rsidR="00324CA2" w:rsidRPr="00613BFB" w:rsidRDefault="00324CA2" w:rsidP="00D4643D">
            <w:pPr>
              <w:ind w:left="-180"/>
              <w:jc w:val="center"/>
              <w:rPr>
                <w:rFonts w:cs="Arial"/>
                <w:szCs w:val="32"/>
              </w:rPr>
            </w:pPr>
            <w:r w:rsidRPr="00613BFB">
              <w:rPr>
                <w:rFonts w:cs="Arial"/>
                <w:szCs w:val="32"/>
              </w:rPr>
              <w:t>Mechanism of Action</w:t>
            </w:r>
          </w:p>
        </w:tc>
        <w:tc>
          <w:tcPr>
            <w:tcW w:w="1839" w:type="dxa"/>
          </w:tcPr>
          <w:p w14:paraId="3903F62E" w14:textId="77777777" w:rsidR="00324CA2" w:rsidRPr="00613BFB" w:rsidRDefault="00324CA2" w:rsidP="00D4643D">
            <w:pPr>
              <w:ind w:left="-180"/>
              <w:jc w:val="center"/>
              <w:rPr>
                <w:rFonts w:cs="Arial"/>
                <w:szCs w:val="32"/>
              </w:rPr>
            </w:pPr>
            <w:r w:rsidRPr="00613BFB">
              <w:rPr>
                <w:rFonts w:cs="Arial"/>
                <w:szCs w:val="32"/>
              </w:rPr>
              <w:t>PKa inhibitor</w:t>
            </w:r>
          </w:p>
        </w:tc>
        <w:tc>
          <w:tcPr>
            <w:tcW w:w="1928" w:type="dxa"/>
          </w:tcPr>
          <w:p w14:paraId="680808EB" w14:textId="77777777" w:rsidR="00324CA2" w:rsidRPr="00613BFB" w:rsidRDefault="00324CA2" w:rsidP="00D4643D">
            <w:pPr>
              <w:ind w:left="-180"/>
              <w:jc w:val="center"/>
              <w:rPr>
                <w:rFonts w:cs="Arial"/>
                <w:szCs w:val="32"/>
              </w:rPr>
            </w:pPr>
            <w:r w:rsidRPr="00613BFB">
              <w:rPr>
                <w:rFonts w:cs="Arial"/>
                <w:szCs w:val="32"/>
              </w:rPr>
              <w:t>Bradykinin B2 RA</w:t>
            </w:r>
          </w:p>
        </w:tc>
        <w:tc>
          <w:tcPr>
            <w:tcW w:w="1841" w:type="dxa"/>
          </w:tcPr>
          <w:p w14:paraId="174B00C8" w14:textId="77777777" w:rsidR="00324CA2" w:rsidRPr="00613BFB" w:rsidRDefault="00324CA2" w:rsidP="00D4643D">
            <w:pPr>
              <w:ind w:left="-180"/>
              <w:jc w:val="center"/>
              <w:rPr>
                <w:rFonts w:cs="Arial"/>
                <w:szCs w:val="32"/>
              </w:rPr>
            </w:pPr>
            <w:r w:rsidRPr="00613BFB">
              <w:rPr>
                <w:rFonts w:cs="Arial"/>
                <w:szCs w:val="32"/>
              </w:rPr>
              <w:t>C1-INH (plasma derived)</w:t>
            </w:r>
          </w:p>
        </w:tc>
        <w:tc>
          <w:tcPr>
            <w:tcW w:w="1846" w:type="dxa"/>
          </w:tcPr>
          <w:p w14:paraId="3369B13A" w14:textId="77777777" w:rsidR="00324CA2" w:rsidRPr="00613BFB" w:rsidRDefault="00324CA2" w:rsidP="00D4643D">
            <w:pPr>
              <w:ind w:left="-180"/>
              <w:jc w:val="center"/>
              <w:rPr>
                <w:rFonts w:cs="Arial"/>
                <w:szCs w:val="32"/>
              </w:rPr>
            </w:pPr>
            <w:r w:rsidRPr="00613BFB">
              <w:rPr>
                <w:rFonts w:cs="Arial"/>
                <w:szCs w:val="32"/>
              </w:rPr>
              <w:t>PKa inhibitor</w:t>
            </w:r>
          </w:p>
        </w:tc>
        <w:tc>
          <w:tcPr>
            <w:tcW w:w="1847" w:type="dxa"/>
          </w:tcPr>
          <w:p w14:paraId="78C0DD3A" w14:textId="77777777" w:rsidR="00324CA2" w:rsidRPr="00613BFB" w:rsidRDefault="00324CA2" w:rsidP="00D4643D">
            <w:pPr>
              <w:ind w:left="-180"/>
              <w:jc w:val="center"/>
              <w:rPr>
                <w:rFonts w:cs="Arial"/>
                <w:szCs w:val="32"/>
              </w:rPr>
            </w:pPr>
            <w:r w:rsidRPr="00613BFB">
              <w:rPr>
                <w:rFonts w:cs="Arial"/>
                <w:szCs w:val="32"/>
              </w:rPr>
              <w:t>C1-INH</w:t>
            </w:r>
          </w:p>
          <w:p w14:paraId="19F3EE23" w14:textId="77777777" w:rsidR="00324CA2" w:rsidRPr="00613BFB" w:rsidRDefault="00324CA2" w:rsidP="00D4643D">
            <w:pPr>
              <w:ind w:left="-180"/>
              <w:jc w:val="center"/>
              <w:rPr>
                <w:rFonts w:cs="Arial"/>
                <w:szCs w:val="32"/>
              </w:rPr>
            </w:pPr>
            <w:r w:rsidRPr="00613BFB">
              <w:rPr>
                <w:rFonts w:cs="Arial"/>
                <w:szCs w:val="32"/>
              </w:rPr>
              <w:t>(Recombinant</w:t>
            </w:r>
          </w:p>
          <w:p w14:paraId="3E037621" w14:textId="77777777" w:rsidR="00324CA2" w:rsidRPr="00613BFB" w:rsidRDefault="00324CA2" w:rsidP="00D4643D">
            <w:pPr>
              <w:ind w:left="-180"/>
              <w:jc w:val="center"/>
              <w:rPr>
                <w:rFonts w:cs="Arial"/>
                <w:szCs w:val="32"/>
              </w:rPr>
            </w:pPr>
            <w:r w:rsidRPr="00613BFB">
              <w:rPr>
                <w:rFonts w:cs="Arial"/>
                <w:szCs w:val="32"/>
              </w:rPr>
              <w:t>human)</w:t>
            </w:r>
          </w:p>
        </w:tc>
      </w:tr>
      <w:tr w:rsidR="00D4643D" w:rsidRPr="00613BFB" w14:paraId="29A099A3" w14:textId="77777777" w:rsidTr="00D4643D">
        <w:trPr>
          <w:trHeight w:val="530"/>
        </w:trPr>
        <w:tc>
          <w:tcPr>
            <w:tcW w:w="1584" w:type="dxa"/>
          </w:tcPr>
          <w:p w14:paraId="5B257802" w14:textId="77777777" w:rsidR="00324CA2" w:rsidRPr="00613BFB" w:rsidRDefault="00324CA2" w:rsidP="00D4643D">
            <w:pPr>
              <w:ind w:left="-180"/>
              <w:jc w:val="center"/>
              <w:rPr>
                <w:rFonts w:cs="Arial"/>
                <w:szCs w:val="32"/>
              </w:rPr>
            </w:pPr>
            <w:r w:rsidRPr="00613BFB">
              <w:rPr>
                <w:rFonts w:cs="Arial"/>
                <w:szCs w:val="32"/>
              </w:rPr>
              <w:t>Route of Administration</w:t>
            </w:r>
          </w:p>
        </w:tc>
        <w:tc>
          <w:tcPr>
            <w:tcW w:w="1839" w:type="dxa"/>
          </w:tcPr>
          <w:p w14:paraId="4779D246" w14:textId="77777777" w:rsidR="00324CA2" w:rsidRPr="00613BFB" w:rsidRDefault="00324CA2" w:rsidP="00D4643D">
            <w:pPr>
              <w:ind w:left="-180"/>
              <w:jc w:val="center"/>
              <w:rPr>
                <w:rFonts w:cs="Arial"/>
                <w:szCs w:val="32"/>
              </w:rPr>
            </w:pPr>
            <w:r w:rsidRPr="00613BFB">
              <w:rPr>
                <w:rFonts w:cs="Arial"/>
                <w:szCs w:val="32"/>
              </w:rPr>
              <w:t>Oral</w:t>
            </w:r>
          </w:p>
        </w:tc>
        <w:tc>
          <w:tcPr>
            <w:tcW w:w="1928" w:type="dxa"/>
          </w:tcPr>
          <w:p w14:paraId="27849056" w14:textId="77777777" w:rsidR="00324CA2" w:rsidRPr="00613BFB" w:rsidRDefault="00324CA2" w:rsidP="00D4643D">
            <w:pPr>
              <w:ind w:left="-180"/>
              <w:jc w:val="center"/>
              <w:rPr>
                <w:rFonts w:cs="Arial"/>
                <w:szCs w:val="32"/>
              </w:rPr>
            </w:pPr>
            <w:r w:rsidRPr="00613BFB">
              <w:rPr>
                <w:rFonts w:cs="Arial"/>
                <w:szCs w:val="32"/>
              </w:rPr>
              <w:t>Subcutaneous</w:t>
            </w:r>
          </w:p>
        </w:tc>
        <w:tc>
          <w:tcPr>
            <w:tcW w:w="1841" w:type="dxa"/>
          </w:tcPr>
          <w:p w14:paraId="23A202F8" w14:textId="77777777" w:rsidR="00324CA2" w:rsidRPr="00613BFB" w:rsidRDefault="00324CA2" w:rsidP="00D4643D">
            <w:pPr>
              <w:ind w:left="-180"/>
              <w:jc w:val="center"/>
              <w:rPr>
                <w:rFonts w:cs="Arial"/>
                <w:szCs w:val="32"/>
              </w:rPr>
            </w:pPr>
            <w:r w:rsidRPr="00613BFB">
              <w:rPr>
                <w:rFonts w:cs="Arial"/>
                <w:szCs w:val="32"/>
              </w:rPr>
              <w:t>Intravenous</w:t>
            </w:r>
          </w:p>
        </w:tc>
        <w:tc>
          <w:tcPr>
            <w:tcW w:w="1846" w:type="dxa"/>
          </w:tcPr>
          <w:p w14:paraId="1958A1C3" w14:textId="77777777" w:rsidR="00324CA2" w:rsidRPr="00613BFB" w:rsidRDefault="00324CA2" w:rsidP="00D4643D">
            <w:pPr>
              <w:ind w:left="-180"/>
              <w:jc w:val="center"/>
              <w:rPr>
                <w:rFonts w:cs="Arial"/>
                <w:szCs w:val="32"/>
              </w:rPr>
            </w:pPr>
            <w:r w:rsidRPr="00613BFB">
              <w:rPr>
                <w:rFonts w:cs="Arial"/>
                <w:szCs w:val="32"/>
              </w:rPr>
              <w:t>Subcutaneous</w:t>
            </w:r>
          </w:p>
        </w:tc>
        <w:tc>
          <w:tcPr>
            <w:tcW w:w="1847" w:type="dxa"/>
          </w:tcPr>
          <w:p w14:paraId="78427C1F" w14:textId="77777777" w:rsidR="00324CA2" w:rsidRPr="00613BFB" w:rsidRDefault="00324CA2" w:rsidP="00D4643D">
            <w:pPr>
              <w:ind w:left="-180"/>
              <w:jc w:val="center"/>
              <w:rPr>
                <w:rFonts w:cs="Arial"/>
                <w:szCs w:val="32"/>
              </w:rPr>
            </w:pPr>
            <w:r w:rsidRPr="00613BFB">
              <w:rPr>
                <w:rFonts w:cs="Arial"/>
                <w:szCs w:val="32"/>
              </w:rPr>
              <w:t>Intravenous</w:t>
            </w:r>
          </w:p>
        </w:tc>
      </w:tr>
      <w:tr w:rsidR="00D4643D" w:rsidRPr="00613BFB" w14:paraId="6E8E94C6" w14:textId="77777777" w:rsidTr="00D4643D">
        <w:trPr>
          <w:trHeight w:val="1115"/>
        </w:trPr>
        <w:tc>
          <w:tcPr>
            <w:tcW w:w="1584" w:type="dxa"/>
          </w:tcPr>
          <w:p w14:paraId="1132DD1B" w14:textId="77777777" w:rsidR="00324CA2" w:rsidRPr="00613BFB" w:rsidRDefault="00324CA2" w:rsidP="00D4643D">
            <w:pPr>
              <w:ind w:left="-180"/>
              <w:jc w:val="center"/>
              <w:rPr>
                <w:rFonts w:cs="Arial"/>
                <w:szCs w:val="32"/>
              </w:rPr>
            </w:pPr>
            <w:r w:rsidRPr="00613BFB">
              <w:rPr>
                <w:rFonts w:cs="Arial"/>
                <w:szCs w:val="32"/>
              </w:rPr>
              <w:t>Dose</w:t>
            </w:r>
          </w:p>
          <w:p w14:paraId="675914F2" w14:textId="77777777" w:rsidR="00324CA2" w:rsidRPr="00613BFB" w:rsidRDefault="00324CA2" w:rsidP="00D4643D">
            <w:pPr>
              <w:ind w:left="-180"/>
              <w:rPr>
                <w:rFonts w:cs="Arial"/>
                <w:szCs w:val="32"/>
              </w:rPr>
            </w:pPr>
          </w:p>
        </w:tc>
        <w:tc>
          <w:tcPr>
            <w:tcW w:w="1839" w:type="dxa"/>
          </w:tcPr>
          <w:p w14:paraId="5F857455" w14:textId="77777777" w:rsidR="00324CA2" w:rsidRPr="00613BFB" w:rsidRDefault="00324CA2" w:rsidP="00D4643D">
            <w:pPr>
              <w:ind w:left="-180"/>
              <w:jc w:val="center"/>
              <w:rPr>
                <w:rFonts w:cs="Arial"/>
                <w:szCs w:val="32"/>
              </w:rPr>
            </w:pPr>
            <w:r w:rsidRPr="00613BFB">
              <w:rPr>
                <w:rFonts w:cs="Arial"/>
                <w:szCs w:val="32"/>
              </w:rPr>
              <w:t>600 mg</w:t>
            </w:r>
          </w:p>
          <w:p w14:paraId="1DCCDAB7" w14:textId="77777777" w:rsidR="00324CA2" w:rsidRPr="00613BFB" w:rsidRDefault="00324CA2" w:rsidP="00D4643D">
            <w:pPr>
              <w:ind w:left="-180"/>
              <w:jc w:val="center"/>
              <w:rPr>
                <w:rFonts w:cs="Arial"/>
                <w:szCs w:val="32"/>
              </w:rPr>
            </w:pPr>
            <w:r w:rsidRPr="00613BFB">
              <w:rPr>
                <w:rFonts w:cs="Arial"/>
                <w:szCs w:val="32"/>
              </w:rPr>
              <w:t>(Two 300-mg</w:t>
            </w:r>
          </w:p>
          <w:p w14:paraId="56EF5F4B" w14:textId="77777777" w:rsidR="00324CA2" w:rsidRPr="00613BFB" w:rsidRDefault="00324CA2" w:rsidP="00D4643D">
            <w:pPr>
              <w:ind w:left="-180"/>
              <w:jc w:val="center"/>
              <w:rPr>
                <w:rFonts w:cs="Arial"/>
                <w:szCs w:val="32"/>
              </w:rPr>
            </w:pPr>
            <w:r w:rsidRPr="00613BFB">
              <w:rPr>
                <w:rFonts w:cs="Arial"/>
                <w:szCs w:val="32"/>
              </w:rPr>
              <w:t>tablets/dose)</w:t>
            </w:r>
          </w:p>
          <w:p w14:paraId="38279EA8" w14:textId="77777777" w:rsidR="00324CA2" w:rsidRPr="00613BFB" w:rsidRDefault="00324CA2" w:rsidP="00D4643D">
            <w:pPr>
              <w:ind w:left="-180"/>
              <w:rPr>
                <w:rFonts w:cs="Arial"/>
                <w:szCs w:val="32"/>
              </w:rPr>
            </w:pPr>
          </w:p>
          <w:p w14:paraId="62FE67C6" w14:textId="77777777" w:rsidR="00324CA2" w:rsidRPr="00613BFB" w:rsidRDefault="00324CA2" w:rsidP="00D4643D">
            <w:pPr>
              <w:ind w:left="-180"/>
              <w:rPr>
                <w:rFonts w:cs="Arial"/>
                <w:szCs w:val="32"/>
              </w:rPr>
            </w:pPr>
          </w:p>
        </w:tc>
        <w:tc>
          <w:tcPr>
            <w:tcW w:w="1928" w:type="dxa"/>
          </w:tcPr>
          <w:p w14:paraId="54E0017A" w14:textId="77777777" w:rsidR="00324CA2" w:rsidRPr="00613BFB" w:rsidRDefault="00324CA2" w:rsidP="00D4643D">
            <w:pPr>
              <w:ind w:left="-180"/>
              <w:jc w:val="center"/>
              <w:rPr>
                <w:rFonts w:cs="Arial"/>
                <w:szCs w:val="32"/>
              </w:rPr>
            </w:pPr>
            <w:r w:rsidRPr="00613BFB">
              <w:rPr>
                <w:rFonts w:cs="Arial"/>
                <w:szCs w:val="32"/>
              </w:rPr>
              <w:t>30 mg/dose</w:t>
            </w:r>
          </w:p>
        </w:tc>
        <w:tc>
          <w:tcPr>
            <w:tcW w:w="1841" w:type="dxa"/>
          </w:tcPr>
          <w:p w14:paraId="30A58A66" w14:textId="77777777" w:rsidR="00324CA2" w:rsidRPr="00613BFB" w:rsidRDefault="00324CA2" w:rsidP="00D4643D">
            <w:pPr>
              <w:ind w:left="-180"/>
              <w:jc w:val="center"/>
              <w:rPr>
                <w:rFonts w:cs="Arial"/>
                <w:szCs w:val="32"/>
              </w:rPr>
            </w:pPr>
            <w:r w:rsidRPr="00613BFB">
              <w:rPr>
                <w:rFonts w:cs="Arial"/>
                <w:szCs w:val="32"/>
              </w:rPr>
              <w:t>20 units/kg/dose</w:t>
            </w:r>
          </w:p>
        </w:tc>
        <w:tc>
          <w:tcPr>
            <w:tcW w:w="1846" w:type="dxa"/>
          </w:tcPr>
          <w:p w14:paraId="59BB462B" w14:textId="77777777" w:rsidR="00324CA2" w:rsidRPr="00613BFB" w:rsidRDefault="00324CA2" w:rsidP="00D4643D">
            <w:pPr>
              <w:ind w:left="-180"/>
              <w:jc w:val="center"/>
              <w:rPr>
                <w:rFonts w:cs="Arial"/>
                <w:szCs w:val="32"/>
              </w:rPr>
            </w:pPr>
            <w:r w:rsidRPr="00613BFB">
              <w:rPr>
                <w:rFonts w:cs="Arial"/>
                <w:szCs w:val="32"/>
              </w:rPr>
              <w:t>30 mg</w:t>
            </w:r>
          </w:p>
          <w:p w14:paraId="007FB4AB" w14:textId="77777777" w:rsidR="00324CA2" w:rsidRPr="00613BFB" w:rsidRDefault="00324CA2" w:rsidP="00D4643D">
            <w:pPr>
              <w:ind w:left="-180"/>
              <w:jc w:val="center"/>
              <w:rPr>
                <w:rFonts w:cs="Arial"/>
                <w:szCs w:val="32"/>
              </w:rPr>
            </w:pPr>
            <w:r w:rsidRPr="00613BFB">
              <w:rPr>
                <w:rFonts w:cs="Arial"/>
                <w:szCs w:val="32"/>
              </w:rPr>
              <w:t>(3 doses of</w:t>
            </w:r>
          </w:p>
          <w:p w14:paraId="3E42BDD1" w14:textId="77777777" w:rsidR="00324CA2" w:rsidRPr="00613BFB" w:rsidRDefault="00324CA2" w:rsidP="00D4643D">
            <w:pPr>
              <w:ind w:left="-180"/>
              <w:jc w:val="center"/>
              <w:rPr>
                <w:rFonts w:cs="Arial"/>
                <w:szCs w:val="32"/>
              </w:rPr>
            </w:pPr>
            <w:r w:rsidRPr="00613BFB">
              <w:rPr>
                <w:rFonts w:cs="Arial"/>
                <w:szCs w:val="32"/>
              </w:rPr>
              <w:t>10 mg each) given as 3 separate</w:t>
            </w:r>
          </w:p>
          <w:p w14:paraId="2178CF86" w14:textId="77777777" w:rsidR="00324CA2" w:rsidRPr="00613BFB" w:rsidRDefault="00324CA2" w:rsidP="00D4643D">
            <w:pPr>
              <w:ind w:left="-180"/>
              <w:jc w:val="center"/>
              <w:rPr>
                <w:rFonts w:cs="Arial"/>
                <w:szCs w:val="32"/>
              </w:rPr>
            </w:pPr>
            <w:r w:rsidRPr="00613BFB">
              <w:rPr>
                <w:rFonts w:cs="Arial"/>
                <w:szCs w:val="32"/>
              </w:rPr>
              <w:t>injections at least</w:t>
            </w:r>
          </w:p>
          <w:p w14:paraId="32BE0965" w14:textId="77777777" w:rsidR="00324CA2" w:rsidRPr="00613BFB" w:rsidRDefault="00324CA2" w:rsidP="00D4643D">
            <w:pPr>
              <w:ind w:left="-180"/>
              <w:jc w:val="center"/>
              <w:rPr>
                <w:rFonts w:cs="Arial"/>
                <w:szCs w:val="32"/>
              </w:rPr>
            </w:pPr>
            <w:r w:rsidRPr="00613BFB">
              <w:rPr>
                <w:rFonts w:cs="Arial"/>
                <w:szCs w:val="32"/>
              </w:rPr>
              <w:t>2 inches apart</w:t>
            </w:r>
          </w:p>
        </w:tc>
        <w:tc>
          <w:tcPr>
            <w:tcW w:w="1847" w:type="dxa"/>
          </w:tcPr>
          <w:p w14:paraId="3F7B26A2" w14:textId="77777777" w:rsidR="00324CA2" w:rsidRPr="00613BFB" w:rsidRDefault="00324CA2" w:rsidP="00D4643D">
            <w:pPr>
              <w:ind w:left="-180"/>
              <w:jc w:val="center"/>
              <w:rPr>
                <w:rFonts w:cs="Arial"/>
                <w:szCs w:val="32"/>
              </w:rPr>
            </w:pPr>
            <w:r w:rsidRPr="00613BFB">
              <w:rPr>
                <w:rFonts w:cs="Arial"/>
                <w:szCs w:val="32"/>
              </w:rPr>
              <w:t>• Patient weight</w:t>
            </w:r>
          </w:p>
          <w:p w14:paraId="7285DE81" w14:textId="77777777" w:rsidR="00324CA2" w:rsidRPr="00613BFB" w:rsidRDefault="00324CA2" w:rsidP="00D4643D">
            <w:pPr>
              <w:ind w:left="-180"/>
              <w:jc w:val="center"/>
              <w:rPr>
                <w:rFonts w:cs="Arial"/>
                <w:szCs w:val="32"/>
              </w:rPr>
            </w:pPr>
            <w:r w:rsidRPr="00613BFB">
              <w:rPr>
                <w:rFonts w:cs="Arial"/>
                <w:szCs w:val="32"/>
              </w:rPr>
              <w:t>&lt;</w:t>
            </w:r>
            <w:r>
              <w:rPr>
                <w:rFonts w:cs="Arial"/>
                <w:szCs w:val="32"/>
              </w:rPr>
              <w:t xml:space="preserve"> </w:t>
            </w:r>
            <w:r w:rsidRPr="00613BFB">
              <w:rPr>
                <w:rFonts w:cs="Arial"/>
                <w:szCs w:val="32"/>
              </w:rPr>
              <w:t>84 kg: 50</w:t>
            </w:r>
          </w:p>
          <w:p w14:paraId="14B5E9E9" w14:textId="77777777" w:rsidR="00324CA2" w:rsidRPr="00613BFB" w:rsidRDefault="00324CA2" w:rsidP="00D4643D">
            <w:pPr>
              <w:ind w:left="-180"/>
              <w:jc w:val="center"/>
              <w:rPr>
                <w:rFonts w:cs="Arial"/>
                <w:szCs w:val="32"/>
              </w:rPr>
            </w:pPr>
            <w:r w:rsidRPr="00613BFB">
              <w:rPr>
                <w:rFonts w:cs="Arial"/>
                <w:szCs w:val="32"/>
              </w:rPr>
              <w:t>units/kg/dose</w:t>
            </w:r>
          </w:p>
          <w:p w14:paraId="21DB4A9E" w14:textId="77777777" w:rsidR="00324CA2" w:rsidRPr="00613BFB" w:rsidRDefault="00324CA2" w:rsidP="00D4643D">
            <w:pPr>
              <w:ind w:left="-180"/>
              <w:jc w:val="center"/>
              <w:rPr>
                <w:rFonts w:cs="Arial"/>
                <w:szCs w:val="32"/>
              </w:rPr>
            </w:pPr>
          </w:p>
          <w:p w14:paraId="74CA4100" w14:textId="77777777" w:rsidR="00324CA2" w:rsidRPr="00613BFB" w:rsidRDefault="00324CA2" w:rsidP="00D4643D">
            <w:pPr>
              <w:ind w:left="-180"/>
              <w:jc w:val="center"/>
              <w:rPr>
                <w:rFonts w:cs="Arial"/>
                <w:szCs w:val="32"/>
              </w:rPr>
            </w:pPr>
            <w:r w:rsidRPr="00613BFB">
              <w:rPr>
                <w:rFonts w:cs="Arial"/>
                <w:szCs w:val="32"/>
              </w:rPr>
              <w:t>• Patient weight</w:t>
            </w:r>
          </w:p>
          <w:p w14:paraId="0E2C8049"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84 kg: 4200 units</w:t>
            </w:r>
          </w:p>
          <w:p w14:paraId="5C42178E" w14:textId="77777777" w:rsidR="00324CA2" w:rsidRPr="00613BFB" w:rsidRDefault="00324CA2" w:rsidP="00D4643D">
            <w:pPr>
              <w:ind w:left="-180"/>
              <w:jc w:val="center"/>
              <w:rPr>
                <w:rFonts w:cs="Arial"/>
                <w:szCs w:val="32"/>
              </w:rPr>
            </w:pPr>
            <w:r w:rsidRPr="00613BFB">
              <w:rPr>
                <w:rFonts w:cs="Arial"/>
                <w:szCs w:val="32"/>
              </w:rPr>
              <w:t>(2 vials)/dose</w:t>
            </w:r>
          </w:p>
        </w:tc>
      </w:tr>
      <w:tr w:rsidR="00D4643D" w:rsidRPr="00613BFB" w14:paraId="54F2BC54" w14:textId="77777777" w:rsidTr="00D4643D">
        <w:trPr>
          <w:trHeight w:val="377"/>
        </w:trPr>
        <w:tc>
          <w:tcPr>
            <w:tcW w:w="1584" w:type="dxa"/>
          </w:tcPr>
          <w:p w14:paraId="6EEE693C" w14:textId="77777777" w:rsidR="00324CA2" w:rsidRPr="00613BFB" w:rsidRDefault="00324CA2" w:rsidP="00D4643D">
            <w:pPr>
              <w:ind w:left="-180"/>
              <w:jc w:val="center"/>
              <w:rPr>
                <w:rFonts w:cs="Arial"/>
                <w:szCs w:val="32"/>
              </w:rPr>
            </w:pPr>
            <w:r w:rsidRPr="00613BFB">
              <w:rPr>
                <w:rFonts w:cs="Arial"/>
                <w:szCs w:val="32"/>
              </w:rPr>
              <w:t>Age</w:t>
            </w:r>
          </w:p>
        </w:tc>
        <w:tc>
          <w:tcPr>
            <w:tcW w:w="1839" w:type="dxa"/>
          </w:tcPr>
          <w:p w14:paraId="4B4825FF"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12 years</w:t>
            </w:r>
          </w:p>
        </w:tc>
        <w:tc>
          <w:tcPr>
            <w:tcW w:w="1928" w:type="dxa"/>
          </w:tcPr>
          <w:p w14:paraId="29E68393"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18 years</w:t>
            </w:r>
          </w:p>
        </w:tc>
        <w:tc>
          <w:tcPr>
            <w:tcW w:w="1841" w:type="dxa"/>
          </w:tcPr>
          <w:p w14:paraId="0B527360"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5 years</w:t>
            </w:r>
          </w:p>
          <w:p w14:paraId="7520DC99" w14:textId="77777777" w:rsidR="00324CA2" w:rsidRPr="00613BFB" w:rsidRDefault="00324CA2" w:rsidP="00D4643D">
            <w:pPr>
              <w:ind w:left="-180"/>
              <w:rPr>
                <w:rFonts w:cs="Arial"/>
                <w:szCs w:val="32"/>
              </w:rPr>
            </w:pPr>
          </w:p>
        </w:tc>
        <w:tc>
          <w:tcPr>
            <w:tcW w:w="1846" w:type="dxa"/>
          </w:tcPr>
          <w:p w14:paraId="08BBD8AA"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12 years</w:t>
            </w:r>
          </w:p>
        </w:tc>
        <w:tc>
          <w:tcPr>
            <w:tcW w:w="1847" w:type="dxa"/>
          </w:tcPr>
          <w:p w14:paraId="2973A7A2" w14:textId="77777777" w:rsidR="00324CA2" w:rsidRPr="00613BFB" w:rsidRDefault="00324CA2" w:rsidP="00D4643D">
            <w:pPr>
              <w:ind w:left="-180"/>
              <w:jc w:val="center"/>
              <w:rPr>
                <w:rFonts w:cs="Arial"/>
                <w:szCs w:val="32"/>
              </w:rPr>
            </w:pPr>
            <w:r w:rsidRPr="00613BFB">
              <w:rPr>
                <w:rFonts w:cs="Arial"/>
                <w:szCs w:val="32"/>
              </w:rPr>
              <w:t>≥</w:t>
            </w:r>
            <w:r>
              <w:rPr>
                <w:rFonts w:cs="Arial"/>
                <w:szCs w:val="32"/>
              </w:rPr>
              <w:t xml:space="preserve"> </w:t>
            </w:r>
            <w:r w:rsidRPr="00613BFB">
              <w:rPr>
                <w:rFonts w:cs="Arial"/>
                <w:szCs w:val="32"/>
              </w:rPr>
              <w:t>12 years</w:t>
            </w:r>
          </w:p>
        </w:tc>
      </w:tr>
      <w:tr w:rsidR="00D4643D" w:rsidRPr="00613BFB" w14:paraId="54A908B0" w14:textId="77777777" w:rsidTr="00D4643D">
        <w:trPr>
          <w:trHeight w:val="803"/>
        </w:trPr>
        <w:tc>
          <w:tcPr>
            <w:tcW w:w="1584" w:type="dxa"/>
          </w:tcPr>
          <w:p w14:paraId="7F2FD17B" w14:textId="77777777" w:rsidR="00324CA2" w:rsidRPr="00613BFB" w:rsidRDefault="00324CA2" w:rsidP="00D4643D">
            <w:pPr>
              <w:ind w:left="-180"/>
              <w:jc w:val="center"/>
              <w:rPr>
                <w:rFonts w:cs="Arial"/>
                <w:szCs w:val="32"/>
              </w:rPr>
            </w:pPr>
            <w:r w:rsidRPr="00613BFB">
              <w:rPr>
                <w:rFonts w:cs="Arial"/>
                <w:szCs w:val="32"/>
              </w:rPr>
              <w:t>Self-Administration</w:t>
            </w:r>
          </w:p>
        </w:tc>
        <w:tc>
          <w:tcPr>
            <w:tcW w:w="1839" w:type="dxa"/>
          </w:tcPr>
          <w:p w14:paraId="68845C42" w14:textId="77777777" w:rsidR="00324CA2" w:rsidRPr="00613BFB" w:rsidRDefault="00324CA2" w:rsidP="00D4643D">
            <w:pPr>
              <w:ind w:left="-180"/>
              <w:jc w:val="center"/>
              <w:rPr>
                <w:rFonts w:cs="Arial"/>
                <w:szCs w:val="32"/>
              </w:rPr>
            </w:pPr>
            <w:r w:rsidRPr="00613BFB">
              <w:rPr>
                <w:rFonts w:cs="Arial"/>
                <w:szCs w:val="32"/>
              </w:rPr>
              <w:t>Yes</w:t>
            </w:r>
          </w:p>
        </w:tc>
        <w:tc>
          <w:tcPr>
            <w:tcW w:w="1928" w:type="dxa"/>
          </w:tcPr>
          <w:p w14:paraId="38D4447E" w14:textId="77777777" w:rsidR="00324CA2" w:rsidRPr="00613BFB" w:rsidRDefault="00324CA2" w:rsidP="00D4643D">
            <w:pPr>
              <w:ind w:left="-180"/>
              <w:jc w:val="center"/>
              <w:rPr>
                <w:rFonts w:cs="Arial"/>
                <w:szCs w:val="32"/>
              </w:rPr>
            </w:pPr>
            <w:r w:rsidRPr="00613BFB">
              <w:rPr>
                <w:rFonts w:cs="Arial"/>
                <w:szCs w:val="32"/>
              </w:rPr>
              <w:t>Yes</w:t>
            </w:r>
          </w:p>
        </w:tc>
        <w:tc>
          <w:tcPr>
            <w:tcW w:w="1841" w:type="dxa"/>
          </w:tcPr>
          <w:p w14:paraId="42545A8F" w14:textId="77777777" w:rsidR="00324CA2" w:rsidRPr="00613BFB" w:rsidRDefault="00324CA2" w:rsidP="00D4643D">
            <w:pPr>
              <w:ind w:left="-180"/>
              <w:jc w:val="center"/>
              <w:rPr>
                <w:rFonts w:cs="Arial"/>
                <w:szCs w:val="32"/>
              </w:rPr>
            </w:pPr>
            <w:r w:rsidRPr="00613BFB">
              <w:rPr>
                <w:rFonts w:cs="Arial"/>
                <w:szCs w:val="32"/>
              </w:rPr>
              <w:t>Yes</w:t>
            </w:r>
          </w:p>
        </w:tc>
        <w:tc>
          <w:tcPr>
            <w:tcW w:w="1846" w:type="dxa"/>
          </w:tcPr>
          <w:p w14:paraId="3922F00C" w14:textId="77777777" w:rsidR="00324CA2" w:rsidRPr="00613BFB" w:rsidRDefault="00324CA2" w:rsidP="00D4643D">
            <w:pPr>
              <w:ind w:left="-180"/>
              <w:jc w:val="center"/>
              <w:rPr>
                <w:rFonts w:cs="Arial"/>
                <w:szCs w:val="32"/>
              </w:rPr>
            </w:pPr>
            <w:r w:rsidRPr="00613BFB">
              <w:rPr>
                <w:rFonts w:cs="Arial"/>
                <w:szCs w:val="32"/>
              </w:rPr>
              <w:t>No; healthcare professionals must administer</w:t>
            </w:r>
          </w:p>
        </w:tc>
        <w:tc>
          <w:tcPr>
            <w:tcW w:w="1847" w:type="dxa"/>
          </w:tcPr>
          <w:p w14:paraId="0C5FDCDF" w14:textId="77777777" w:rsidR="00324CA2" w:rsidRPr="00613BFB" w:rsidRDefault="00324CA2" w:rsidP="00D4643D">
            <w:pPr>
              <w:ind w:left="-180"/>
              <w:jc w:val="center"/>
              <w:rPr>
                <w:rFonts w:cs="Arial"/>
                <w:szCs w:val="32"/>
              </w:rPr>
            </w:pPr>
            <w:r w:rsidRPr="00613BFB">
              <w:rPr>
                <w:rFonts w:cs="Arial"/>
                <w:szCs w:val="32"/>
              </w:rPr>
              <w:t>Yes</w:t>
            </w:r>
          </w:p>
        </w:tc>
      </w:tr>
      <w:tr w:rsidR="00D4643D" w:rsidRPr="00613BFB" w14:paraId="338A149A" w14:textId="77777777" w:rsidTr="00D4643D">
        <w:trPr>
          <w:trHeight w:val="728"/>
        </w:trPr>
        <w:tc>
          <w:tcPr>
            <w:tcW w:w="1584" w:type="dxa"/>
          </w:tcPr>
          <w:p w14:paraId="73BF322F" w14:textId="77777777" w:rsidR="00324CA2" w:rsidRPr="00613BFB" w:rsidRDefault="00324CA2" w:rsidP="00D4643D">
            <w:pPr>
              <w:ind w:left="-180"/>
              <w:jc w:val="center"/>
              <w:rPr>
                <w:rFonts w:cs="Arial"/>
                <w:szCs w:val="32"/>
              </w:rPr>
            </w:pPr>
            <w:r w:rsidRPr="00613BFB">
              <w:rPr>
                <w:rFonts w:cs="Arial"/>
                <w:szCs w:val="32"/>
              </w:rPr>
              <w:t>Redosing Rates Reported</w:t>
            </w:r>
          </w:p>
        </w:tc>
        <w:tc>
          <w:tcPr>
            <w:tcW w:w="1839" w:type="dxa"/>
          </w:tcPr>
          <w:p w14:paraId="08F524A5" w14:textId="77777777" w:rsidR="00324CA2" w:rsidRPr="00613BFB" w:rsidRDefault="00324CA2" w:rsidP="00D4643D">
            <w:pPr>
              <w:ind w:left="-180"/>
              <w:jc w:val="center"/>
              <w:rPr>
                <w:rFonts w:cs="Arial"/>
                <w:szCs w:val="32"/>
              </w:rPr>
            </w:pPr>
            <w:r w:rsidRPr="00613BFB">
              <w:rPr>
                <w:rFonts w:cs="Arial"/>
                <w:szCs w:val="32"/>
              </w:rPr>
              <w:t>13%–38% of</w:t>
            </w:r>
          </w:p>
          <w:p w14:paraId="3F8B9340" w14:textId="77777777" w:rsidR="00324CA2" w:rsidRPr="00613BFB" w:rsidRDefault="00324CA2" w:rsidP="00D4643D">
            <w:pPr>
              <w:ind w:left="-180"/>
              <w:jc w:val="center"/>
              <w:rPr>
                <w:rFonts w:cs="Arial"/>
                <w:szCs w:val="32"/>
              </w:rPr>
            </w:pPr>
            <w:r w:rsidRPr="00613BFB">
              <w:rPr>
                <w:rFonts w:cs="Arial"/>
                <w:szCs w:val="32"/>
              </w:rPr>
              <w:t>episodes</w:t>
            </w:r>
          </w:p>
        </w:tc>
        <w:tc>
          <w:tcPr>
            <w:tcW w:w="1928" w:type="dxa"/>
          </w:tcPr>
          <w:p w14:paraId="689CD8C3" w14:textId="77777777" w:rsidR="00324CA2" w:rsidRPr="00613BFB" w:rsidRDefault="00324CA2" w:rsidP="00D4643D">
            <w:pPr>
              <w:ind w:left="-180"/>
              <w:jc w:val="center"/>
              <w:rPr>
                <w:rFonts w:cs="Arial"/>
                <w:szCs w:val="32"/>
              </w:rPr>
            </w:pPr>
            <w:r w:rsidRPr="00613BFB">
              <w:rPr>
                <w:rFonts w:cs="Arial"/>
                <w:szCs w:val="32"/>
              </w:rPr>
              <w:t>7%–44% of</w:t>
            </w:r>
          </w:p>
          <w:p w14:paraId="64349ADD" w14:textId="77777777" w:rsidR="00324CA2" w:rsidRPr="00613BFB" w:rsidRDefault="00324CA2" w:rsidP="00D4643D">
            <w:pPr>
              <w:ind w:left="-180"/>
              <w:jc w:val="center"/>
              <w:rPr>
                <w:rFonts w:cs="Arial"/>
                <w:szCs w:val="32"/>
              </w:rPr>
            </w:pPr>
            <w:r w:rsidRPr="00613BFB">
              <w:rPr>
                <w:rFonts w:cs="Arial"/>
                <w:szCs w:val="32"/>
              </w:rPr>
              <w:t>episodes</w:t>
            </w:r>
          </w:p>
        </w:tc>
        <w:tc>
          <w:tcPr>
            <w:tcW w:w="1841" w:type="dxa"/>
          </w:tcPr>
          <w:p w14:paraId="5125EAF3" w14:textId="77777777" w:rsidR="00324CA2" w:rsidRPr="00613BFB" w:rsidRDefault="00324CA2" w:rsidP="00D4643D">
            <w:pPr>
              <w:ind w:left="-180"/>
              <w:jc w:val="center"/>
              <w:rPr>
                <w:rFonts w:cs="Arial"/>
                <w:szCs w:val="32"/>
              </w:rPr>
            </w:pPr>
            <w:r w:rsidRPr="00613BFB">
              <w:rPr>
                <w:rFonts w:cs="Arial"/>
                <w:szCs w:val="32"/>
              </w:rPr>
              <w:t>8%–30% of</w:t>
            </w:r>
          </w:p>
          <w:p w14:paraId="36B33DE0" w14:textId="77777777" w:rsidR="00324CA2" w:rsidRPr="00613BFB" w:rsidRDefault="00324CA2" w:rsidP="00D4643D">
            <w:pPr>
              <w:ind w:left="-180"/>
              <w:jc w:val="center"/>
              <w:rPr>
                <w:rFonts w:cs="Arial"/>
                <w:szCs w:val="32"/>
              </w:rPr>
            </w:pPr>
            <w:r w:rsidRPr="00613BFB">
              <w:rPr>
                <w:rFonts w:cs="Arial"/>
                <w:szCs w:val="32"/>
              </w:rPr>
              <w:t>episodes</w:t>
            </w:r>
          </w:p>
        </w:tc>
        <w:tc>
          <w:tcPr>
            <w:tcW w:w="1846" w:type="dxa"/>
          </w:tcPr>
          <w:p w14:paraId="15598CCD" w14:textId="77777777" w:rsidR="00324CA2" w:rsidRPr="00613BFB" w:rsidRDefault="00324CA2" w:rsidP="00D4643D">
            <w:pPr>
              <w:ind w:left="-180"/>
              <w:jc w:val="center"/>
              <w:rPr>
                <w:rFonts w:cs="Arial"/>
                <w:szCs w:val="32"/>
              </w:rPr>
            </w:pPr>
            <w:r w:rsidRPr="00613BFB">
              <w:rPr>
                <w:rFonts w:cs="Arial"/>
                <w:szCs w:val="32"/>
              </w:rPr>
              <w:t>6%–18% of</w:t>
            </w:r>
          </w:p>
          <w:p w14:paraId="277B4075" w14:textId="77777777" w:rsidR="00324CA2" w:rsidRPr="00613BFB" w:rsidRDefault="00324CA2" w:rsidP="00D4643D">
            <w:pPr>
              <w:ind w:left="-180"/>
              <w:jc w:val="center"/>
              <w:rPr>
                <w:rFonts w:cs="Arial"/>
                <w:szCs w:val="32"/>
              </w:rPr>
            </w:pPr>
            <w:r w:rsidRPr="00613BFB">
              <w:rPr>
                <w:rFonts w:cs="Arial"/>
                <w:szCs w:val="32"/>
              </w:rPr>
              <w:t>episodes</w:t>
            </w:r>
          </w:p>
        </w:tc>
        <w:tc>
          <w:tcPr>
            <w:tcW w:w="1847" w:type="dxa"/>
          </w:tcPr>
          <w:p w14:paraId="3E6493E2" w14:textId="77777777" w:rsidR="00324CA2" w:rsidRPr="00613BFB" w:rsidRDefault="00324CA2" w:rsidP="00D4643D">
            <w:pPr>
              <w:ind w:left="-180"/>
              <w:jc w:val="center"/>
              <w:rPr>
                <w:rFonts w:cs="Arial"/>
                <w:szCs w:val="32"/>
              </w:rPr>
            </w:pPr>
            <w:r w:rsidRPr="00613BFB">
              <w:rPr>
                <w:rFonts w:cs="Arial"/>
                <w:szCs w:val="32"/>
              </w:rPr>
              <w:t>2%–10% of episodes</w:t>
            </w:r>
          </w:p>
        </w:tc>
      </w:tr>
    </w:tbl>
    <w:p w14:paraId="4D9A21AB" w14:textId="7105429F" w:rsidR="005D0C2C" w:rsidRDefault="00324CA2" w:rsidP="003A43A6">
      <w:pPr>
        <w:rPr>
          <w:rFonts w:cs="Arial"/>
          <w:szCs w:val="20"/>
        </w:rPr>
      </w:pPr>
      <w:r>
        <w:rPr>
          <w:rFonts w:cs="Arial"/>
          <w:szCs w:val="20"/>
        </w:rPr>
        <w:t xml:space="preserve">B2 RA: </w:t>
      </w:r>
      <w:r w:rsidRPr="00AE1BC4">
        <w:rPr>
          <w:rFonts w:cs="Arial"/>
          <w:szCs w:val="20"/>
        </w:rPr>
        <w:t>B2 receptor antagonist</w:t>
      </w:r>
    </w:p>
    <w:p w14:paraId="4CAB03DF" w14:textId="77777777" w:rsidR="00324CA2" w:rsidRPr="002C2C41" w:rsidRDefault="00324CA2" w:rsidP="003A43A6">
      <w:pPr>
        <w:rPr>
          <w:rFonts w:cs="Arial"/>
          <w:szCs w:val="20"/>
        </w:rPr>
      </w:pPr>
    </w:p>
    <w:p w14:paraId="644ADB2B" w14:textId="6861DD0E" w:rsidR="003A43A6" w:rsidRPr="0036710C" w:rsidRDefault="003A43A6" w:rsidP="0036710C">
      <w:pPr>
        <w:pStyle w:val="Heading1"/>
        <w:jc w:val="left"/>
        <w:rPr>
          <w:color w:val="002060"/>
          <w:sz w:val="32"/>
          <w:szCs w:val="32"/>
          <w:lang w:val="en-US"/>
        </w:rPr>
      </w:pPr>
      <w:r w:rsidRPr="0036710C">
        <w:rPr>
          <w:color w:val="002060"/>
          <w:sz w:val="32"/>
          <w:szCs w:val="32"/>
          <w:lang w:val="en-US"/>
        </w:rPr>
        <w:lastRenderedPageBreak/>
        <w:t>Prior Authorization Approval Criteria</w:t>
      </w:r>
      <w:r w:rsidR="00E00FA5">
        <w:rPr>
          <w:color w:val="002060"/>
          <w:sz w:val="32"/>
          <w:szCs w:val="32"/>
          <w:lang w:val="en-US"/>
        </w:rPr>
        <w:t xml:space="preserve"> </w:t>
      </w:r>
    </w:p>
    <w:p w14:paraId="26C6F74F" w14:textId="5CA4E21E" w:rsidR="003A43A6" w:rsidRPr="00B67C89" w:rsidRDefault="00613BFB" w:rsidP="003A43A6">
      <w:pPr>
        <w:ind w:left="-180"/>
        <w:rPr>
          <w:rFonts w:cs="Arial"/>
          <w:b/>
          <w:bCs/>
          <w:szCs w:val="32"/>
          <w:u w:val="single"/>
        </w:rPr>
      </w:pPr>
      <w:r w:rsidRPr="00B67C89">
        <w:rPr>
          <w:rFonts w:cs="Arial"/>
          <w:b/>
          <w:bCs/>
          <w:szCs w:val="32"/>
          <w:u w:val="single"/>
        </w:rPr>
        <w:t>Initial Therapy</w:t>
      </w:r>
    </w:p>
    <w:p w14:paraId="362CCEFB" w14:textId="63665B1B" w:rsidR="00613BFB" w:rsidRDefault="00613BFB" w:rsidP="005D0C2C">
      <w:pPr>
        <w:pStyle w:val="ListParagraph"/>
        <w:numPr>
          <w:ilvl w:val="0"/>
          <w:numId w:val="34"/>
        </w:numPr>
        <w:ind w:left="360"/>
      </w:pPr>
      <w:r>
        <w:t xml:space="preserve">Must meet all of the following: </w:t>
      </w:r>
    </w:p>
    <w:p w14:paraId="700D4B5F" w14:textId="55645394" w:rsidR="00613BFB" w:rsidRDefault="00613BFB" w:rsidP="005D0C2C">
      <w:pPr>
        <w:pStyle w:val="ListParagraph"/>
        <w:numPr>
          <w:ilvl w:val="0"/>
          <w:numId w:val="31"/>
        </w:numPr>
        <w:tabs>
          <w:tab w:val="left" w:pos="900"/>
        </w:tabs>
        <w:ind w:left="720"/>
      </w:pPr>
      <w:r>
        <w:t>Prescribed by or in consultation with an immunologist, allergist, or other specialist in the treated disease state;</w:t>
      </w:r>
    </w:p>
    <w:p w14:paraId="491173B2" w14:textId="4945FBA0" w:rsidR="00613BFB" w:rsidRDefault="00613BFB" w:rsidP="005D0C2C">
      <w:pPr>
        <w:pStyle w:val="ListParagraph"/>
        <w:numPr>
          <w:ilvl w:val="0"/>
          <w:numId w:val="31"/>
        </w:numPr>
        <w:tabs>
          <w:tab w:val="left" w:pos="900"/>
        </w:tabs>
        <w:ind w:left="720"/>
      </w:pPr>
      <w:r>
        <w:t xml:space="preserve">Patients aged 12 years or older; </w:t>
      </w:r>
    </w:p>
    <w:p w14:paraId="3D905AFE" w14:textId="695BAA6A" w:rsidR="00613BFB" w:rsidRDefault="00613BFB" w:rsidP="005D0C2C">
      <w:pPr>
        <w:pStyle w:val="ListParagraph"/>
        <w:numPr>
          <w:ilvl w:val="0"/>
          <w:numId w:val="31"/>
        </w:numPr>
        <w:tabs>
          <w:tab w:val="left" w:pos="900"/>
        </w:tabs>
        <w:ind w:left="720"/>
      </w:pPr>
      <w:r>
        <w:t xml:space="preserve">Documented diagnosis of hereditary angioedema in the last year; </w:t>
      </w:r>
      <w:r w:rsidRPr="005D0C2C">
        <w:rPr>
          <w:b/>
          <w:bCs/>
        </w:rPr>
        <w:t>AND</w:t>
      </w:r>
    </w:p>
    <w:p w14:paraId="65FF8841" w14:textId="4BE0623A" w:rsidR="00613BFB" w:rsidRDefault="00324CA2" w:rsidP="005D0C2C">
      <w:pPr>
        <w:pStyle w:val="ListParagraph"/>
        <w:numPr>
          <w:ilvl w:val="0"/>
          <w:numId w:val="31"/>
        </w:numPr>
        <w:tabs>
          <w:tab w:val="left" w:pos="900"/>
        </w:tabs>
        <w:ind w:left="720"/>
      </w:pPr>
      <w:r>
        <w:t xml:space="preserve"> </w:t>
      </w:r>
      <w:r w:rsidR="00613BFB">
        <w:t>Medication will be used for on-demand treatment of acute HAE attacks</w:t>
      </w:r>
      <w:r w:rsidR="0003305D">
        <w:t>.</w:t>
      </w:r>
    </w:p>
    <w:p w14:paraId="171B187B" w14:textId="4D13F33A" w:rsidR="00613BFB" w:rsidRDefault="00613BFB" w:rsidP="0036710C">
      <w:pPr>
        <w:pStyle w:val="ListParagraph"/>
        <w:numPr>
          <w:ilvl w:val="0"/>
          <w:numId w:val="34"/>
        </w:numPr>
        <w:ind w:left="360"/>
      </w:pPr>
      <w:r>
        <w:t xml:space="preserve">Initial approval period: 6 months </w:t>
      </w:r>
    </w:p>
    <w:p w14:paraId="0586EB9F" w14:textId="77777777" w:rsidR="00613BFB" w:rsidRDefault="00613BFB" w:rsidP="00613BFB"/>
    <w:p w14:paraId="2409EA6F" w14:textId="77777777" w:rsidR="00613BFB" w:rsidRPr="00B67C89" w:rsidRDefault="00613BFB" w:rsidP="00613BFB">
      <w:pPr>
        <w:rPr>
          <w:b/>
          <w:bCs/>
          <w:u w:val="single"/>
        </w:rPr>
      </w:pPr>
      <w:r w:rsidRPr="00B67C89">
        <w:rPr>
          <w:b/>
          <w:bCs/>
          <w:u w:val="single"/>
        </w:rPr>
        <w:t>Continuation of Therapy</w:t>
      </w:r>
    </w:p>
    <w:p w14:paraId="2B737C97" w14:textId="68C86AA3" w:rsidR="00613BFB" w:rsidRDefault="00613BFB" w:rsidP="0036710C">
      <w:pPr>
        <w:pStyle w:val="ListParagraph"/>
        <w:numPr>
          <w:ilvl w:val="0"/>
          <w:numId w:val="34"/>
        </w:numPr>
        <w:ind w:left="360"/>
      </w:pPr>
      <w:r>
        <w:t>Must meet all of the following:</w:t>
      </w:r>
    </w:p>
    <w:p w14:paraId="087F85A6" w14:textId="7F201865" w:rsidR="00613BFB" w:rsidRDefault="00613BFB" w:rsidP="0036710C">
      <w:pPr>
        <w:pStyle w:val="ListParagraph"/>
        <w:numPr>
          <w:ilvl w:val="0"/>
          <w:numId w:val="36"/>
        </w:numPr>
      </w:pPr>
      <w:r>
        <w:t xml:space="preserve">Documented compliance on current therapy regimen </w:t>
      </w:r>
    </w:p>
    <w:p w14:paraId="1F36EE26" w14:textId="3FE052A6" w:rsidR="00613BFB" w:rsidRDefault="00613BFB" w:rsidP="0036710C">
      <w:pPr>
        <w:pStyle w:val="ListParagraph"/>
        <w:numPr>
          <w:ilvl w:val="0"/>
          <w:numId w:val="36"/>
        </w:numPr>
      </w:pPr>
      <w:r>
        <w:t xml:space="preserve">Documentation of benefit from therapy based on goals of therapy; </w:t>
      </w:r>
      <w:r w:rsidRPr="0036710C">
        <w:rPr>
          <w:b/>
          <w:bCs/>
        </w:rPr>
        <w:t>AND</w:t>
      </w:r>
    </w:p>
    <w:p w14:paraId="195AEE2A" w14:textId="735183B6" w:rsidR="00613BFB" w:rsidRDefault="00613BFB" w:rsidP="0036710C">
      <w:pPr>
        <w:pStyle w:val="ListParagraph"/>
        <w:numPr>
          <w:ilvl w:val="0"/>
          <w:numId w:val="36"/>
        </w:numPr>
      </w:pPr>
      <w:r>
        <w:t xml:space="preserve">Not used in combination with other products indicated for </w:t>
      </w:r>
      <w:r w:rsidR="00E51E34">
        <w:t>treatment of acute HAE attacks</w:t>
      </w:r>
      <w:r>
        <w:t xml:space="preserve"> </w:t>
      </w:r>
    </w:p>
    <w:p w14:paraId="506F8A3D" w14:textId="77B53CD9" w:rsidR="00613BFB" w:rsidRDefault="00613BFB" w:rsidP="0036710C">
      <w:pPr>
        <w:pStyle w:val="ListParagraph"/>
        <w:numPr>
          <w:ilvl w:val="0"/>
          <w:numId w:val="34"/>
        </w:numPr>
        <w:ind w:left="360"/>
      </w:pPr>
      <w:r>
        <w:t>Continuation approval period: 12 months</w:t>
      </w:r>
    </w:p>
    <w:p w14:paraId="62171CDA" w14:textId="77777777" w:rsidR="00613BFB" w:rsidRDefault="00613BFB" w:rsidP="00613BFB"/>
    <w:p w14:paraId="2BBAB71B" w14:textId="77777777" w:rsidR="00613BFB" w:rsidRPr="00B67C89" w:rsidRDefault="00613BFB" w:rsidP="00613BFB">
      <w:pPr>
        <w:rPr>
          <w:b/>
          <w:bCs/>
          <w:u w:val="single"/>
        </w:rPr>
      </w:pPr>
      <w:r w:rsidRPr="00B67C89">
        <w:rPr>
          <w:b/>
          <w:bCs/>
          <w:u w:val="single"/>
        </w:rPr>
        <w:t>Denial Criteria</w:t>
      </w:r>
    </w:p>
    <w:p w14:paraId="350F4D78" w14:textId="47B49D0F" w:rsidR="00613BFB" w:rsidRDefault="00613BFB" w:rsidP="0036710C">
      <w:pPr>
        <w:pStyle w:val="ListParagraph"/>
        <w:numPr>
          <w:ilvl w:val="0"/>
          <w:numId w:val="34"/>
        </w:numPr>
        <w:ind w:left="360"/>
      </w:pPr>
      <w:r>
        <w:t>Therapy will deny in presence of one of the following:</w:t>
      </w:r>
    </w:p>
    <w:p w14:paraId="271BB316" w14:textId="72FA1738" w:rsidR="00613BFB" w:rsidRDefault="00613BFB" w:rsidP="0036710C">
      <w:pPr>
        <w:pStyle w:val="ListParagraph"/>
        <w:numPr>
          <w:ilvl w:val="0"/>
          <w:numId w:val="37"/>
        </w:numPr>
      </w:pPr>
      <w:r>
        <w:t xml:space="preserve">Any approval criteria are not met; </w:t>
      </w:r>
      <w:r w:rsidRPr="0036710C">
        <w:rPr>
          <w:b/>
          <w:bCs/>
        </w:rPr>
        <w:t>OR</w:t>
      </w:r>
    </w:p>
    <w:p w14:paraId="3B2E716E" w14:textId="3138AE0E" w:rsidR="003A43A6" w:rsidRDefault="00613BFB" w:rsidP="0036710C">
      <w:pPr>
        <w:pStyle w:val="ListParagraph"/>
        <w:numPr>
          <w:ilvl w:val="0"/>
          <w:numId w:val="37"/>
        </w:numPr>
      </w:pPr>
      <w:r>
        <w:t>Use in pregnancy without documentation from provider</w:t>
      </w:r>
    </w:p>
    <w:p w14:paraId="102DE4D5" w14:textId="77777777" w:rsidR="0003305D" w:rsidRDefault="0003305D" w:rsidP="00324CA2">
      <w:pPr>
        <w:ind w:left="360"/>
      </w:pPr>
    </w:p>
    <w:p w14:paraId="2975C931" w14:textId="486669B7" w:rsidR="003A43A6" w:rsidRPr="0036710C" w:rsidRDefault="003A43A6" w:rsidP="0036710C">
      <w:pPr>
        <w:pStyle w:val="Heading1"/>
        <w:jc w:val="left"/>
        <w:rPr>
          <w:color w:val="002060"/>
          <w:sz w:val="32"/>
          <w:szCs w:val="32"/>
          <w:lang w:val="en-US"/>
        </w:rPr>
      </w:pPr>
      <w:r w:rsidRPr="0036710C">
        <w:rPr>
          <w:color w:val="002060"/>
          <w:sz w:val="32"/>
          <w:szCs w:val="32"/>
          <w:lang w:val="en-US"/>
        </w:rPr>
        <w:t>Implication to State Medicaid Program</w:t>
      </w:r>
    </w:p>
    <w:p w14:paraId="31A90ACF" w14:textId="77777777" w:rsidR="00613BFB" w:rsidRDefault="00613BFB" w:rsidP="00613BFB">
      <w:r>
        <w:t>Loss of Exclusivity Date: 5/12/2039</w:t>
      </w:r>
    </w:p>
    <w:p w14:paraId="3D107B45" w14:textId="6A8755E4" w:rsidR="00613BFB" w:rsidRDefault="00613BFB" w:rsidP="0036710C">
      <w:pPr>
        <w:pStyle w:val="ListParagraph"/>
        <w:numPr>
          <w:ilvl w:val="0"/>
          <w:numId w:val="34"/>
        </w:numPr>
        <w:ind w:left="360"/>
      </w:pPr>
      <w:r>
        <w:t xml:space="preserve">Deucrictibant </w:t>
      </w:r>
    </w:p>
    <w:p w14:paraId="3C55D843" w14:textId="6BE20689" w:rsidR="00613BFB" w:rsidRDefault="00613BFB" w:rsidP="0036710C">
      <w:pPr>
        <w:pStyle w:val="ListParagraph"/>
        <w:numPr>
          <w:ilvl w:val="0"/>
          <w:numId w:val="39"/>
        </w:numPr>
      </w:pPr>
      <w:r>
        <w:t>Bradykinin B2 receptor antagonist</w:t>
      </w:r>
    </w:p>
    <w:p w14:paraId="44566625" w14:textId="7C0731F2" w:rsidR="00613BFB" w:rsidRDefault="00613BFB" w:rsidP="0036710C">
      <w:pPr>
        <w:pStyle w:val="ListParagraph"/>
        <w:numPr>
          <w:ilvl w:val="0"/>
          <w:numId w:val="39"/>
        </w:numPr>
      </w:pPr>
      <w:r>
        <w:t>Phase III trial (NCT06669754)</w:t>
      </w:r>
    </w:p>
    <w:p w14:paraId="4199712F" w14:textId="0886043E" w:rsidR="00613BFB" w:rsidRDefault="00613BFB" w:rsidP="0036710C">
      <w:pPr>
        <w:pStyle w:val="ListParagraph"/>
        <w:numPr>
          <w:ilvl w:val="0"/>
          <w:numId w:val="39"/>
        </w:numPr>
      </w:pPr>
      <w:r>
        <w:t>Estimated completion: August 2026</w:t>
      </w:r>
    </w:p>
    <w:p w14:paraId="3697E673" w14:textId="77777777" w:rsidR="00613BFB" w:rsidRDefault="00613BFB" w:rsidP="00613BFB"/>
    <w:p w14:paraId="7C70A377" w14:textId="5FFC2912" w:rsidR="00613BFB" w:rsidRDefault="00613BFB" w:rsidP="0036710C">
      <w:pPr>
        <w:pStyle w:val="ListParagraph"/>
        <w:numPr>
          <w:ilvl w:val="0"/>
          <w:numId w:val="34"/>
        </w:numPr>
        <w:ind w:left="360"/>
      </w:pPr>
      <w:r>
        <w:t xml:space="preserve">OCTA-C1-INH </w:t>
      </w:r>
    </w:p>
    <w:p w14:paraId="083BF655" w14:textId="01C62A2F" w:rsidR="00613BFB" w:rsidRDefault="00613BFB" w:rsidP="0036710C">
      <w:pPr>
        <w:pStyle w:val="ListParagraph"/>
        <w:numPr>
          <w:ilvl w:val="0"/>
          <w:numId w:val="40"/>
        </w:numPr>
      </w:pPr>
      <w:r>
        <w:t>C1 esterase inhibitor</w:t>
      </w:r>
    </w:p>
    <w:p w14:paraId="7F65D625" w14:textId="6748F0D3" w:rsidR="00613BFB" w:rsidRDefault="00613BFB" w:rsidP="0036710C">
      <w:pPr>
        <w:pStyle w:val="ListParagraph"/>
        <w:numPr>
          <w:ilvl w:val="0"/>
          <w:numId w:val="40"/>
        </w:numPr>
      </w:pPr>
      <w:r>
        <w:t>Phase III trial (NCT06361537)</w:t>
      </w:r>
    </w:p>
    <w:p w14:paraId="68483E47" w14:textId="1A8AE1E6" w:rsidR="003A43A6" w:rsidRDefault="00613BFB" w:rsidP="0036710C">
      <w:pPr>
        <w:pStyle w:val="ListParagraph"/>
        <w:numPr>
          <w:ilvl w:val="0"/>
          <w:numId w:val="40"/>
        </w:numPr>
      </w:pPr>
      <w:r>
        <w:t>Estimated completion: June 2027</w:t>
      </w:r>
    </w:p>
    <w:p w14:paraId="2B5552B0" w14:textId="77777777" w:rsidR="003A43A6" w:rsidRDefault="003A43A6" w:rsidP="003A43A6"/>
    <w:p w14:paraId="5F797ADC" w14:textId="0D7F388B" w:rsidR="00B34C53" w:rsidRPr="0036710C" w:rsidRDefault="003A43A6" w:rsidP="00B34C53">
      <w:pPr>
        <w:ind w:left="159"/>
        <w:rPr>
          <w:rFonts w:cs="Arial"/>
          <w:b/>
          <w:bCs/>
          <w:color w:val="002060"/>
          <w:sz w:val="32"/>
          <w:szCs w:val="32"/>
        </w:rPr>
      </w:pPr>
      <w:r w:rsidRPr="0036710C">
        <w:rPr>
          <w:rFonts w:cs="Arial"/>
          <w:b/>
          <w:bCs/>
          <w:color w:val="002060"/>
          <w:sz w:val="32"/>
          <w:szCs w:val="32"/>
        </w:rPr>
        <w:t>References</w:t>
      </w:r>
      <w:r w:rsidR="0036710C">
        <w:rPr>
          <w:rFonts w:cs="Arial"/>
          <w:b/>
          <w:bCs/>
          <w:color w:val="002060"/>
          <w:sz w:val="32"/>
          <w:szCs w:val="32"/>
        </w:rPr>
        <w:t>:</w:t>
      </w:r>
    </w:p>
    <w:p w14:paraId="214F9900" w14:textId="77777777" w:rsidR="00613BFB" w:rsidRDefault="00613BFB" w:rsidP="00613BFB">
      <w:pPr>
        <w:pStyle w:val="ListParagraph"/>
      </w:pPr>
      <w:r>
        <w:t>Ekterly [package insert]. Framingham, MA: KalVista Pharmaceuticals; 2025</w:t>
      </w:r>
    </w:p>
    <w:p w14:paraId="05AD475B" w14:textId="77777777" w:rsidR="00613BFB" w:rsidRDefault="00613BFB" w:rsidP="00613BFB">
      <w:pPr>
        <w:pStyle w:val="ListParagraph"/>
      </w:pPr>
      <w:r>
        <w:t xml:space="preserve">IPD Analytics. Ekterly. December 5, 2025. </w:t>
      </w:r>
    </w:p>
    <w:p w14:paraId="63972F6F" w14:textId="77777777" w:rsidR="00613BFB" w:rsidRDefault="00613BFB" w:rsidP="00613BFB">
      <w:pPr>
        <w:pStyle w:val="ListParagraph"/>
      </w:pPr>
      <w:r>
        <w:t xml:space="preserve">Clinicaltrials.Gov, clinicaltrials.gov/study/NCT06669754. Accessed 12 Dec. 2025. </w:t>
      </w:r>
    </w:p>
    <w:p w14:paraId="3A038E74" w14:textId="77777777" w:rsidR="00613BFB" w:rsidRDefault="00613BFB" w:rsidP="00613BFB">
      <w:pPr>
        <w:pStyle w:val="ListParagraph"/>
      </w:pPr>
      <w:r>
        <w:t>Kalvista, www.kalvista.com/wp-content/uploads/2024/10/GAF-2024_KONFIDENT-EU-US-Poster_FINAL_30Sept2024.pdf. Accessed 12 Dec. 2025.</w:t>
      </w:r>
    </w:p>
    <w:p w14:paraId="4933DB65" w14:textId="77777777" w:rsidR="00646CF2" w:rsidRDefault="00613BFB" w:rsidP="00431B76">
      <w:pPr>
        <w:pStyle w:val="ListParagraph"/>
      </w:pPr>
      <w:r>
        <w:t>NIH. Hereditary Angioedema. https://www.ncbi.nlm.nih.gov/books/NBK482266/. December 11, 2025.</w:t>
      </w:r>
    </w:p>
    <w:p w14:paraId="331F0201" w14:textId="0108FDE0" w:rsidR="00EC1F93" w:rsidRDefault="00EC1F93" w:rsidP="0014104D">
      <w:pPr>
        <w:pStyle w:val="ListParagraph"/>
      </w:pPr>
      <w:r w:rsidRPr="00EC1F93">
        <w:t xml:space="preserve">Interquartile Range - an overview | sciencedirect topics. https://www.sciencedirect.com/topics/mathematics/interquartile-range </w:t>
      </w:r>
    </w:p>
    <w:p w14:paraId="3CFFAC7D" w14:textId="781AB1AC" w:rsidR="0014104D" w:rsidRDefault="0014104D" w:rsidP="0014104D">
      <w:pPr>
        <w:pStyle w:val="ListParagraph"/>
      </w:pPr>
      <w:r>
        <w:t>Mapi Research Trust. ePROVIDE https://eprovide.mapi-trust.org/instruments/patient-global-impressions-scale-change-improvement-severity</w:t>
      </w:r>
    </w:p>
    <w:p w14:paraId="3FA1E7DB" w14:textId="0074F109" w:rsidR="00777CA4" w:rsidRDefault="00777CA4" w:rsidP="00613BFB">
      <w:pPr>
        <w:pStyle w:val="ListParagraph"/>
        <w:numPr>
          <w:ilvl w:val="0"/>
          <w:numId w:val="0"/>
        </w:numPr>
        <w:ind w:left="360"/>
      </w:pPr>
    </w:p>
    <w:p w14:paraId="3DB25D50" w14:textId="77777777" w:rsidR="00D67EEC" w:rsidRDefault="00D67EEC" w:rsidP="00613BFB">
      <w:pPr>
        <w:pStyle w:val="ListParagraph"/>
        <w:numPr>
          <w:ilvl w:val="0"/>
          <w:numId w:val="0"/>
        </w:numPr>
        <w:ind w:left="360"/>
      </w:pPr>
    </w:p>
    <w:sectPr w:rsidR="00D67EEC" w:rsidSect="005D0C2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6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0111" w14:textId="77777777" w:rsidR="00A44C0F" w:rsidRPr="00C02553" w:rsidRDefault="00A44C0F" w:rsidP="00AE77DB">
      <w:r w:rsidRPr="00C02553">
        <w:separator/>
      </w:r>
    </w:p>
  </w:endnote>
  <w:endnote w:type="continuationSeparator" w:id="0">
    <w:p w14:paraId="18D68BB3" w14:textId="77777777" w:rsidR="00A44C0F" w:rsidRPr="00C02553" w:rsidRDefault="00A44C0F" w:rsidP="00AE77DB">
      <w:r w:rsidRPr="00C02553">
        <w:continuationSeparator/>
      </w:r>
    </w:p>
  </w:endnote>
  <w:endnote w:type="continuationNotice" w:id="1">
    <w:p w14:paraId="7015FBAC" w14:textId="77777777" w:rsidR="00A44C0F" w:rsidRPr="00C02553" w:rsidRDefault="00A4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77777777" w:rsidR="00811A70" w:rsidRPr="00C02553" w:rsidRDefault="00811A70" w:rsidP="00811A70">
    <w:pPr>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77777777" w:rsidR="005058CB" w:rsidRPr="00C02553" w:rsidRDefault="005058CB" w:rsidP="005058CB">
    <w:pPr>
      <w:jc w:val="both"/>
      <w:rPr>
        <w:rFonts w:cs="Arial"/>
        <w:sz w:val="16"/>
        <w:szCs w:val="16"/>
      </w:rPr>
    </w:pPr>
    <w:r w:rsidRPr="00C02553">
      <w:rPr>
        <w:rFonts w:cs="Arial"/>
        <w:sz w:val="16"/>
        <w:szCs w:val="16"/>
      </w:rPr>
      <w:t>© 2025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9AD0" w14:textId="77777777" w:rsidR="00A44C0F" w:rsidRPr="00C02553" w:rsidRDefault="00A44C0F" w:rsidP="00AE77DB">
      <w:r w:rsidRPr="00C02553">
        <w:separator/>
      </w:r>
    </w:p>
  </w:footnote>
  <w:footnote w:type="continuationSeparator" w:id="0">
    <w:p w14:paraId="22E31A18" w14:textId="77777777" w:rsidR="00A44C0F" w:rsidRPr="00C02553" w:rsidRDefault="00A44C0F" w:rsidP="00AE77DB">
      <w:r w:rsidRPr="00C02553">
        <w:continuationSeparator/>
      </w:r>
    </w:p>
  </w:footnote>
  <w:footnote w:type="continuationNotice" w:id="1">
    <w:p w14:paraId="5504D992" w14:textId="77777777" w:rsidR="00A44C0F" w:rsidRPr="00C02553" w:rsidRDefault="00A44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8DCD7FF"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0B572543"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1E13C8E"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404930019" name="Picture 14049300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s1i8A55xyBIlW" int2:id="Z6SnuUT9">
      <int2:state int2:value="Rejected" int2:type="spell"/>
    </int2:textHash>
    <int2:textHash int2:hashCode="6SHTtOZZ9xYy8I" int2:id="hIiwJsTB">
      <int2:state int2:value="Rejected" int2:type="spell"/>
    </int2:textHash>
    <int2:textHash int2:hashCode="zHfywVRV9vYcFE" int2:id="1OVoZiCA">
      <int2:state int2:value="Rejected" int2:type="spell"/>
    </int2:textHash>
    <int2:textHash int2:hashCode="oJ1LEVCJ0m6Er2" int2:id="e3w6GyA6">
      <int2:state int2:value="Rejected" int2:type="spell"/>
    </int2:textHash>
    <int2:textHash int2:hashCode="VEzoQhhNxf6toT" int2:id="sAihARh8">
      <int2:state int2:value="Rejected" int2:type="spell"/>
    </int2:textHash>
    <int2:textHash int2:hashCode="pP9ah7SMxCn/aE" int2:id="RSh6KM0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A56963"/>
    <w:multiLevelType w:val="hybridMultilevel"/>
    <w:tmpl w:val="CD82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52377E"/>
    <w:multiLevelType w:val="multilevel"/>
    <w:tmpl w:val="FCAC0DE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31B3EFF"/>
    <w:multiLevelType w:val="hybridMultilevel"/>
    <w:tmpl w:val="FF38B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D40C3"/>
    <w:multiLevelType w:val="multilevel"/>
    <w:tmpl w:val="E1A2A51C"/>
    <w:numStyleLink w:val="References"/>
  </w:abstractNum>
  <w:abstractNum w:abstractNumId="8" w15:restartNumberingAfterBreak="0">
    <w:nsid w:val="05CB7B55"/>
    <w:multiLevelType w:val="hybridMultilevel"/>
    <w:tmpl w:val="1712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96C23"/>
    <w:multiLevelType w:val="hybridMultilevel"/>
    <w:tmpl w:val="796EF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645F78"/>
    <w:multiLevelType w:val="hybridMultilevel"/>
    <w:tmpl w:val="AA08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47692"/>
    <w:multiLevelType w:val="hybridMultilevel"/>
    <w:tmpl w:val="EB7EE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62337"/>
    <w:multiLevelType w:val="multilevel"/>
    <w:tmpl w:val="C64AAF1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03159AB"/>
    <w:multiLevelType w:val="hybridMultilevel"/>
    <w:tmpl w:val="1A7EBAE6"/>
    <w:lvl w:ilvl="0" w:tplc="04090005">
      <w:start w:val="1"/>
      <w:numFmt w:val="bullet"/>
      <w:lvlText w:val=""/>
      <w:lvlJc w:val="left"/>
      <w:pPr>
        <w:ind w:left="540" w:hanging="360"/>
      </w:pPr>
      <w:rPr>
        <w:rFonts w:ascii="Wingdings" w:hAnsi="Wingdings" w:hint="default"/>
      </w:rPr>
    </w:lvl>
    <w:lvl w:ilvl="1" w:tplc="9D36CAC2">
      <w:numFmt w:val="bullet"/>
      <w:lvlText w:val="•"/>
      <w:lvlJc w:val="left"/>
      <w:pPr>
        <w:ind w:left="1620" w:hanging="720"/>
      </w:pPr>
      <w:rPr>
        <w:rFonts w:ascii="Arial" w:eastAsia="Times New Roman"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A0A69"/>
    <w:multiLevelType w:val="hybridMultilevel"/>
    <w:tmpl w:val="8A4AD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BC7AA7"/>
    <w:multiLevelType w:val="hybridMultilevel"/>
    <w:tmpl w:val="C7303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D2936"/>
    <w:multiLevelType w:val="hybridMultilevel"/>
    <w:tmpl w:val="45F2AFD2"/>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26AB339D"/>
    <w:multiLevelType w:val="hybridMultilevel"/>
    <w:tmpl w:val="7B9802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575CE"/>
    <w:multiLevelType w:val="multilevel"/>
    <w:tmpl w:val="DE1EC14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D154AB3"/>
    <w:multiLevelType w:val="hybridMultilevel"/>
    <w:tmpl w:val="BCA21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C84EA1"/>
    <w:multiLevelType w:val="hybridMultilevel"/>
    <w:tmpl w:val="8B9A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E2C0C"/>
    <w:multiLevelType w:val="hybridMultilevel"/>
    <w:tmpl w:val="D152F0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31307"/>
    <w:multiLevelType w:val="hybridMultilevel"/>
    <w:tmpl w:val="3C003D38"/>
    <w:lvl w:ilvl="0" w:tplc="04090001">
      <w:start w:val="1"/>
      <w:numFmt w:val="bullet"/>
      <w:lvlText w:val=""/>
      <w:lvlJc w:val="left"/>
      <w:pPr>
        <w:ind w:left="720" w:hanging="360"/>
      </w:pPr>
      <w:rPr>
        <w:rFonts w:ascii="Symbol" w:hAnsi="Symbol" w:hint="default"/>
      </w:rPr>
    </w:lvl>
    <w:lvl w:ilvl="1" w:tplc="E3AAB71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67894"/>
    <w:multiLevelType w:val="hybridMultilevel"/>
    <w:tmpl w:val="3C68C814"/>
    <w:lvl w:ilvl="0" w:tplc="04090001">
      <w:start w:val="1"/>
      <w:numFmt w:val="bullet"/>
      <w:lvlText w:val=""/>
      <w:lvlJc w:val="left"/>
      <w:pPr>
        <w:ind w:left="1620" w:hanging="360"/>
      </w:pPr>
      <w:rPr>
        <w:rFonts w:ascii="Symbol" w:hAnsi="Symbol"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9" w15:restartNumberingAfterBreak="0">
    <w:nsid w:val="46E16B1D"/>
    <w:multiLevelType w:val="hybridMultilevel"/>
    <w:tmpl w:val="201050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A8488B"/>
    <w:multiLevelType w:val="hybridMultilevel"/>
    <w:tmpl w:val="A14EA016"/>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4480792"/>
    <w:multiLevelType w:val="hybridMultilevel"/>
    <w:tmpl w:val="E474E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D169C"/>
    <w:multiLevelType w:val="multilevel"/>
    <w:tmpl w:val="D18EE5A2"/>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1635421"/>
    <w:multiLevelType w:val="hybridMultilevel"/>
    <w:tmpl w:val="572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3595F"/>
    <w:multiLevelType w:val="hybridMultilevel"/>
    <w:tmpl w:val="C30C336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0841F7"/>
    <w:multiLevelType w:val="multilevel"/>
    <w:tmpl w:val="C3ECCDE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E1A03EB"/>
    <w:multiLevelType w:val="hybridMultilevel"/>
    <w:tmpl w:val="5A0E2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10953"/>
    <w:multiLevelType w:val="hybridMultilevel"/>
    <w:tmpl w:val="CF2C86EE"/>
    <w:lvl w:ilvl="0" w:tplc="04090003">
      <w:start w:val="1"/>
      <w:numFmt w:val="bullet"/>
      <w:lvlText w:val="o"/>
      <w:lvlJc w:val="left"/>
      <w:pPr>
        <w:ind w:left="540" w:hanging="360"/>
      </w:pPr>
      <w:rPr>
        <w:rFonts w:ascii="Courier New" w:hAnsi="Courier New" w:cs="Courier New"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367994657">
    <w:abstractNumId w:val="0"/>
  </w:num>
  <w:num w:numId="2" w16cid:durableId="517891239">
    <w:abstractNumId w:val="39"/>
  </w:num>
  <w:num w:numId="3" w16cid:durableId="1729067566">
    <w:abstractNumId w:val="7"/>
  </w:num>
  <w:num w:numId="4" w16cid:durableId="320159068">
    <w:abstractNumId w:val="20"/>
  </w:num>
  <w:num w:numId="5" w16cid:durableId="1769498754">
    <w:abstractNumId w:val="4"/>
  </w:num>
  <w:num w:numId="6" w16cid:durableId="1094596320">
    <w:abstractNumId w:val="34"/>
  </w:num>
  <w:num w:numId="7" w16cid:durableId="2110008555">
    <w:abstractNumId w:val="2"/>
  </w:num>
  <w:num w:numId="8" w16cid:durableId="489712751">
    <w:abstractNumId w:val="16"/>
  </w:num>
  <w:num w:numId="9" w16cid:durableId="1085147965">
    <w:abstractNumId w:val="24"/>
  </w:num>
  <w:num w:numId="10" w16cid:durableId="917518096">
    <w:abstractNumId w:val="21"/>
  </w:num>
  <w:num w:numId="11" w16cid:durableId="1894998475">
    <w:abstractNumId w:val="1"/>
  </w:num>
  <w:num w:numId="12" w16cid:durableId="1418215296">
    <w:abstractNumId w:val="37"/>
  </w:num>
  <w:num w:numId="13" w16cid:durableId="604729665">
    <w:abstractNumId w:val="14"/>
  </w:num>
  <w:num w:numId="14" w16cid:durableId="1805081292">
    <w:abstractNumId w:val="30"/>
  </w:num>
  <w:num w:numId="15" w16cid:durableId="1772822125">
    <w:abstractNumId w:val="38"/>
  </w:num>
  <w:num w:numId="16" w16cid:durableId="313922140">
    <w:abstractNumId w:val="5"/>
  </w:num>
  <w:num w:numId="17" w16cid:durableId="564989935">
    <w:abstractNumId w:val="3"/>
  </w:num>
  <w:num w:numId="18" w16cid:durableId="1236474794">
    <w:abstractNumId w:val="10"/>
  </w:num>
  <w:num w:numId="19" w16cid:durableId="262349056">
    <w:abstractNumId w:val="34"/>
  </w:num>
  <w:num w:numId="20" w16cid:durableId="310595580">
    <w:abstractNumId w:val="27"/>
  </w:num>
  <w:num w:numId="21" w16cid:durableId="1677271270">
    <w:abstractNumId w:val="29"/>
  </w:num>
  <w:num w:numId="22" w16cid:durableId="4095288">
    <w:abstractNumId w:val="17"/>
  </w:num>
  <w:num w:numId="23" w16cid:durableId="846095082">
    <w:abstractNumId w:val="9"/>
  </w:num>
  <w:num w:numId="24" w16cid:durableId="548226994">
    <w:abstractNumId w:val="26"/>
  </w:num>
  <w:num w:numId="25" w16cid:durableId="645401721">
    <w:abstractNumId w:val="25"/>
  </w:num>
  <w:num w:numId="26" w16cid:durableId="1878736346">
    <w:abstractNumId w:val="11"/>
  </w:num>
  <w:num w:numId="27" w16cid:durableId="2121215712">
    <w:abstractNumId w:val="41"/>
  </w:num>
  <w:num w:numId="28" w16cid:durableId="1938900713">
    <w:abstractNumId w:val="18"/>
  </w:num>
  <w:num w:numId="29" w16cid:durableId="257637734">
    <w:abstractNumId w:val="19"/>
  </w:num>
  <w:num w:numId="30" w16cid:durableId="270088068">
    <w:abstractNumId w:val="13"/>
  </w:num>
  <w:num w:numId="31" w16cid:durableId="1375078118">
    <w:abstractNumId w:val="31"/>
  </w:num>
  <w:num w:numId="32" w16cid:durableId="117725942">
    <w:abstractNumId w:val="35"/>
  </w:num>
  <w:num w:numId="33" w16cid:durableId="1942568289">
    <w:abstractNumId w:val="36"/>
  </w:num>
  <w:num w:numId="34" w16cid:durableId="298918081">
    <w:abstractNumId w:val="28"/>
  </w:num>
  <w:num w:numId="35" w16cid:durableId="1687634894">
    <w:abstractNumId w:val="6"/>
  </w:num>
  <w:num w:numId="36" w16cid:durableId="132985418">
    <w:abstractNumId w:val="40"/>
  </w:num>
  <w:num w:numId="37" w16cid:durableId="1543056084">
    <w:abstractNumId w:val="32"/>
  </w:num>
  <w:num w:numId="38" w16cid:durableId="614143106">
    <w:abstractNumId w:val="22"/>
  </w:num>
  <w:num w:numId="39" w16cid:durableId="1676296873">
    <w:abstractNumId w:val="15"/>
  </w:num>
  <w:num w:numId="40" w16cid:durableId="2056006899">
    <w:abstractNumId w:val="23"/>
  </w:num>
  <w:num w:numId="41" w16cid:durableId="349185843">
    <w:abstractNumId w:val="33"/>
  </w:num>
  <w:num w:numId="42" w16cid:durableId="75128634">
    <w:abstractNumId w:val="8"/>
  </w:num>
  <w:num w:numId="43" w16cid:durableId="5756729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457E"/>
    <w:rsid w:val="00006A61"/>
    <w:rsid w:val="000203E7"/>
    <w:rsid w:val="00023F48"/>
    <w:rsid w:val="000276D9"/>
    <w:rsid w:val="0003305D"/>
    <w:rsid w:val="00040AD3"/>
    <w:rsid w:val="00053807"/>
    <w:rsid w:val="000572E5"/>
    <w:rsid w:val="00060916"/>
    <w:rsid w:val="00061541"/>
    <w:rsid w:val="00064162"/>
    <w:rsid w:val="00065C22"/>
    <w:rsid w:val="0006644C"/>
    <w:rsid w:val="00074464"/>
    <w:rsid w:val="00076030"/>
    <w:rsid w:val="00082590"/>
    <w:rsid w:val="000913C3"/>
    <w:rsid w:val="000953B9"/>
    <w:rsid w:val="000A413B"/>
    <w:rsid w:val="000A6279"/>
    <w:rsid w:val="000B496B"/>
    <w:rsid w:val="000C3940"/>
    <w:rsid w:val="000C5992"/>
    <w:rsid w:val="000D6DDF"/>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104D"/>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3F97"/>
    <w:rsid w:val="00246564"/>
    <w:rsid w:val="00246A3B"/>
    <w:rsid w:val="00255404"/>
    <w:rsid w:val="0025594F"/>
    <w:rsid w:val="00270C5E"/>
    <w:rsid w:val="00290A03"/>
    <w:rsid w:val="0029159A"/>
    <w:rsid w:val="00291600"/>
    <w:rsid w:val="0029240E"/>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19B1"/>
    <w:rsid w:val="0032215C"/>
    <w:rsid w:val="00324CA2"/>
    <w:rsid w:val="0032616B"/>
    <w:rsid w:val="00326687"/>
    <w:rsid w:val="0032731D"/>
    <w:rsid w:val="003275F9"/>
    <w:rsid w:val="003355AC"/>
    <w:rsid w:val="00343D6B"/>
    <w:rsid w:val="00347FB5"/>
    <w:rsid w:val="00355515"/>
    <w:rsid w:val="003608B5"/>
    <w:rsid w:val="003613AF"/>
    <w:rsid w:val="0036710C"/>
    <w:rsid w:val="003878C1"/>
    <w:rsid w:val="00396C0B"/>
    <w:rsid w:val="003A43A6"/>
    <w:rsid w:val="003A630F"/>
    <w:rsid w:val="003B3958"/>
    <w:rsid w:val="003B4820"/>
    <w:rsid w:val="003B5F4B"/>
    <w:rsid w:val="003B682F"/>
    <w:rsid w:val="003C53FC"/>
    <w:rsid w:val="003C7013"/>
    <w:rsid w:val="003C7E1E"/>
    <w:rsid w:val="003D641B"/>
    <w:rsid w:val="003F227C"/>
    <w:rsid w:val="004023CC"/>
    <w:rsid w:val="00403088"/>
    <w:rsid w:val="00407564"/>
    <w:rsid w:val="00411152"/>
    <w:rsid w:val="004156AA"/>
    <w:rsid w:val="004253A1"/>
    <w:rsid w:val="004313B6"/>
    <w:rsid w:val="00431B76"/>
    <w:rsid w:val="00433339"/>
    <w:rsid w:val="00446BBC"/>
    <w:rsid w:val="004472C0"/>
    <w:rsid w:val="00450705"/>
    <w:rsid w:val="00451928"/>
    <w:rsid w:val="0046618B"/>
    <w:rsid w:val="00466265"/>
    <w:rsid w:val="004829D4"/>
    <w:rsid w:val="0048608C"/>
    <w:rsid w:val="00496E57"/>
    <w:rsid w:val="004B3E10"/>
    <w:rsid w:val="004C0F5D"/>
    <w:rsid w:val="004C375A"/>
    <w:rsid w:val="004C4954"/>
    <w:rsid w:val="004C5767"/>
    <w:rsid w:val="004D5322"/>
    <w:rsid w:val="004D78B0"/>
    <w:rsid w:val="004E611F"/>
    <w:rsid w:val="004E7A50"/>
    <w:rsid w:val="004F2A79"/>
    <w:rsid w:val="004F46E7"/>
    <w:rsid w:val="004F4D37"/>
    <w:rsid w:val="00501A14"/>
    <w:rsid w:val="00501DE3"/>
    <w:rsid w:val="005058CB"/>
    <w:rsid w:val="00507DA1"/>
    <w:rsid w:val="0051044D"/>
    <w:rsid w:val="005139E4"/>
    <w:rsid w:val="00515075"/>
    <w:rsid w:val="00520FE9"/>
    <w:rsid w:val="005233E7"/>
    <w:rsid w:val="005328B2"/>
    <w:rsid w:val="0053395C"/>
    <w:rsid w:val="00535BD5"/>
    <w:rsid w:val="00540977"/>
    <w:rsid w:val="00551668"/>
    <w:rsid w:val="005572D5"/>
    <w:rsid w:val="00560E6D"/>
    <w:rsid w:val="00566BE4"/>
    <w:rsid w:val="00570D21"/>
    <w:rsid w:val="00576113"/>
    <w:rsid w:val="00590652"/>
    <w:rsid w:val="0059235F"/>
    <w:rsid w:val="00596936"/>
    <w:rsid w:val="005A2F1E"/>
    <w:rsid w:val="005A4232"/>
    <w:rsid w:val="005C3616"/>
    <w:rsid w:val="005D0C2C"/>
    <w:rsid w:val="005D36B2"/>
    <w:rsid w:val="005D52E7"/>
    <w:rsid w:val="005D78B5"/>
    <w:rsid w:val="005E10EC"/>
    <w:rsid w:val="005E3572"/>
    <w:rsid w:val="005E45E4"/>
    <w:rsid w:val="005F0A81"/>
    <w:rsid w:val="005F0FCF"/>
    <w:rsid w:val="005F5131"/>
    <w:rsid w:val="0060042F"/>
    <w:rsid w:val="006008BC"/>
    <w:rsid w:val="00602CFD"/>
    <w:rsid w:val="00606B55"/>
    <w:rsid w:val="00612A7B"/>
    <w:rsid w:val="00613BFB"/>
    <w:rsid w:val="00616E5E"/>
    <w:rsid w:val="006173A4"/>
    <w:rsid w:val="006205AD"/>
    <w:rsid w:val="00625C3A"/>
    <w:rsid w:val="00635DDB"/>
    <w:rsid w:val="0064149A"/>
    <w:rsid w:val="00646CF2"/>
    <w:rsid w:val="00646DFE"/>
    <w:rsid w:val="00650530"/>
    <w:rsid w:val="00650C96"/>
    <w:rsid w:val="00653788"/>
    <w:rsid w:val="0065477F"/>
    <w:rsid w:val="00656896"/>
    <w:rsid w:val="00661656"/>
    <w:rsid w:val="006700F9"/>
    <w:rsid w:val="00677C65"/>
    <w:rsid w:val="00693152"/>
    <w:rsid w:val="00694FAE"/>
    <w:rsid w:val="00696E3A"/>
    <w:rsid w:val="006A0834"/>
    <w:rsid w:val="006A4BBD"/>
    <w:rsid w:val="006A52F1"/>
    <w:rsid w:val="006B561D"/>
    <w:rsid w:val="006B6D5D"/>
    <w:rsid w:val="006D2330"/>
    <w:rsid w:val="006E0F8B"/>
    <w:rsid w:val="006E12F7"/>
    <w:rsid w:val="006F2E52"/>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829"/>
    <w:rsid w:val="00777CA4"/>
    <w:rsid w:val="007927AD"/>
    <w:rsid w:val="00792DF0"/>
    <w:rsid w:val="0079438F"/>
    <w:rsid w:val="007947C7"/>
    <w:rsid w:val="007A2ED2"/>
    <w:rsid w:val="007A3034"/>
    <w:rsid w:val="007A527E"/>
    <w:rsid w:val="007A53E7"/>
    <w:rsid w:val="007A78F7"/>
    <w:rsid w:val="007B3333"/>
    <w:rsid w:val="007B379F"/>
    <w:rsid w:val="007B37D6"/>
    <w:rsid w:val="007B5D30"/>
    <w:rsid w:val="007D1669"/>
    <w:rsid w:val="007D2920"/>
    <w:rsid w:val="007D42DD"/>
    <w:rsid w:val="007E6A37"/>
    <w:rsid w:val="007F1774"/>
    <w:rsid w:val="00801834"/>
    <w:rsid w:val="00802902"/>
    <w:rsid w:val="00811A70"/>
    <w:rsid w:val="0081406E"/>
    <w:rsid w:val="00826902"/>
    <w:rsid w:val="00832211"/>
    <w:rsid w:val="008325F4"/>
    <w:rsid w:val="00832AC8"/>
    <w:rsid w:val="0083500D"/>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E15"/>
    <w:rsid w:val="008D6B05"/>
    <w:rsid w:val="008E7D2D"/>
    <w:rsid w:val="008F06D7"/>
    <w:rsid w:val="008F44C0"/>
    <w:rsid w:val="008F5999"/>
    <w:rsid w:val="00903AD6"/>
    <w:rsid w:val="00904D7A"/>
    <w:rsid w:val="00915332"/>
    <w:rsid w:val="009204BB"/>
    <w:rsid w:val="00935918"/>
    <w:rsid w:val="00935EC3"/>
    <w:rsid w:val="0094605D"/>
    <w:rsid w:val="00951097"/>
    <w:rsid w:val="00953C1E"/>
    <w:rsid w:val="00954C94"/>
    <w:rsid w:val="0096210F"/>
    <w:rsid w:val="00962633"/>
    <w:rsid w:val="00963187"/>
    <w:rsid w:val="00963ACF"/>
    <w:rsid w:val="00963D1C"/>
    <w:rsid w:val="00964284"/>
    <w:rsid w:val="0097028A"/>
    <w:rsid w:val="00973BD6"/>
    <w:rsid w:val="00984549"/>
    <w:rsid w:val="00985D28"/>
    <w:rsid w:val="00990A3B"/>
    <w:rsid w:val="00991BF0"/>
    <w:rsid w:val="009A0FB1"/>
    <w:rsid w:val="009A1FAC"/>
    <w:rsid w:val="009B001A"/>
    <w:rsid w:val="009B1A62"/>
    <w:rsid w:val="009B2A28"/>
    <w:rsid w:val="009C3CC7"/>
    <w:rsid w:val="009D2057"/>
    <w:rsid w:val="009D3D6C"/>
    <w:rsid w:val="009D5551"/>
    <w:rsid w:val="009D62DB"/>
    <w:rsid w:val="009E3B42"/>
    <w:rsid w:val="00A01F9A"/>
    <w:rsid w:val="00A05B60"/>
    <w:rsid w:val="00A13266"/>
    <w:rsid w:val="00A14FA6"/>
    <w:rsid w:val="00A15D64"/>
    <w:rsid w:val="00A20575"/>
    <w:rsid w:val="00A251B6"/>
    <w:rsid w:val="00A32452"/>
    <w:rsid w:val="00A32BBF"/>
    <w:rsid w:val="00A37444"/>
    <w:rsid w:val="00A4281A"/>
    <w:rsid w:val="00A44C0F"/>
    <w:rsid w:val="00A459CF"/>
    <w:rsid w:val="00A5014D"/>
    <w:rsid w:val="00A53E96"/>
    <w:rsid w:val="00A56F18"/>
    <w:rsid w:val="00A628F8"/>
    <w:rsid w:val="00A62BAA"/>
    <w:rsid w:val="00A66172"/>
    <w:rsid w:val="00A72595"/>
    <w:rsid w:val="00A744C3"/>
    <w:rsid w:val="00AA70AB"/>
    <w:rsid w:val="00AB0B9F"/>
    <w:rsid w:val="00AB1713"/>
    <w:rsid w:val="00AB63BE"/>
    <w:rsid w:val="00AC1EBC"/>
    <w:rsid w:val="00AC2599"/>
    <w:rsid w:val="00AC2DE9"/>
    <w:rsid w:val="00AD2C5F"/>
    <w:rsid w:val="00AD6227"/>
    <w:rsid w:val="00AE1481"/>
    <w:rsid w:val="00AE1BC4"/>
    <w:rsid w:val="00AE27F9"/>
    <w:rsid w:val="00AE6AC0"/>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67C89"/>
    <w:rsid w:val="00B758AB"/>
    <w:rsid w:val="00B76277"/>
    <w:rsid w:val="00B76F0B"/>
    <w:rsid w:val="00B772AB"/>
    <w:rsid w:val="00B80395"/>
    <w:rsid w:val="00B80B56"/>
    <w:rsid w:val="00B86372"/>
    <w:rsid w:val="00BA1C17"/>
    <w:rsid w:val="00BA1D65"/>
    <w:rsid w:val="00BB3B4D"/>
    <w:rsid w:val="00BB4F02"/>
    <w:rsid w:val="00BC084E"/>
    <w:rsid w:val="00BC351E"/>
    <w:rsid w:val="00BC3F77"/>
    <w:rsid w:val="00BC5635"/>
    <w:rsid w:val="00BC5675"/>
    <w:rsid w:val="00BD081C"/>
    <w:rsid w:val="00BD1838"/>
    <w:rsid w:val="00BD277B"/>
    <w:rsid w:val="00BD47CA"/>
    <w:rsid w:val="00BD62C7"/>
    <w:rsid w:val="00BE020D"/>
    <w:rsid w:val="00BE06EB"/>
    <w:rsid w:val="00BE1360"/>
    <w:rsid w:val="00BE354A"/>
    <w:rsid w:val="00BF5EEF"/>
    <w:rsid w:val="00BF7FAC"/>
    <w:rsid w:val="00C02553"/>
    <w:rsid w:val="00C04EB6"/>
    <w:rsid w:val="00C056F9"/>
    <w:rsid w:val="00C1018C"/>
    <w:rsid w:val="00C1150E"/>
    <w:rsid w:val="00C14D52"/>
    <w:rsid w:val="00C2586C"/>
    <w:rsid w:val="00C26001"/>
    <w:rsid w:val="00C34E72"/>
    <w:rsid w:val="00C42487"/>
    <w:rsid w:val="00C50ED1"/>
    <w:rsid w:val="00C539B9"/>
    <w:rsid w:val="00C56B1F"/>
    <w:rsid w:val="00C61B52"/>
    <w:rsid w:val="00C62745"/>
    <w:rsid w:val="00C654CA"/>
    <w:rsid w:val="00C763BD"/>
    <w:rsid w:val="00C779A8"/>
    <w:rsid w:val="00C82E19"/>
    <w:rsid w:val="00C9003C"/>
    <w:rsid w:val="00C96873"/>
    <w:rsid w:val="00CA1735"/>
    <w:rsid w:val="00CA3C4B"/>
    <w:rsid w:val="00CA7252"/>
    <w:rsid w:val="00CB2C5A"/>
    <w:rsid w:val="00CE0C1C"/>
    <w:rsid w:val="00CE34AF"/>
    <w:rsid w:val="00CE4651"/>
    <w:rsid w:val="00CE4CF4"/>
    <w:rsid w:val="00CF00A4"/>
    <w:rsid w:val="00CF25FB"/>
    <w:rsid w:val="00CF614C"/>
    <w:rsid w:val="00D02F34"/>
    <w:rsid w:val="00D13D87"/>
    <w:rsid w:val="00D16590"/>
    <w:rsid w:val="00D20720"/>
    <w:rsid w:val="00D232B4"/>
    <w:rsid w:val="00D250D9"/>
    <w:rsid w:val="00D27533"/>
    <w:rsid w:val="00D42DA3"/>
    <w:rsid w:val="00D4546D"/>
    <w:rsid w:val="00D45632"/>
    <w:rsid w:val="00D4643D"/>
    <w:rsid w:val="00D47996"/>
    <w:rsid w:val="00D61118"/>
    <w:rsid w:val="00D614F1"/>
    <w:rsid w:val="00D67EEC"/>
    <w:rsid w:val="00D70D50"/>
    <w:rsid w:val="00D71917"/>
    <w:rsid w:val="00D82D9B"/>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0FA5"/>
    <w:rsid w:val="00E02FE0"/>
    <w:rsid w:val="00E07ABE"/>
    <w:rsid w:val="00E11A3F"/>
    <w:rsid w:val="00E1253C"/>
    <w:rsid w:val="00E1386E"/>
    <w:rsid w:val="00E2369B"/>
    <w:rsid w:val="00E23EC0"/>
    <w:rsid w:val="00E354AA"/>
    <w:rsid w:val="00E43D54"/>
    <w:rsid w:val="00E442FB"/>
    <w:rsid w:val="00E51E34"/>
    <w:rsid w:val="00E529DB"/>
    <w:rsid w:val="00E53A5E"/>
    <w:rsid w:val="00E6466A"/>
    <w:rsid w:val="00E72221"/>
    <w:rsid w:val="00E83428"/>
    <w:rsid w:val="00E84C58"/>
    <w:rsid w:val="00E873A5"/>
    <w:rsid w:val="00E90D11"/>
    <w:rsid w:val="00E915E5"/>
    <w:rsid w:val="00EB0367"/>
    <w:rsid w:val="00EB4FB9"/>
    <w:rsid w:val="00EB5BC8"/>
    <w:rsid w:val="00EC0AE1"/>
    <w:rsid w:val="00EC1F93"/>
    <w:rsid w:val="00EC2738"/>
    <w:rsid w:val="00ED4F3C"/>
    <w:rsid w:val="00ED7317"/>
    <w:rsid w:val="00ED7B42"/>
    <w:rsid w:val="00EE3EA5"/>
    <w:rsid w:val="00EE613F"/>
    <w:rsid w:val="00EE6BD1"/>
    <w:rsid w:val="00EF0262"/>
    <w:rsid w:val="00EF0828"/>
    <w:rsid w:val="00EF6F8B"/>
    <w:rsid w:val="00F03898"/>
    <w:rsid w:val="00F1527A"/>
    <w:rsid w:val="00F1632C"/>
    <w:rsid w:val="00F2696B"/>
    <w:rsid w:val="00F27821"/>
    <w:rsid w:val="00F4092A"/>
    <w:rsid w:val="00F41F69"/>
    <w:rsid w:val="00F43E41"/>
    <w:rsid w:val="00F4790C"/>
    <w:rsid w:val="00F50C4B"/>
    <w:rsid w:val="00F54C08"/>
    <w:rsid w:val="00F553A2"/>
    <w:rsid w:val="00F556B9"/>
    <w:rsid w:val="00F6068C"/>
    <w:rsid w:val="00F62F33"/>
    <w:rsid w:val="00F63A52"/>
    <w:rsid w:val="00F730BA"/>
    <w:rsid w:val="00F903BE"/>
    <w:rsid w:val="00F95D04"/>
    <w:rsid w:val="00FA16EC"/>
    <w:rsid w:val="00FA2811"/>
    <w:rsid w:val="00FA4837"/>
    <w:rsid w:val="00FB1D33"/>
    <w:rsid w:val="00FB5E96"/>
    <w:rsid w:val="00FC05A0"/>
    <w:rsid w:val="00FC1DA1"/>
    <w:rsid w:val="00FC5CAD"/>
    <w:rsid w:val="00FC6758"/>
    <w:rsid w:val="00FD34EA"/>
    <w:rsid w:val="00FD6B7C"/>
    <w:rsid w:val="00FE1253"/>
    <w:rsid w:val="00FE3F3E"/>
    <w:rsid w:val="00FE4D52"/>
    <w:rsid w:val="00FE5AEE"/>
    <w:rsid w:val="00FF106B"/>
    <w:rsid w:val="0454655C"/>
    <w:rsid w:val="0495FB6C"/>
    <w:rsid w:val="0F22D173"/>
    <w:rsid w:val="0F2EF9AC"/>
    <w:rsid w:val="1692D195"/>
    <w:rsid w:val="1BEBED72"/>
    <w:rsid w:val="1DC144F9"/>
    <w:rsid w:val="232EBCD9"/>
    <w:rsid w:val="243D1454"/>
    <w:rsid w:val="2DEB8A98"/>
    <w:rsid w:val="2E1A0BCA"/>
    <w:rsid w:val="39E6741C"/>
    <w:rsid w:val="4ACC88B7"/>
    <w:rsid w:val="4F108E6D"/>
    <w:rsid w:val="51526A95"/>
    <w:rsid w:val="5289F5CB"/>
    <w:rsid w:val="53A38307"/>
    <w:rsid w:val="5418DEA5"/>
    <w:rsid w:val="59C81E49"/>
    <w:rsid w:val="60BE7897"/>
    <w:rsid w:val="615DD34E"/>
    <w:rsid w:val="679A939E"/>
    <w:rsid w:val="6C8AA361"/>
    <w:rsid w:val="75414DA5"/>
    <w:rsid w:val="7560AAA8"/>
    <w:rsid w:val="778BF912"/>
    <w:rsid w:val="77EC644F"/>
    <w:rsid w:val="78827F83"/>
    <w:rsid w:val="78C3ED1E"/>
    <w:rsid w:val="79D7D0CB"/>
    <w:rsid w:val="7B51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A6"/>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3A43A6"/>
    <w:rPr>
      <w:rFonts w:ascii="Arial" w:hAnsi="Arial" w:cs="Arial"/>
      <w:b/>
      <w:color w:val="595959"/>
      <w:sz w:val="40"/>
      <w:szCs w:val="40"/>
      <w:lang w:val="it-IT"/>
    </w:rPr>
  </w:style>
  <w:style w:type="paragraph" w:styleId="Revision">
    <w:name w:val="Revision"/>
    <w:hidden/>
    <w:uiPriority w:val="99"/>
    <w:semiHidden/>
    <w:rsid w:val="00C42487"/>
    <w:rPr>
      <w:rFonts w:ascii="Arial" w:hAnsi="Arial"/>
      <w:szCs w:val="24"/>
    </w:rPr>
  </w:style>
  <w:style w:type="character" w:styleId="CommentReference">
    <w:name w:val="annotation reference"/>
    <w:basedOn w:val="DefaultParagraphFont"/>
    <w:uiPriority w:val="99"/>
    <w:semiHidden/>
    <w:unhideWhenUsed/>
    <w:rsid w:val="00D45632"/>
    <w:rPr>
      <w:sz w:val="16"/>
      <w:szCs w:val="16"/>
    </w:rPr>
  </w:style>
  <w:style w:type="paragraph" w:styleId="CommentSubject">
    <w:name w:val="annotation subject"/>
    <w:basedOn w:val="CommentText"/>
    <w:next w:val="CommentText"/>
    <w:link w:val="CommentSubjectChar"/>
    <w:uiPriority w:val="99"/>
    <w:semiHidden/>
    <w:unhideWhenUsed/>
    <w:rsid w:val="00D45632"/>
    <w:rPr>
      <w:b/>
      <w:bCs/>
    </w:rPr>
  </w:style>
  <w:style w:type="character" w:customStyle="1" w:styleId="CommentTextChar">
    <w:name w:val="Comment Text Char"/>
    <w:basedOn w:val="DefaultParagraphFont"/>
    <w:link w:val="CommentText"/>
    <w:semiHidden/>
    <w:rsid w:val="00D45632"/>
    <w:rPr>
      <w:rFonts w:ascii="Arial" w:hAnsi="Arial"/>
    </w:rPr>
  </w:style>
  <w:style w:type="character" w:customStyle="1" w:styleId="CommentSubjectChar">
    <w:name w:val="Comment Subject Char"/>
    <w:basedOn w:val="CommentTextChar"/>
    <w:link w:val="CommentSubject"/>
    <w:uiPriority w:val="99"/>
    <w:semiHidden/>
    <w:rsid w:val="00D456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1e4a61f8-8acd-406c-9ffc-156367cd3fec"/>
    <ds:schemaRef ds:uri="54a97082-99d0-4cd5-8c93-88769c19209d"/>
    <ds:schemaRef ds:uri="http://schemas.microsoft.com/sharepoint/v3"/>
  </ds:schemaRefs>
</ds:datastoreItem>
</file>

<file path=customXml/itemProps2.xml><?xml version="1.0" encoding="utf-8"?>
<ds:datastoreItem xmlns:ds="http://schemas.openxmlformats.org/officeDocument/2006/customXml" ds:itemID="{0C704590-B08E-413A-B63B-74EAB965EB14}"/>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1920</Words>
  <Characters>11009</Characters>
  <Application>Microsoft Office Word</Application>
  <DocSecurity>0</DocSecurity>
  <Lines>324</Lines>
  <Paragraphs>215</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DMS</dc:creator>
  <cp:lastModifiedBy>Sayles, Aissa</cp:lastModifiedBy>
  <cp:revision>3</cp:revision>
  <cp:lastPrinted>2018-10-31T20:17:00Z</cp:lastPrinted>
  <dcterms:created xsi:type="dcterms:W3CDTF">2025-12-19T21:55:00Z</dcterms:created>
  <dcterms:modified xsi:type="dcterms:W3CDTF">2025-12-23T15:35:00Z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