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FD951" w14:textId="78866E72" w:rsidR="00AE77DB" w:rsidRPr="008D2CED" w:rsidRDefault="004829D4" w:rsidP="00B029EA">
      <w:pPr>
        <w:pStyle w:val="Heading1"/>
        <w:rPr>
          <w:color w:val="002060"/>
          <w:lang w:val="en-US"/>
        </w:rPr>
      </w:pPr>
      <w:r w:rsidRPr="008D2CED">
        <w:rPr>
          <w:color w:val="002060"/>
          <w:lang w:val="en-US"/>
        </w:rPr>
        <w:t>New Drug Fact Blast</w:t>
      </w:r>
    </w:p>
    <w:p w14:paraId="5FAD6CBE" w14:textId="77777777" w:rsidR="00B029EA" w:rsidRPr="00B029EA" w:rsidRDefault="00B029EA" w:rsidP="00B029EA"/>
    <w:p w14:paraId="6C10C646" w14:textId="77777777" w:rsidR="00507DA1" w:rsidRDefault="1692D195" w:rsidP="1DC144F9">
      <w:pPr>
        <w:pStyle w:val="tbody"/>
        <w:rPr>
          <w:b w:val="0"/>
          <w:i/>
          <w:iCs/>
          <w:sz w:val="18"/>
          <w:szCs w:val="18"/>
        </w:rPr>
      </w:pPr>
      <w:r>
        <w:t>Drug/Manufacturer:</w:t>
      </w:r>
      <w:r w:rsidR="78C3ED1E">
        <w:t xml:space="preserve"> </w:t>
      </w:r>
      <w:r w:rsidR="00633E02">
        <w:t>Andembry</w:t>
      </w:r>
      <w:r w:rsidR="005065C5" w:rsidRPr="005065C5">
        <w:rPr>
          <w:vertAlign w:val="superscript"/>
        </w:rPr>
        <w:t>®</w:t>
      </w:r>
      <w:r w:rsidR="00633E02">
        <w:t xml:space="preserve"> </w:t>
      </w:r>
      <w:r w:rsidR="005065C5" w:rsidRPr="005065C5">
        <w:t>(garadacimab-gxii)</w:t>
      </w:r>
      <w:r w:rsidR="005065C5">
        <w:t xml:space="preserve"> [</w:t>
      </w:r>
      <w:r w:rsidR="005065C5" w:rsidRPr="005065C5">
        <w:t>CSL Behring LLC</w:t>
      </w:r>
      <w:r w:rsidR="005065C5">
        <w:t xml:space="preserve">] </w:t>
      </w:r>
      <w:r w:rsidR="005065C5" w:rsidRPr="005F3CDC">
        <w:rPr>
          <w:b w:val="0"/>
          <w:bCs/>
          <w:i/>
          <w:iCs/>
        </w:rPr>
        <w:t>(an-DEM-bree)</w:t>
      </w:r>
    </w:p>
    <w:p w14:paraId="5A936111" w14:textId="5A2E18FC" w:rsidR="1692D195" w:rsidRDefault="1692D195" w:rsidP="1DC144F9">
      <w:pPr>
        <w:pStyle w:val="tbody"/>
      </w:pPr>
      <w:r>
        <w:t>Dosage Formulations:</w:t>
      </w:r>
      <w:r w:rsidR="78C3ED1E">
        <w:rPr>
          <w:b w:val="0"/>
        </w:rPr>
        <w:t xml:space="preserve"> </w:t>
      </w:r>
      <w:r w:rsidR="000F2D61" w:rsidRPr="000F2D61">
        <w:rPr>
          <w:b w:val="0"/>
        </w:rPr>
        <w:t>200 mg/1.2 mL solution in a single-dose prefilled autoinjector</w:t>
      </w:r>
    </w:p>
    <w:p w14:paraId="62FFA9E8" w14:textId="3716568B" w:rsidR="00507DA1" w:rsidRDefault="00CE4651" w:rsidP="00CE4651">
      <w:pPr>
        <w:pStyle w:val="tbody"/>
      </w:pPr>
      <w:r>
        <w:t xml:space="preserve">FDA Approval Date: </w:t>
      </w:r>
      <w:r w:rsidR="00DF45BA" w:rsidRPr="00BF63EE">
        <w:rPr>
          <w:b w:val="0"/>
          <w:bCs/>
        </w:rPr>
        <w:t>June 16, 2025</w:t>
      </w:r>
    </w:p>
    <w:p w14:paraId="0526163B" w14:textId="74E124D1" w:rsidR="00CE4651" w:rsidRDefault="00507DA1" w:rsidP="00CE4651">
      <w:pPr>
        <w:pStyle w:val="tbody"/>
      </w:pPr>
      <w:r>
        <w:t>F</w:t>
      </w:r>
      <w:r w:rsidR="00CE4651">
        <w:t>DB File Date:</w:t>
      </w:r>
      <w:r w:rsidRPr="00507DA1">
        <w:t xml:space="preserve"> </w:t>
      </w:r>
      <w:r w:rsidR="00A452D8" w:rsidRPr="00A452D8">
        <w:rPr>
          <w:b w:val="0"/>
          <w:bCs/>
        </w:rPr>
        <w:t>July 3, 2025</w:t>
      </w:r>
    </w:p>
    <w:p w14:paraId="212F8CF5" w14:textId="77777777" w:rsidR="004C5767" w:rsidRPr="00C02553" w:rsidRDefault="004C5767" w:rsidP="00CE4651">
      <w:pPr>
        <w:pStyle w:val="tbody"/>
      </w:pPr>
      <w:r w:rsidRPr="00C02553">
        <w:t xml:space="preserve">Prepared For: </w:t>
      </w:r>
      <w:r w:rsidR="00EE613F" w:rsidRPr="00D27533">
        <w:rPr>
          <w:b w:val="0"/>
          <w:bCs/>
        </w:rPr>
        <w:t>MO HealthNet</w:t>
      </w:r>
      <w:r w:rsidRPr="00C02553">
        <w:tab/>
      </w:r>
    </w:p>
    <w:p w14:paraId="71EC66E9" w14:textId="35815A08" w:rsidR="004C5767" w:rsidRPr="008D312B" w:rsidRDefault="004C5767" w:rsidP="008D312B">
      <w:pPr>
        <w:pStyle w:val="tbody"/>
      </w:pPr>
      <w:r w:rsidRPr="00C02553">
        <w:t xml:space="preserve">Prepared By: </w:t>
      </w:r>
      <w:r w:rsidR="00303B21" w:rsidRPr="00D27533">
        <w:rPr>
          <w:b w:val="0"/>
          <w:bCs/>
        </w:rPr>
        <w:t>Conduent</w:t>
      </w:r>
      <w:r w:rsidR="00507DA1">
        <w:rPr>
          <w:b w:val="0"/>
          <w:bCs/>
        </w:rPr>
        <w:t xml:space="preserve"> Clinical Services</w:t>
      </w:r>
      <w:r w:rsidRPr="00C02553">
        <w:tab/>
      </w:r>
    </w:p>
    <w:p w14:paraId="1E073F4D" w14:textId="77777777" w:rsidR="00674418" w:rsidRPr="00BC46EE" w:rsidRDefault="00674418" w:rsidP="00674418">
      <w:pPr>
        <w:pStyle w:val="Style2"/>
      </w:pPr>
      <w:r w:rsidRPr="00BC46EE">
        <w:t>Indication</w:t>
      </w:r>
    </w:p>
    <w:p w14:paraId="7BDEAD66" w14:textId="1DB1AA68" w:rsidR="1DC144F9" w:rsidRDefault="00674418" w:rsidP="1DC144F9">
      <w:pPr>
        <w:rPr>
          <w:rFonts w:cs="Arial"/>
          <w:spacing w:val="-3"/>
        </w:rPr>
      </w:pPr>
      <w:r>
        <w:rPr>
          <w:rFonts w:cs="Arial"/>
          <w:spacing w:val="-3"/>
        </w:rPr>
        <w:t>P</w:t>
      </w:r>
      <w:r w:rsidR="000F2D61" w:rsidRPr="000F2D61">
        <w:rPr>
          <w:rFonts w:cs="Arial"/>
          <w:spacing w:val="-3"/>
        </w:rPr>
        <w:t>rophylaxis to prevent attacks of hereditary angioedema (HAE) in adult and pediatric patients aged 12 years and older.</w:t>
      </w:r>
    </w:p>
    <w:p w14:paraId="520D4590" w14:textId="77777777" w:rsidR="00674418" w:rsidRPr="00BC46EE" w:rsidRDefault="00674418" w:rsidP="00674418">
      <w:pPr>
        <w:pStyle w:val="Style2"/>
      </w:pPr>
      <w:r w:rsidRPr="00BC46EE">
        <w:t>Mechanism of Action</w:t>
      </w:r>
    </w:p>
    <w:p w14:paraId="69527EA6" w14:textId="191A0267" w:rsidR="005328B2" w:rsidRPr="008D312B" w:rsidRDefault="00633E02" w:rsidP="0064149A">
      <w:r>
        <w:t>Andembry</w:t>
      </w:r>
      <w:r w:rsidRPr="00633E02">
        <w:t xml:space="preserve"> is an inhibitor of activated FXII that binds to the catalytic domain of activated Factor XII (FXIIa and βFXIIa) and inhibits its catalytic activity. FXII is the first factor activated in the contact activation pathway and initiates the inflammatory bradykinin</w:t>
      </w:r>
      <w:r>
        <w:t xml:space="preserve"> </w:t>
      </w:r>
      <w:r w:rsidRPr="00633E02">
        <w:t>producing kallikrein-kinin system. The inhibition of FXIIa decreases the activation of prekallikrein to kallikrein and the generation of bradykinin, which is associated with inflammation and swelling in HAE attacks, thus reducing the cascade of events leading to an HAE attack</w:t>
      </w:r>
      <w:r w:rsidR="008D312B">
        <w:t>.</w:t>
      </w:r>
    </w:p>
    <w:p w14:paraId="759170D6" w14:textId="77777777" w:rsidR="00674418" w:rsidRPr="00BC46EE" w:rsidRDefault="00674418" w:rsidP="008D2CED">
      <w:pPr>
        <w:pStyle w:val="Style2"/>
      </w:pPr>
      <w:r w:rsidRPr="00BC46EE">
        <w:t>Dose/Administration</w:t>
      </w:r>
    </w:p>
    <w:p w14:paraId="5EB406D8" w14:textId="77777777" w:rsidR="00747B93" w:rsidRDefault="00747B93" w:rsidP="00747B93">
      <w:pPr>
        <w:pStyle w:val="ListParagraph"/>
        <w:numPr>
          <w:ilvl w:val="0"/>
          <w:numId w:val="21"/>
        </w:numPr>
        <w:ind w:left="360"/>
      </w:pPr>
      <w:r w:rsidRPr="00E905D1">
        <w:t xml:space="preserve">Recommended Dosage: Initial loading dose of 400 mg (two </w:t>
      </w:r>
      <w:r>
        <w:t xml:space="preserve">consecutive </w:t>
      </w:r>
      <w:r w:rsidRPr="00E905D1">
        <w:t xml:space="preserve">200-mg injections) administered subcutaneously followed by maintenance dosage of 200 mg once monthly. </w:t>
      </w:r>
    </w:p>
    <w:p w14:paraId="63E2B66F" w14:textId="43351B76" w:rsidR="00747B93" w:rsidRDefault="00747B93" w:rsidP="000165F0">
      <w:pPr>
        <w:pStyle w:val="ListParagraph"/>
        <w:numPr>
          <w:ilvl w:val="0"/>
          <w:numId w:val="21"/>
        </w:numPr>
        <w:ind w:left="360"/>
      </w:pPr>
      <w:r>
        <w:t>Route: subcutaneous use only</w:t>
      </w:r>
      <w:r w:rsidR="001B0535">
        <w:t>.</w:t>
      </w:r>
    </w:p>
    <w:p w14:paraId="65D209FF" w14:textId="64E64109" w:rsidR="00747B93" w:rsidRPr="00E905D1" w:rsidRDefault="00747B93" w:rsidP="00747B93">
      <w:pPr>
        <w:pStyle w:val="ListParagraph"/>
        <w:numPr>
          <w:ilvl w:val="0"/>
          <w:numId w:val="21"/>
        </w:numPr>
        <w:ind w:left="360"/>
      </w:pPr>
      <w:r>
        <w:t xml:space="preserve">Administration: </w:t>
      </w:r>
      <w:r w:rsidRPr="00E905D1">
        <w:t>Patients may self-administer</w:t>
      </w:r>
      <w:r>
        <w:t xml:space="preserve"> or administered by a caregiver</w:t>
      </w:r>
      <w:r w:rsidRPr="00E905D1">
        <w:t>.</w:t>
      </w:r>
    </w:p>
    <w:p w14:paraId="1E1ED982" w14:textId="5070048A" w:rsidR="00747B93" w:rsidRDefault="00747B93" w:rsidP="000165F0">
      <w:pPr>
        <w:pStyle w:val="ListParagraph"/>
        <w:numPr>
          <w:ilvl w:val="0"/>
          <w:numId w:val="21"/>
        </w:numPr>
        <w:ind w:left="360"/>
      </w:pPr>
      <w:r>
        <w:t>Injection sites: Abdomen avoiding 2 inches around the navel and thigh for self-administration; upper arm is caregiver administration only. Rotate injection sites with each dose and avoid injecting into moles, scars, bruises or areas that are red, hard, or injured</w:t>
      </w:r>
      <w:r w:rsidR="001B0535">
        <w:t>.</w:t>
      </w:r>
    </w:p>
    <w:p w14:paraId="0FC2DD45" w14:textId="233578D6" w:rsidR="00B029EA" w:rsidRDefault="00E905D1" w:rsidP="00B029EA">
      <w:pPr>
        <w:pStyle w:val="ListParagraph"/>
        <w:numPr>
          <w:ilvl w:val="0"/>
          <w:numId w:val="21"/>
        </w:numPr>
        <w:ind w:left="360"/>
      </w:pPr>
      <w:r w:rsidRPr="00E905D1">
        <w:t>Stor</w:t>
      </w:r>
      <w:r w:rsidR="007954F9">
        <w:t xml:space="preserve">age: </w:t>
      </w:r>
      <w:r w:rsidR="007954F9" w:rsidRPr="00E905D1">
        <w:t>re</w:t>
      </w:r>
      <w:r w:rsidR="0066226A">
        <w:t>frigerate</w:t>
      </w:r>
      <w:r w:rsidRPr="00E905D1">
        <w:t xml:space="preserve"> between 36˚F to 46˚F in its original carton box until use to protect from light.</w:t>
      </w:r>
      <w:r w:rsidR="00A5235F">
        <w:t xml:space="preserve"> </w:t>
      </w:r>
      <w:r>
        <w:t xml:space="preserve">Take the autoinjector out of the refrigerator 30 minutes before use, allowing it to reach room temperature. </w:t>
      </w:r>
      <w:r w:rsidR="00747B93">
        <w:t>Do not shake</w:t>
      </w:r>
      <w:r w:rsidR="001B0535">
        <w:t>.</w:t>
      </w:r>
    </w:p>
    <w:p w14:paraId="359139DF" w14:textId="77777777" w:rsidR="00674418" w:rsidRPr="00BC46EE" w:rsidRDefault="00674418" w:rsidP="00674418">
      <w:pPr>
        <w:pStyle w:val="Style2"/>
      </w:pPr>
      <w:r w:rsidRPr="00BC46EE">
        <w:t>Disease State Clinical Highlights</w:t>
      </w:r>
    </w:p>
    <w:p w14:paraId="313FAC8A" w14:textId="68208F85" w:rsidR="00A5235F" w:rsidRDefault="002D5E19" w:rsidP="000165F0">
      <w:pPr>
        <w:pStyle w:val="ListParagraph"/>
        <w:tabs>
          <w:tab w:val="left" w:pos="540"/>
        </w:tabs>
        <w:rPr>
          <w:rFonts w:cs="Arial"/>
          <w:szCs w:val="22"/>
        </w:rPr>
      </w:pPr>
      <w:r w:rsidRPr="002D5E19">
        <w:rPr>
          <w:rFonts w:cs="Arial"/>
          <w:szCs w:val="22"/>
        </w:rPr>
        <w:t xml:space="preserve">Hereditary </w:t>
      </w:r>
      <w:r w:rsidR="00ED289C" w:rsidRPr="002D5E19">
        <w:rPr>
          <w:rFonts w:cs="Arial"/>
          <w:szCs w:val="22"/>
        </w:rPr>
        <w:t>angioedema</w:t>
      </w:r>
      <w:r w:rsidRPr="002D5E19">
        <w:rPr>
          <w:rFonts w:cs="Arial"/>
          <w:szCs w:val="22"/>
        </w:rPr>
        <w:t xml:space="preserve"> (HAE) is a rare autosomal dominant disorder caused by deficiency or dysfunction of C1 esterase inhibitor (C1-INH) due to </w:t>
      </w:r>
      <w:r w:rsidR="0066226A">
        <w:rPr>
          <w:rFonts w:cs="Arial"/>
          <w:szCs w:val="22"/>
        </w:rPr>
        <w:t>a genetic variant</w:t>
      </w:r>
      <w:r w:rsidRPr="002D5E19">
        <w:rPr>
          <w:rFonts w:cs="Arial"/>
          <w:szCs w:val="22"/>
        </w:rPr>
        <w:t xml:space="preserve"> in the </w:t>
      </w:r>
      <w:r w:rsidRPr="008D2CED">
        <w:rPr>
          <w:rFonts w:cs="Arial"/>
          <w:i/>
          <w:iCs/>
          <w:szCs w:val="22"/>
        </w:rPr>
        <w:t>SERPING1</w:t>
      </w:r>
      <w:r w:rsidRPr="002D5E19">
        <w:rPr>
          <w:rFonts w:cs="Arial"/>
          <w:szCs w:val="22"/>
        </w:rPr>
        <w:t xml:space="preserve"> gene, leading to excessive bradykinin production and recurrent, unpredictable episodes of non-pruritic, non-urticarial angioedema involving the skin, gastrointestinal tract, or upper airway. </w:t>
      </w:r>
    </w:p>
    <w:p w14:paraId="72CAF908" w14:textId="77777777" w:rsidR="00A5235F" w:rsidRDefault="00A5235F" w:rsidP="000165F0">
      <w:pPr>
        <w:pStyle w:val="ListParagraph"/>
        <w:tabs>
          <w:tab w:val="left" w:pos="540"/>
        </w:tabs>
        <w:rPr>
          <w:rFonts w:cs="Arial"/>
          <w:szCs w:val="22"/>
        </w:rPr>
      </w:pPr>
      <w:r>
        <w:rPr>
          <w:rFonts w:cs="Arial"/>
          <w:szCs w:val="22"/>
        </w:rPr>
        <w:t>There are two common forms of HAE:</w:t>
      </w:r>
    </w:p>
    <w:p w14:paraId="6FC08C02" w14:textId="144C7A7F" w:rsidR="00A5235F" w:rsidRPr="00674418" w:rsidRDefault="00A5235F" w:rsidP="008D2CED">
      <w:pPr>
        <w:pStyle w:val="ListParagraph"/>
        <w:numPr>
          <w:ilvl w:val="1"/>
          <w:numId w:val="6"/>
        </w:numPr>
      </w:pPr>
      <w:r w:rsidRPr="00674418">
        <w:t xml:space="preserve">HAE due to a deficiency of C1-inhibitor </w:t>
      </w:r>
    </w:p>
    <w:p w14:paraId="48C81C57" w14:textId="4A70AAA8" w:rsidR="00A5235F" w:rsidRPr="00674418" w:rsidRDefault="00A5235F" w:rsidP="008D2CED">
      <w:pPr>
        <w:pStyle w:val="ListParagraph"/>
        <w:numPr>
          <w:ilvl w:val="1"/>
          <w:numId w:val="6"/>
        </w:numPr>
      </w:pPr>
      <w:r w:rsidRPr="00674418">
        <w:t>HAE with normal levels of C1</w:t>
      </w:r>
      <w:r w:rsidR="00DA34A5">
        <w:t xml:space="preserve"> which is</w:t>
      </w:r>
      <w:r w:rsidRPr="00674418">
        <w:t xml:space="preserve"> not as common (accounts for less than 1% of cases) </w:t>
      </w:r>
    </w:p>
    <w:p w14:paraId="3FF419EF" w14:textId="51C60FDE" w:rsidR="00A5235F" w:rsidRPr="00A5235F" w:rsidRDefault="00A5235F" w:rsidP="000165F0">
      <w:pPr>
        <w:pStyle w:val="ListParagraph"/>
        <w:tabs>
          <w:tab w:val="left" w:pos="540"/>
        </w:tabs>
      </w:pPr>
      <w:r>
        <w:t>HAE due to a deficiency of C1-inhibit</w:t>
      </w:r>
      <w:r w:rsidR="00DA34A5">
        <w:t>o</w:t>
      </w:r>
      <w:r>
        <w:t xml:space="preserve">r has two common types: </w:t>
      </w:r>
    </w:p>
    <w:p w14:paraId="1293C7FC" w14:textId="3C3ECE2B" w:rsidR="00A5235F" w:rsidRDefault="002D5E19" w:rsidP="00B43B5C">
      <w:pPr>
        <w:pStyle w:val="ListParagraph"/>
        <w:numPr>
          <w:ilvl w:val="1"/>
          <w:numId w:val="6"/>
        </w:numPr>
        <w:tabs>
          <w:tab w:val="left" w:pos="720"/>
        </w:tabs>
        <w:rPr>
          <w:rFonts w:cs="Arial"/>
          <w:szCs w:val="22"/>
        </w:rPr>
      </w:pPr>
      <w:r w:rsidRPr="002D5E19">
        <w:rPr>
          <w:rFonts w:cs="Arial"/>
          <w:szCs w:val="22"/>
        </w:rPr>
        <w:t>Type I HAE</w:t>
      </w:r>
      <w:r w:rsidR="009C5190">
        <w:rPr>
          <w:rFonts w:cs="Arial"/>
          <w:szCs w:val="22"/>
        </w:rPr>
        <w:t>-</w:t>
      </w:r>
      <w:r w:rsidR="00A5235F">
        <w:rPr>
          <w:rFonts w:cs="Arial"/>
          <w:szCs w:val="22"/>
        </w:rPr>
        <w:t xml:space="preserve"> </w:t>
      </w:r>
      <w:r w:rsidRPr="002D5E19">
        <w:rPr>
          <w:rFonts w:cs="Arial"/>
          <w:szCs w:val="22"/>
        </w:rPr>
        <w:t>characterized by low C1-INH levels with reduced functional activity</w:t>
      </w:r>
      <w:r w:rsidR="009C5190">
        <w:rPr>
          <w:rFonts w:cs="Arial"/>
          <w:szCs w:val="22"/>
        </w:rPr>
        <w:t xml:space="preserve"> (accounts for 80-85% of cases)</w:t>
      </w:r>
    </w:p>
    <w:p w14:paraId="4A6BC013" w14:textId="1A2C08E0" w:rsidR="00A5235F" w:rsidRDefault="002D5E19" w:rsidP="00B43B5C">
      <w:pPr>
        <w:pStyle w:val="ListParagraph"/>
        <w:numPr>
          <w:ilvl w:val="1"/>
          <w:numId w:val="6"/>
        </w:numPr>
        <w:tabs>
          <w:tab w:val="left" w:pos="720"/>
        </w:tabs>
        <w:rPr>
          <w:rFonts w:cs="Arial"/>
          <w:szCs w:val="22"/>
        </w:rPr>
      </w:pPr>
      <w:r w:rsidRPr="002D5E19">
        <w:rPr>
          <w:rFonts w:cs="Arial"/>
          <w:szCs w:val="22"/>
        </w:rPr>
        <w:t>Type II HAE</w:t>
      </w:r>
      <w:r w:rsidR="009C5190">
        <w:rPr>
          <w:rFonts w:cs="Arial"/>
          <w:szCs w:val="22"/>
        </w:rPr>
        <w:t>-</w:t>
      </w:r>
      <w:r w:rsidRPr="002D5E19">
        <w:rPr>
          <w:rFonts w:cs="Arial"/>
          <w:szCs w:val="22"/>
        </w:rPr>
        <w:t xml:space="preserve"> normal or elevated C1-INH levels with impaired function</w:t>
      </w:r>
      <w:r w:rsidR="009C5190">
        <w:rPr>
          <w:rFonts w:cs="Arial"/>
          <w:szCs w:val="22"/>
        </w:rPr>
        <w:t xml:space="preserve"> (accounts for 15-20% of cases)</w:t>
      </w:r>
    </w:p>
    <w:p w14:paraId="22B47537" w14:textId="19734A64" w:rsidR="002D5E19" w:rsidRPr="00A5235F" w:rsidRDefault="002D5E19" w:rsidP="000165F0">
      <w:pPr>
        <w:pStyle w:val="ListParagraph"/>
        <w:tabs>
          <w:tab w:val="left" w:pos="540"/>
        </w:tabs>
      </w:pPr>
      <w:r w:rsidRPr="00A5235F">
        <w:t>HAE typically begins in childhood or adolescence and persists lifelong, with variability in attack frequency and severity</w:t>
      </w:r>
      <w:r w:rsidR="00674418">
        <w:t>. G</w:t>
      </w:r>
      <w:r w:rsidRPr="00A5235F">
        <w:t>astrointestinal attacks may cause severe abdominal pain, while laryngeal edema, though less common, poses the highest risk due to potential for rapid airway compromise and fatal asphyxiation.</w:t>
      </w:r>
    </w:p>
    <w:p w14:paraId="570E9072" w14:textId="36911C00" w:rsidR="002D5E19" w:rsidRPr="002937E1" w:rsidRDefault="002D5E19" w:rsidP="000165F0">
      <w:pPr>
        <w:pStyle w:val="ListParagraph"/>
        <w:tabs>
          <w:tab w:val="left" w:pos="540"/>
        </w:tabs>
        <w:rPr>
          <w:rFonts w:cs="Arial"/>
          <w:szCs w:val="22"/>
        </w:rPr>
      </w:pPr>
      <w:r w:rsidRPr="002D5E19">
        <w:rPr>
          <w:rFonts w:cs="Arial"/>
          <w:szCs w:val="22"/>
        </w:rPr>
        <w:lastRenderedPageBreak/>
        <w:t>HAE affects an estimated 1 in 10,000 to 1 in 50,000 individuals in the United States. Symptoms often begin early in life, and the pattern, severity, and frequency of attacks differ widely among patients. Attacks can occur as often as every few days or be separated by months or years, with some patients identifying triggers such as stress, trauma, infections, hormonal changes, or medical/dental procedures.</w:t>
      </w:r>
    </w:p>
    <w:p w14:paraId="714C3EDA" w14:textId="1B383626" w:rsidR="001E4CBA" w:rsidRDefault="002D5E19" w:rsidP="000165F0">
      <w:pPr>
        <w:pStyle w:val="ListParagraph"/>
        <w:tabs>
          <w:tab w:val="left" w:pos="360"/>
        </w:tabs>
        <w:rPr>
          <w:rFonts w:cs="Arial"/>
          <w:szCs w:val="22"/>
        </w:rPr>
      </w:pPr>
      <w:r w:rsidRPr="002D5E19">
        <w:rPr>
          <w:rFonts w:cs="Arial"/>
          <w:szCs w:val="22"/>
        </w:rPr>
        <w:t>Current HAE management focuses on on-demand treatment, short-term prophylaxis, and long-term prophylaxis. On-demand therapy for all acute attacks includes icatibant, ecallantide, and plasma-derived or recombinant C1-INH; fresh frozen plasma is reserved for rare situations when these agents are not available. Short-term prophylaxis, typically before medical or dental procedures, is most often achieved with C1-INH. Options for long-term prophylaxis include lanadelumab, berotralstat, and C1-INH (SC/IV), while attenuated androgens and antifibrinolytics are used infrequently because of safety concerns or reduced efficacy.</w:t>
      </w:r>
    </w:p>
    <w:p w14:paraId="7B395CCF" w14:textId="77777777" w:rsidR="00674418" w:rsidRPr="00C02553" w:rsidRDefault="00674418" w:rsidP="00674418">
      <w:pPr>
        <w:pStyle w:val="Style2"/>
      </w:pPr>
      <w:bookmarkStart w:id="0" w:name="_Hlk34120952"/>
      <w:r>
        <w:t>Drug Clinical Highlights</w:t>
      </w:r>
    </w:p>
    <w:p w14:paraId="3FF1E7AC" w14:textId="0FC3201B" w:rsidR="00BC5635" w:rsidRPr="000165F0" w:rsidRDefault="00565FF4" w:rsidP="000165F0">
      <w:pPr>
        <w:pStyle w:val="ListParagraph"/>
      </w:pPr>
      <w:r w:rsidRPr="000165F0">
        <w:t>Andembry is a first-in-class monoclonal antibody that targets Factor XIIa, the initiating enzyme of the contact activation pathway. By blocking FXIIa, Andembry reduces the conversion of prekallikrein to kallikrein and subsequently limits bradykinin formation</w:t>
      </w:r>
      <w:r w:rsidR="00674418">
        <w:t xml:space="preserve"> – </w:t>
      </w:r>
      <w:r w:rsidRPr="000165F0">
        <w:t>the key mediator driving increased vascular permeability and swelling in HAE. This upstream inhibition helps interrupt the biochemical cascade that leads to angioedema attacks.</w:t>
      </w:r>
    </w:p>
    <w:p w14:paraId="569A8082" w14:textId="3020B465" w:rsidR="00647DF4" w:rsidRDefault="00E31422" w:rsidP="003668BC">
      <w:pPr>
        <w:pStyle w:val="ListParagraph"/>
      </w:pPr>
      <w:r w:rsidRPr="000165F0">
        <w:t>Andembry offers a mechanistically distinct prophylactic option that does not rely on C1-INH replacement or kallikrein inhibition, avoids hepatic metabolism, and provides an alternative for patients who do not respond to or tolerate existing therapy classes.</w:t>
      </w:r>
    </w:p>
    <w:p w14:paraId="2C1B1076" w14:textId="77777777" w:rsidR="00B029EA" w:rsidRPr="003668BC" w:rsidRDefault="00B029EA" w:rsidP="00B029EA">
      <w:pPr>
        <w:pStyle w:val="ListParagraph"/>
        <w:numPr>
          <w:ilvl w:val="0"/>
          <w:numId w:val="0"/>
        </w:numPr>
        <w:ind w:left="360"/>
      </w:pPr>
    </w:p>
    <w:p w14:paraId="0040E0D5" w14:textId="77777777" w:rsidR="00647DF4" w:rsidRPr="00647DF4" w:rsidRDefault="00647DF4" w:rsidP="00647DF4">
      <w:pPr>
        <w:rPr>
          <w:rFonts w:cs="Arial"/>
          <w:szCs w:val="32"/>
          <w:u w:val="single"/>
        </w:rPr>
      </w:pPr>
      <w:r w:rsidRPr="00647DF4">
        <w:rPr>
          <w:rFonts w:cs="Arial"/>
          <w:szCs w:val="32"/>
          <w:u w:val="single"/>
        </w:rPr>
        <w:t>Warnings and Precautions</w:t>
      </w:r>
    </w:p>
    <w:p w14:paraId="53E7550E" w14:textId="2835912C" w:rsidR="00647DF4" w:rsidRDefault="00647DF4" w:rsidP="008D2CED">
      <w:pPr>
        <w:pStyle w:val="ListParagraph"/>
      </w:pPr>
      <w:r w:rsidRPr="00647DF4">
        <w:t>None listed in US prescribing information.</w:t>
      </w:r>
    </w:p>
    <w:p w14:paraId="7325E59F" w14:textId="77777777" w:rsidR="00B029EA" w:rsidRDefault="00B029EA" w:rsidP="00647DF4">
      <w:pPr>
        <w:rPr>
          <w:rFonts w:cs="Arial"/>
          <w:szCs w:val="32"/>
        </w:rPr>
      </w:pPr>
    </w:p>
    <w:p w14:paraId="6CB6EB26" w14:textId="77777777" w:rsidR="00647DF4" w:rsidRDefault="00647DF4" w:rsidP="00647DF4">
      <w:pPr>
        <w:rPr>
          <w:rFonts w:cs="Arial"/>
          <w:szCs w:val="32"/>
          <w:u w:val="single"/>
        </w:rPr>
      </w:pPr>
      <w:r w:rsidRPr="00647DF4">
        <w:rPr>
          <w:rFonts w:cs="Arial"/>
          <w:szCs w:val="32"/>
          <w:u w:val="single"/>
        </w:rPr>
        <w:t>Pregnancy and Lactation</w:t>
      </w:r>
    </w:p>
    <w:p w14:paraId="406814AE" w14:textId="761EE9B6" w:rsidR="004A710B" w:rsidRPr="004A710B" w:rsidRDefault="004A710B" w:rsidP="000165F0">
      <w:pPr>
        <w:pStyle w:val="ListParagraph"/>
        <w:numPr>
          <w:ilvl w:val="0"/>
          <w:numId w:val="17"/>
        </w:numPr>
        <w:ind w:left="360"/>
        <w:rPr>
          <w:rFonts w:cs="Arial"/>
          <w:szCs w:val="32"/>
        </w:rPr>
      </w:pPr>
      <w:r w:rsidRPr="004A710B">
        <w:rPr>
          <w:rFonts w:cs="Arial"/>
          <w:szCs w:val="32"/>
        </w:rPr>
        <w:t xml:space="preserve">Pregnancy: No human data </w:t>
      </w:r>
      <w:r w:rsidR="008D312B" w:rsidRPr="004A710B">
        <w:rPr>
          <w:rFonts w:cs="Arial"/>
          <w:szCs w:val="32"/>
        </w:rPr>
        <w:t>is</w:t>
      </w:r>
      <w:r w:rsidRPr="004A710B">
        <w:rPr>
          <w:rFonts w:cs="Arial"/>
          <w:szCs w:val="32"/>
        </w:rPr>
        <w:t xml:space="preserve"> available to determine the drug-associated risk in pregnancy. As a monoclonal antibody, </w:t>
      </w:r>
      <w:r w:rsidR="0066226A">
        <w:rPr>
          <w:rFonts w:cs="Arial"/>
          <w:szCs w:val="32"/>
        </w:rPr>
        <w:t>Andembry</w:t>
      </w:r>
      <w:r w:rsidRPr="004A710B">
        <w:rPr>
          <w:rFonts w:cs="Arial"/>
          <w:szCs w:val="32"/>
        </w:rPr>
        <w:t xml:space="preserve"> is expected to cross the placenta, with fetal exposure increasing during the third trimester.</w:t>
      </w:r>
    </w:p>
    <w:p w14:paraId="1210A617" w14:textId="721B9BD1" w:rsidR="00647DF4" w:rsidRDefault="004A710B" w:rsidP="00647DF4">
      <w:pPr>
        <w:pStyle w:val="ListParagraph"/>
        <w:numPr>
          <w:ilvl w:val="0"/>
          <w:numId w:val="17"/>
        </w:numPr>
        <w:ind w:left="360"/>
        <w:rPr>
          <w:rFonts w:cs="Arial"/>
          <w:szCs w:val="32"/>
        </w:rPr>
      </w:pPr>
      <w:r w:rsidRPr="004A710B">
        <w:rPr>
          <w:rFonts w:cs="Arial"/>
          <w:szCs w:val="32"/>
        </w:rPr>
        <w:t xml:space="preserve">Lactation: It is unknown whether </w:t>
      </w:r>
      <w:r w:rsidR="0066226A">
        <w:rPr>
          <w:rFonts w:cs="Arial"/>
          <w:szCs w:val="32"/>
        </w:rPr>
        <w:t>Andembry</w:t>
      </w:r>
      <w:r w:rsidRPr="004A710B">
        <w:rPr>
          <w:rFonts w:cs="Arial"/>
          <w:szCs w:val="32"/>
        </w:rPr>
        <w:t xml:space="preserve"> or its metabolites are excreted in human milk, and the potential effects on a breastfed infant or on milk production are not established.</w:t>
      </w:r>
    </w:p>
    <w:p w14:paraId="3C0AC266" w14:textId="77777777" w:rsidR="00B029EA" w:rsidRDefault="00B029EA" w:rsidP="00B029EA">
      <w:pPr>
        <w:pStyle w:val="ListParagraph"/>
        <w:numPr>
          <w:ilvl w:val="0"/>
          <w:numId w:val="0"/>
        </w:numPr>
        <w:ind w:left="360"/>
        <w:rPr>
          <w:rFonts w:cs="Arial"/>
          <w:szCs w:val="32"/>
        </w:rPr>
      </w:pPr>
    </w:p>
    <w:p w14:paraId="19398019" w14:textId="3B177C00" w:rsidR="00B029EA" w:rsidRDefault="00B029EA" w:rsidP="00B029EA">
      <w:pPr>
        <w:rPr>
          <w:rFonts w:cs="Arial"/>
          <w:szCs w:val="32"/>
          <w:u w:val="single"/>
        </w:rPr>
      </w:pPr>
      <w:r w:rsidRPr="00B029EA">
        <w:rPr>
          <w:rFonts w:cs="Arial"/>
          <w:szCs w:val="32"/>
          <w:u w:val="single"/>
        </w:rPr>
        <w:t>Renal and Hepatic Impairment</w:t>
      </w:r>
    </w:p>
    <w:p w14:paraId="72146DA3" w14:textId="1C27B316" w:rsidR="00B029EA" w:rsidRDefault="00B029EA" w:rsidP="00B029EA">
      <w:pPr>
        <w:pStyle w:val="ListParagraph"/>
      </w:pPr>
      <w:r>
        <w:t>Mild-Moderate renal impairment (eGFR ≥</w:t>
      </w:r>
      <w:r w:rsidR="00900D23">
        <w:t xml:space="preserve"> </w:t>
      </w:r>
      <w:r>
        <w:t>30 mL/min/1.73 m²)</w:t>
      </w:r>
    </w:p>
    <w:p w14:paraId="7CBFA723" w14:textId="4EC1C9BA" w:rsidR="00B029EA" w:rsidRDefault="00B029EA" w:rsidP="00B029EA">
      <w:pPr>
        <w:pStyle w:val="ListParagraph"/>
        <w:numPr>
          <w:ilvl w:val="1"/>
          <w:numId w:val="6"/>
        </w:numPr>
      </w:pPr>
      <w:r>
        <w:t>No dosage adjustment is recommended; no clinically significant differences were observed.</w:t>
      </w:r>
    </w:p>
    <w:p w14:paraId="5F7BD78F" w14:textId="7BA8755E" w:rsidR="00B029EA" w:rsidRDefault="00B029EA" w:rsidP="00B029EA">
      <w:pPr>
        <w:pStyle w:val="ListParagraph"/>
      </w:pPr>
      <w:r>
        <w:t>Severe renal impairment (eGFR &lt;</w:t>
      </w:r>
      <w:r w:rsidR="00900D23">
        <w:t xml:space="preserve"> </w:t>
      </w:r>
      <w:r>
        <w:t>30 mL/min/1.73 m²):</w:t>
      </w:r>
    </w:p>
    <w:p w14:paraId="5DC91DEA" w14:textId="5E516877" w:rsidR="00B029EA" w:rsidRDefault="00B029EA" w:rsidP="00B029EA">
      <w:pPr>
        <w:pStyle w:val="ListParagraph"/>
        <w:numPr>
          <w:ilvl w:val="1"/>
          <w:numId w:val="6"/>
        </w:numPr>
      </w:pPr>
      <w:r>
        <w:t>Has not been studied. No dosage recommendations can be made.</w:t>
      </w:r>
    </w:p>
    <w:p w14:paraId="5926578E" w14:textId="33413D41" w:rsidR="00B029EA" w:rsidRDefault="00B029EA" w:rsidP="00B029EA">
      <w:pPr>
        <w:pStyle w:val="ListParagraph"/>
      </w:pPr>
      <w:r>
        <w:t>Hepatic Impairment</w:t>
      </w:r>
    </w:p>
    <w:p w14:paraId="2EF9BE39" w14:textId="4A512B35" w:rsidR="00B029EA" w:rsidRDefault="00B029EA" w:rsidP="00B029EA">
      <w:pPr>
        <w:pStyle w:val="ListParagraph"/>
        <w:numPr>
          <w:ilvl w:val="1"/>
          <w:numId w:val="6"/>
        </w:numPr>
      </w:pPr>
      <w:r>
        <w:t>The effect of hepatic impairment on</w:t>
      </w:r>
      <w:r w:rsidRPr="008D2CED">
        <w:rPr>
          <w:rFonts w:cs="Arial"/>
          <w:szCs w:val="20"/>
        </w:rPr>
        <w:t xml:space="preserve"> </w:t>
      </w:r>
      <w:r w:rsidR="008D2CED" w:rsidRPr="008D2CED">
        <w:rPr>
          <w:rFonts w:cs="Arial"/>
          <w:szCs w:val="20"/>
        </w:rPr>
        <w:t>Andembry’s</w:t>
      </w:r>
      <w:r w:rsidR="008D2CED" w:rsidRPr="008D2CED">
        <w:t xml:space="preserve"> </w:t>
      </w:r>
      <w:r>
        <w:t>pharmacokinetics has not been studied.</w:t>
      </w:r>
    </w:p>
    <w:p w14:paraId="170D1AA7" w14:textId="3E03702B" w:rsidR="00B029EA" w:rsidRDefault="00B029EA" w:rsidP="00B029EA">
      <w:pPr>
        <w:pStyle w:val="ListParagraph"/>
        <w:numPr>
          <w:ilvl w:val="1"/>
          <w:numId w:val="6"/>
        </w:numPr>
      </w:pPr>
      <w:r>
        <w:t>No dosage recommendations are provided in the manufacturer’s labeling.</w:t>
      </w:r>
    </w:p>
    <w:p w14:paraId="73BD762B" w14:textId="77777777" w:rsidR="009E73BD" w:rsidRDefault="009E73BD" w:rsidP="009E73BD">
      <w:pPr>
        <w:pStyle w:val="ListParagraph"/>
        <w:numPr>
          <w:ilvl w:val="0"/>
          <w:numId w:val="0"/>
        </w:numPr>
        <w:ind w:left="720"/>
      </w:pPr>
    </w:p>
    <w:p w14:paraId="626839A2" w14:textId="2A94CBA2" w:rsidR="00B029EA" w:rsidRDefault="009E73BD" w:rsidP="009E73BD">
      <w:pPr>
        <w:rPr>
          <w:u w:val="single"/>
        </w:rPr>
      </w:pPr>
      <w:r w:rsidRPr="009E73BD">
        <w:rPr>
          <w:u w:val="single"/>
        </w:rPr>
        <w:t>Immunogenicity</w:t>
      </w:r>
    </w:p>
    <w:p w14:paraId="33E62B36" w14:textId="78A8617C" w:rsidR="009E73BD" w:rsidRDefault="009E73BD" w:rsidP="009E73BD">
      <w:r w:rsidRPr="009E73BD">
        <w:t>In the VANGUARD trial, 2.6% (1/39) of patients developed anti-drug antibodies during 6 months of therapy, with no impact on pharmacokinetics, safety, or clinical response.</w:t>
      </w:r>
    </w:p>
    <w:p w14:paraId="0CB5FEA8" w14:textId="77777777" w:rsidR="009E73BD" w:rsidRPr="009E73BD" w:rsidRDefault="009E73BD" w:rsidP="009E73BD"/>
    <w:p w14:paraId="23C07ABA" w14:textId="77777777" w:rsidR="00647DF4" w:rsidRPr="009E73BD" w:rsidRDefault="002F134A" w:rsidP="00647DF4">
      <w:pPr>
        <w:rPr>
          <w:rFonts w:cs="Arial"/>
          <w:szCs w:val="32"/>
          <w:u w:val="single"/>
        </w:rPr>
      </w:pPr>
      <w:r w:rsidRPr="009E73BD">
        <w:rPr>
          <w:rFonts w:cs="Arial"/>
          <w:szCs w:val="32"/>
          <w:u w:val="single"/>
        </w:rPr>
        <w:t>Clinical Studies</w:t>
      </w:r>
    </w:p>
    <w:p w14:paraId="33ACCE0E" w14:textId="150C3914" w:rsidR="006374D7" w:rsidRDefault="00300160" w:rsidP="00300160">
      <w:pPr>
        <w:rPr>
          <w:rFonts w:cs="Arial"/>
          <w:szCs w:val="32"/>
        </w:rPr>
      </w:pPr>
      <w:r w:rsidRPr="00300160">
        <w:rPr>
          <w:rFonts w:cs="Arial"/>
          <w:szCs w:val="32"/>
        </w:rPr>
        <w:t>VANGUARD study (NCT04656418)</w:t>
      </w:r>
      <w:r w:rsidR="001F4A46">
        <w:rPr>
          <w:rFonts w:cs="Arial"/>
          <w:szCs w:val="32"/>
        </w:rPr>
        <w:t xml:space="preserve"> </w:t>
      </w:r>
      <w:r>
        <w:rPr>
          <w:rFonts w:cs="Arial"/>
          <w:szCs w:val="32"/>
        </w:rPr>
        <w:t xml:space="preserve">- </w:t>
      </w:r>
      <w:r w:rsidRPr="00300160">
        <w:rPr>
          <w:rFonts w:cs="Arial"/>
          <w:szCs w:val="32"/>
        </w:rPr>
        <w:t>Phase 3 multicenter, randomized, double-blind, placebo-controlled, parallel-group study to</w:t>
      </w:r>
      <w:r>
        <w:rPr>
          <w:rFonts w:cs="Arial"/>
          <w:szCs w:val="32"/>
        </w:rPr>
        <w:t xml:space="preserve"> </w:t>
      </w:r>
      <w:r w:rsidRPr="00300160">
        <w:rPr>
          <w:rFonts w:cs="Arial"/>
          <w:szCs w:val="32"/>
        </w:rPr>
        <w:t>assess the safety and efficacy of Andembry for the prophylactic treatment of HAE</w:t>
      </w:r>
      <w:r>
        <w:rPr>
          <w:rFonts w:cs="Arial"/>
          <w:szCs w:val="32"/>
        </w:rPr>
        <w:t>.</w:t>
      </w:r>
    </w:p>
    <w:p w14:paraId="0769B96B" w14:textId="77777777" w:rsidR="006374D7" w:rsidRDefault="006374D7" w:rsidP="003A37EE">
      <w:pPr>
        <w:pStyle w:val="ListParagraph"/>
        <w:numPr>
          <w:ilvl w:val="0"/>
          <w:numId w:val="27"/>
        </w:numPr>
        <w:ind w:left="360"/>
        <w:rPr>
          <w:rFonts w:cs="Arial"/>
          <w:szCs w:val="32"/>
        </w:rPr>
      </w:pPr>
      <w:r w:rsidRPr="006374D7">
        <w:rPr>
          <w:rFonts w:cs="Arial"/>
          <w:szCs w:val="32"/>
        </w:rPr>
        <w:t>Study Population (n= 64)</w:t>
      </w:r>
    </w:p>
    <w:p w14:paraId="4A371CEC" w14:textId="54ACC8BA" w:rsidR="00B43B5C" w:rsidRPr="00B43B5C" w:rsidRDefault="006374D7" w:rsidP="00B43B5C">
      <w:pPr>
        <w:pStyle w:val="ListParagraph"/>
        <w:numPr>
          <w:ilvl w:val="1"/>
          <w:numId w:val="27"/>
        </w:numPr>
        <w:ind w:left="720"/>
        <w:rPr>
          <w:rFonts w:cs="Arial"/>
          <w:szCs w:val="32"/>
        </w:rPr>
      </w:pPr>
      <w:r w:rsidRPr="006374D7">
        <w:rPr>
          <w:rFonts w:cs="Arial"/>
          <w:szCs w:val="32"/>
        </w:rPr>
        <w:t>Mean age at screening: 41 years (range: 12–69 years)</w:t>
      </w:r>
    </w:p>
    <w:p w14:paraId="201DA897" w14:textId="77777777" w:rsidR="006374D7" w:rsidRPr="006374D7" w:rsidRDefault="006374D7" w:rsidP="003668BC">
      <w:pPr>
        <w:pStyle w:val="ListParagraph"/>
        <w:numPr>
          <w:ilvl w:val="2"/>
          <w:numId w:val="27"/>
        </w:numPr>
        <w:ind w:left="1080"/>
        <w:rPr>
          <w:rFonts w:cs="Arial"/>
          <w:szCs w:val="32"/>
        </w:rPr>
      </w:pPr>
      <w:r w:rsidRPr="006374D7">
        <w:rPr>
          <w:rFonts w:cs="Arial"/>
          <w:szCs w:val="32"/>
        </w:rPr>
        <w:t>59% female, 41% male</w:t>
      </w:r>
    </w:p>
    <w:p w14:paraId="2CD97668" w14:textId="77777777" w:rsidR="006374D7" w:rsidRPr="006374D7" w:rsidRDefault="006374D7" w:rsidP="003668BC">
      <w:pPr>
        <w:pStyle w:val="ListParagraph"/>
        <w:numPr>
          <w:ilvl w:val="2"/>
          <w:numId w:val="27"/>
        </w:numPr>
        <w:ind w:left="1080"/>
        <w:rPr>
          <w:rFonts w:cs="Arial"/>
          <w:szCs w:val="32"/>
        </w:rPr>
      </w:pPr>
      <w:r w:rsidRPr="006374D7">
        <w:rPr>
          <w:rFonts w:cs="Arial"/>
          <w:szCs w:val="32"/>
        </w:rPr>
        <w:t>86% White, 9% Asian, 5% Hispanic or Latino, 2% Black or African American, 2% Native</w:t>
      </w:r>
      <w:r>
        <w:rPr>
          <w:rFonts w:cs="Arial"/>
          <w:szCs w:val="32"/>
        </w:rPr>
        <w:t xml:space="preserve"> </w:t>
      </w:r>
      <w:r w:rsidRPr="006374D7">
        <w:rPr>
          <w:rFonts w:cs="Arial"/>
          <w:szCs w:val="32"/>
        </w:rPr>
        <w:t>Hawaiian or Pacific Islander, 2% other race</w:t>
      </w:r>
    </w:p>
    <w:p w14:paraId="2DA04D8C" w14:textId="79D6F44B" w:rsidR="006374D7" w:rsidRPr="006374D7" w:rsidRDefault="006374D7" w:rsidP="00B43B5C">
      <w:pPr>
        <w:pStyle w:val="ListParagraph"/>
        <w:numPr>
          <w:ilvl w:val="1"/>
          <w:numId w:val="27"/>
        </w:numPr>
        <w:ind w:left="720"/>
        <w:rPr>
          <w:rFonts w:cs="Arial"/>
          <w:szCs w:val="32"/>
        </w:rPr>
      </w:pPr>
      <w:r w:rsidRPr="006374D7">
        <w:rPr>
          <w:rFonts w:cs="Arial"/>
          <w:szCs w:val="32"/>
        </w:rPr>
        <w:t>88% had HAE-C1</w:t>
      </w:r>
      <w:r w:rsidR="008D2CED">
        <w:rPr>
          <w:rFonts w:cs="Arial"/>
          <w:szCs w:val="32"/>
        </w:rPr>
        <w:t>-</w:t>
      </w:r>
      <w:r w:rsidRPr="006374D7">
        <w:rPr>
          <w:rFonts w:cs="Arial"/>
          <w:szCs w:val="32"/>
        </w:rPr>
        <w:t>INH type I</w:t>
      </w:r>
    </w:p>
    <w:p w14:paraId="79CBBE8F" w14:textId="77777777" w:rsidR="006374D7" w:rsidRPr="006374D7" w:rsidRDefault="006374D7" w:rsidP="00B43B5C">
      <w:pPr>
        <w:pStyle w:val="ListParagraph"/>
        <w:numPr>
          <w:ilvl w:val="1"/>
          <w:numId w:val="27"/>
        </w:numPr>
        <w:ind w:left="720"/>
        <w:rPr>
          <w:rFonts w:cs="Arial"/>
          <w:szCs w:val="32"/>
        </w:rPr>
      </w:pPr>
      <w:r w:rsidRPr="006374D7">
        <w:rPr>
          <w:rFonts w:cs="Arial"/>
          <w:szCs w:val="32"/>
        </w:rPr>
        <w:lastRenderedPageBreak/>
        <w:t>33% had prior HAE prophylaxis</w:t>
      </w:r>
    </w:p>
    <w:p w14:paraId="185A77D3" w14:textId="77777777" w:rsidR="006374D7" w:rsidRPr="006374D7" w:rsidRDefault="006374D7" w:rsidP="00B43B5C">
      <w:pPr>
        <w:pStyle w:val="ListParagraph"/>
        <w:numPr>
          <w:ilvl w:val="1"/>
          <w:numId w:val="27"/>
        </w:numPr>
        <w:ind w:left="720"/>
        <w:rPr>
          <w:rFonts w:cs="Arial"/>
          <w:szCs w:val="32"/>
        </w:rPr>
      </w:pPr>
      <w:r w:rsidRPr="006374D7">
        <w:rPr>
          <w:rFonts w:cs="Arial"/>
          <w:szCs w:val="32"/>
        </w:rPr>
        <w:t>Baseline HAE attack rate</w:t>
      </w:r>
    </w:p>
    <w:p w14:paraId="61B3A780" w14:textId="2E60CB52" w:rsidR="006374D7" w:rsidRPr="006374D7" w:rsidRDefault="006374D7" w:rsidP="003668BC">
      <w:pPr>
        <w:pStyle w:val="ListParagraph"/>
        <w:numPr>
          <w:ilvl w:val="2"/>
          <w:numId w:val="27"/>
        </w:numPr>
        <w:ind w:left="1080"/>
        <w:rPr>
          <w:rFonts w:cs="Arial"/>
          <w:szCs w:val="32"/>
        </w:rPr>
      </w:pPr>
      <w:r w:rsidRPr="006374D7">
        <w:rPr>
          <w:rFonts w:cs="Arial"/>
          <w:szCs w:val="32"/>
        </w:rPr>
        <w:t>1 to &lt;</w:t>
      </w:r>
      <w:r w:rsidR="00900D23">
        <w:rPr>
          <w:rFonts w:cs="Arial"/>
          <w:szCs w:val="32"/>
        </w:rPr>
        <w:t xml:space="preserve"> </w:t>
      </w:r>
      <w:r w:rsidRPr="006374D7">
        <w:rPr>
          <w:rFonts w:cs="Arial"/>
          <w:szCs w:val="32"/>
        </w:rPr>
        <w:t>3 attacks: 41%</w:t>
      </w:r>
    </w:p>
    <w:p w14:paraId="2C70524D" w14:textId="7610080F" w:rsidR="006374D7" w:rsidRPr="003668BC" w:rsidRDefault="006374D7" w:rsidP="003668BC">
      <w:pPr>
        <w:pStyle w:val="ListParagraph"/>
        <w:numPr>
          <w:ilvl w:val="2"/>
          <w:numId w:val="27"/>
        </w:numPr>
        <w:ind w:left="1080"/>
        <w:rPr>
          <w:rFonts w:cs="Arial"/>
          <w:szCs w:val="32"/>
        </w:rPr>
      </w:pPr>
      <w:r w:rsidRPr="006374D7">
        <w:rPr>
          <w:rFonts w:cs="Arial"/>
          <w:szCs w:val="32"/>
        </w:rPr>
        <w:t>≥</w:t>
      </w:r>
      <w:r w:rsidR="00900D23">
        <w:rPr>
          <w:rFonts w:cs="Arial"/>
          <w:szCs w:val="32"/>
        </w:rPr>
        <w:t xml:space="preserve"> </w:t>
      </w:r>
      <w:r w:rsidRPr="006374D7">
        <w:rPr>
          <w:rFonts w:cs="Arial"/>
          <w:szCs w:val="32"/>
        </w:rPr>
        <w:t>3 attacks: 59%</w:t>
      </w:r>
    </w:p>
    <w:p w14:paraId="6C120C9E" w14:textId="77777777" w:rsidR="006374D7" w:rsidRPr="00471394" w:rsidRDefault="006374D7" w:rsidP="003A37EE">
      <w:pPr>
        <w:pStyle w:val="ListParagraph"/>
        <w:numPr>
          <w:ilvl w:val="0"/>
          <w:numId w:val="27"/>
        </w:numPr>
        <w:ind w:left="360"/>
        <w:rPr>
          <w:rFonts w:cs="Arial"/>
          <w:szCs w:val="32"/>
        </w:rPr>
      </w:pPr>
      <w:r>
        <w:rPr>
          <w:rFonts w:cs="Arial"/>
          <w:szCs w:val="32"/>
        </w:rPr>
        <w:t xml:space="preserve">Inclusion </w:t>
      </w:r>
      <w:r w:rsidRPr="00471394">
        <w:rPr>
          <w:rFonts w:cs="Arial"/>
          <w:szCs w:val="32"/>
        </w:rPr>
        <w:t>Criteria:</w:t>
      </w:r>
    </w:p>
    <w:p w14:paraId="0B7AEF87" w14:textId="66899635" w:rsidR="006374D7" w:rsidRPr="006374D7" w:rsidRDefault="006374D7" w:rsidP="003A37EE">
      <w:pPr>
        <w:pStyle w:val="ListParagraph"/>
        <w:numPr>
          <w:ilvl w:val="1"/>
          <w:numId w:val="27"/>
        </w:numPr>
        <w:ind w:left="540" w:hanging="180"/>
        <w:rPr>
          <w:rFonts w:cs="Arial"/>
          <w:szCs w:val="32"/>
        </w:rPr>
      </w:pPr>
      <w:r w:rsidRPr="006374D7">
        <w:rPr>
          <w:rFonts w:cs="Arial"/>
          <w:szCs w:val="32"/>
        </w:rPr>
        <w:t>Male or female ≥</w:t>
      </w:r>
      <w:r w:rsidR="001F4A46">
        <w:rPr>
          <w:rFonts w:cs="Arial"/>
          <w:szCs w:val="32"/>
        </w:rPr>
        <w:t xml:space="preserve"> </w:t>
      </w:r>
      <w:r w:rsidRPr="006374D7">
        <w:rPr>
          <w:rFonts w:cs="Arial"/>
          <w:szCs w:val="32"/>
        </w:rPr>
        <w:t>12 years of age</w:t>
      </w:r>
    </w:p>
    <w:p w14:paraId="0643D7B4" w14:textId="2B07D13E" w:rsidR="006374D7" w:rsidRPr="006374D7" w:rsidRDefault="006374D7" w:rsidP="003A37EE">
      <w:pPr>
        <w:pStyle w:val="ListParagraph"/>
        <w:numPr>
          <w:ilvl w:val="1"/>
          <w:numId w:val="27"/>
        </w:numPr>
        <w:ind w:left="540" w:hanging="180"/>
        <w:rPr>
          <w:rFonts w:cs="Arial"/>
          <w:szCs w:val="32"/>
        </w:rPr>
      </w:pPr>
      <w:r w:rsidRPr="006374D7">
        <w:rPr>
          <w:rFonts w:cs="Arial"/>
          <w:szCs w:val="32"/>
        </w:rPr>
        <w:t>Diagnosed with clinically confirmed HAE-C1</w:t>
      </w:r>
      <w:r w:rsidR="008D2CED">
        <w:rPr>
          <w:rFonts w:cs="Arial"/>
          <w:szCs w:val="32"/>
        </w:rPr>
        <w:t>-</w:t>
      </w:r>
      <w:r w:rsidRPr="006374D7">
        <w:rPr>
          <w:rFonts w:cs="Arial"/>
          <w:szCs w:val="32"/>
        </w:rPr>
        <w:t>INH</w:t>
      </w:r>
    </w:p>
    <w:p w14:paraId="438C1EF0" w14:textId="0E7137B8" w:rsidR="006374D7" w:rsidRPr="0034174A" w:rsidRDefault="006374D7" w:rsidP="003A37EE">
      <w:pPr>
        <w:pStyle w:val="ListParagraph"/>
        <w:numPr>
          <w:ilvl w:val="1"/>
          <w:numId w:val="27"/>
        </w:numPr>
        <w:ind w:left="540" w:hanging="180"/>
        <w:rPr>
          <w:rFonts w:cs="Arial"/>
          <w:szCs w:val="32"/>
        </w:rPr>
      </w:pPr>
      <w:r w:rsidRPr="006374D7">
        <w:rPr>
          <w:rFonts w:cs="Arial"/>
          <w:szCs w:val="32"/>
        </w:rPr>
        <w:t>Experienced ≥</w:t>
      </w:r>
      <w:r w:rsidR="001F4A46">
        <w:rPr>
          <w:rFonts w:cs="Arial"/>
          <w:szCs w:val="32"/>
        </w:rPr>
        <w:t xml:space="preserve"> </w:t>
      </w:r>
      <w:r w:rsidRPr="006374D7">
        <w:rPr>
          <w:rFonts w:cs="Arial"/>
          <w:szCs w:val="32"/>
        </w:rPr>
        <w:t>2 HAE attacks during 3 months before screening</w:t>
      </w:r>
      <w:r w:rsidR="009C5190">
        <w:rPr>
          <w:rFonts w:cs="Arial"/>
          <w:szCs w:val="32"/>
        </w:rPr>
        <w:t xml:space="preserve"> (investigator confirmed)</w:t>
      </w:r>
    </w:p>
    <w:p w14:paraId="718BA74A" w14:textId="77777777" w:rsidR="006374D7" w:rsidRPr="00471394" w:rsidRDefault="006374D7" w:rsidP="003668BC">
      <w:pPr>
        <w:pStyle w:val="ListParagraph"/>
        <w:numPr>
          <w:ilvl w:val="0"/>
          <w:numId w:val="29"/>
        </w:numPr>
        <w:ind w:left="360"/>
        <w:rPr>
          <w:rFonts w:cs="Arial"/>
          <w:szCs w:val="32"/>
        </w:rPr>
      </w:pPr>
      <w:r w:rsidRPr="00471394">
        <w:rPr>
          <w:rFonts w:cs="Arial"/>
          <w:szCs w:val="32"/>
        </w:rPr>
        <w:t>Exclusion Criteri</w:t>
      </w:r>
      <w:r w:rsidR="00471394">
        <w:rPr>
          <w:rFonts w:cs="Arial"/>
          <w:szCs w:val="32"/>
        </w:rPr>
        <w:t>a:</w:t>
      </w:r>
    </w:p>
    <w:p w14:paraId="2F107C28" w14:textId="49122E0F" w:rsidR="00471394" w:rsidRPr="003668BC" w:rsidRDefault="006374D7" w:rsidP="003668BC">
      <w:pPr>
        <w:pStyle w:val="ListParagraph"/>
        <w:numPr>
          <w:ilvl w:val="1"/>
          <w:numId w:val="27"/>
        </w:numPr>
        <w:ind w:left="720"/>
        <w:rPr>
          <w:rFonts w:cs="Arial"/>
          <w:szCs w:val="32"/>
        </w:rPr>
      </w:pPr>
      <w:r w:rsidRPr="006374D7">
        <w:rPr>
          <w:rFonts w:cs="Arial"/>
          <w:szCs w:val="32"/>
        </w:rPr>
        <w:t>Concomitant diagnosis of another form of angioedema (</w:t>
      </w:r>
      <w:r w:rsidR="00471394">
        <w:rPr>
          <w:rFonts w:cs="Arial"/>
          <w:szCs w:val="32"/>
        </w:rPr>
        <w:t>ex:</w:t>
      </w:r>
      <w:r w:rsidRPr="006374D7">
        <w:rPr>
          <w:rFonts w:cs="Arial"/>
          <w:szCs w:val="32"/>
        </w:rPr>
        <w:t xml:space="preserve"> idiopathic or acquired</w:t>
      </w:r>
      <w:r w:rsidR="003A37EE">
        <w:rPr>
          <w:rFonts w:cs="Arial"/>
          <w:szCs w:val="32"/>
        </w:rPr>
        <w:t xml:space="preserve"> </w:t>
      </w:r>
      <w:r w:rsidRPr="003A37EE">
        <w:rPr>
          <w:rFonts w:cs="Arial"/>
          <w:szCs w:val="32"/>
        </w:rPr>
        <w:t>angioedema, recurrent angioedema associated with urticarial HAE or HAE-nl-C1</w:t>
      </w:r>
      <w:r w:rsidR="008D2CED">
        <w:rPr>
          <w:rFonts w:cs="Arial"/>
          <w:szCs w:val="32"/>
        </w:rPr>
        <w:t>-</w:t>
      </w:r>
      <w:r w:rsidRPr="003A37EE">
        <w:rPr>
          <w:rFonts w:cs="Arial"/>
          <w:szCs w:val="32"/>
        </w:rPr>
        <w:t>INH)</w:t>
      </w:r>
    </w:p>
    <w:p w14:paraId="2677E0ED" w14:textId="77777777" w:rsidR="00471394" w:rsidRDefault="00471394" w:rsidP="003A37EE">
      <w:pPr>
        <w:pStyle w:val="ListParagraph"/>
        <w:numPr>
          <w:ilvl w:val="0"/>
          <w:numId w:val="28"/>
        </w:numPr>
        <w:ind w:left="360"/>
        <w:rPr>
          <w:rFonts w:cs="Arial"/>
          <w:szCs w:val="32"/>
        </w:rPr>
      </w:pPr>
      <w:r>
        <w:rPr>
          <w:rFonts w:cs="Arial"/>
          <w:szCs w:val="32"/>
        </w:rPr>
        <w:t>Intervention</w:t>
      </w:r>
    </w:p>
    <w:p w14:paraId="7ACAF77D" w14:textId="6D30D358" w:rsidR="00471394" w:rsidRPr="003A37EE" w:rsidRDefault="00471394" w:rsidP="00B43B5C">
      <w:pPr>
        <w:pStyle w:val="ListParagraph"/>
        <w:numPr>
          <w:ilvl w:val="1"/>
          <w:numId w:val="28"/>
        </w:numPr>
        <w:ind w:left="720"/>
        <w:rPr>
          <w:rFonts w:cs="Arial"/>
          <w:szCs w:val="32"/>
        </w:rPr>
      </w:pPr>
      <w:r w:rsidRPr="00471394">
        <w:rPr>
          <w:rFonts w:cs="Arial"/>
          <w:szCs w:val="32"/>
        </w:rPr>
        <w:t>Patients were randomized 3:2 (Andembry:</w:t>
      </w:r>
      <w:r>
        <w:rPr>
          <w:rFonts w:cs="Arial"/>
          <w:szCs w:val="32"/>
        </w:rPr>
        <w:t xml:space="preserve"> </w:t>
      </w:r>
      <w:r w:rsidRPr="00471394">
        <w:rPr>
          <w:rFonts w:cs="Arial"/>
          <w:szCs w:val="32"/>
        </w:rPr>
        <w:t>placebo) to receive one of the following every</w:t>
      </w:r>
      <w:r w:rsidR="003A37EE">
        <w:rPr>
          <w:rFonts w:cs="Arial"/>
          <w:szCs w:val="32"/>
        </w:rPr>
        <w:t xml:space="preserve"> </w:t>
      </w:r>
      <w:r w:rsidRPr="003A37EE">
        <w:rPr>
          <w:rFonts w:cs="Arial"/>
          <w:szCs w:val="32"/>
        </w:rPr>
        <w:t>month for 6 months:</w:t>
      </w:r>
    </w:p>
    <w:p w14:paraId="27261E34" w14:textId="5BC706AA" w:rsidR="001F4A46" w:rsidRPr="008A07CA" w:rsidRDefault="00471394" w:rsidP="008A07CA">
      <w:pPr>
        <w:pStyle w:val="ListParagraph"/>
        <w:numPr>
          <w:ilvl w:val="2"/>
          <w:numId w:val="28"/>
        </w:numPr>
        <w:ind w:left="1080"/>
        <w:rPr>
          <w:rFonts w:cs="Arial"/>
          <w:szCs w:val="32"/>
        </w:rPr>
      </w:pPr>
      <w:r w:rsidRPr="00471394">
        <w:rPr>
          <w:rFonts w:cs="Arial"/>
          <w:szCs w:val="32"/>
        </w:rPr>
        <w:t xml:space="preserve">Andembry 400 mg (initial loading dose), then 200 mg (maintenance dose), </w:t>
      </w:r>
      <w:r>
        <w:rPr>
          <w:rFonts w:cs="Arial"/>
          <w:szCs w:val="32"/>
        </w:rPr>
        <w:t>subcutaneously</w:t>
      </w:r>
      <w:r w:rsidR="006F0DED">
        <w:rPr>
          <w:rFonts w:cs="Arial"/>
          <w:szCs w:val="32"/>
        </w:rPr>
        <w:t xml:space="preserve"> </w:t>
      </w:r>
      <w:r w:rsidRPr="008A07CA">
        <w:rPr>
          <w:rFonts w:cs="Arial"/>
          <w:szCs w:val="32"/>
        </w:rPr>
        <w:t>(n = 39)</w:t>
      </w:r>
    </w:p>
    <w:p w14:paraId="57858021" w14:textId="07C768ED" w:rsidR="00471394" w:rsidRPr="00471394" w:rsidRDefault="00471394" w:rsidP="008D2CED">
      <w:pPr>
        <w:pStyle w:val="ListParagraph"/>
        <w:numPr>
          <w:ilvl w:val="2"/>
          <w:numId w:val="28"/>
        </w:numPr>
        <w:ind w:left="1080"/>
        <w:rPr>
          <w:rFonts w:cs="Arial"/>
          <w:szCs w:val="32"/>
        </w:rPr>
      </w:pPr>
      <w:r w:rsidRPr="00471394">
        <w:rPr>
          <w:rFonts w:cs="Arial"/>
          <w:szCs w:val="32"/>
        </w:rPr>
        <w:t>Matched placebo (n = 25)</w:t>
      </w:r>
    </w:p>
    <w:p w14:paraId="3791466F" w14:textId="77777777" w:rsidR="00471394" w:rsidRPr="00471394" w:rsidRDefault="00471394" w:rsidP="00B43B5C">
      <w:pPr>
        <w:pStyle w:val="ListParagraph"/>
        <w:numPr>
          <w:ilvl w:val="1"/>
          <w:numId w:val="28"/>
        </w:numPr>
        <w:ind w:left="720"/>
        <w:rPr>
          <w:rFonts w:cs="Arial"/>
          <w:szCs w:val="32"/>
        </w:rPr>
      </w:pPr>
      <w:r w:rsidRPr="00471394">
        <w:rPr>
          <w:rFonts w:cs="Arial"/>
          <w:szCs w:val="32"/>
        </w:rPr>
        <w:t>Patients were required to discontinue other prophylactic HAE medications before study entry.</w:t>
      </w:r>
    </w:p>
    <w:p w14:paraId="5B47DEFF" w14:textId="77777777" w:rsidR="00471394" w:rsidRDefault="00471394" w:rsidP="00B43B5C">
      <w:pPr>
        <w:pStyle w:val="ListParagraph"/>
        <w:numPr>
          <w:ilvl w:val="1"/>
          <w:numId w:val="28"/>
        </w:numPr>
        <w:ind w:left="720"/>
        <w:rPr>
          <w:rFonts w:cs="Arial"/>
          <w:szCs w:val="32"/>
        </w:rPr>
      </w:pPr>
      <w:r w:rsidRPr="00471394">
        <w:rPr>
          <w:rFonts w:cs="Arial"/>
          <w:szCs w:val="32"/>
        </w:rPr>
        <w:t xml:space="preserve">All patients were allowed to use </w:t>
      </w:r>
      <w:r>
        <w:rPr>
          <w:rFonts w:cs="Arial"/>
          <w:szCs w:val="32"/>
        </w:rPr>
        <w:t>on demand</w:t>
      </w:r>
      <w:r w:rsidRPr="00471394">
        <w:rPr>
          <w:rFonts w:cs="Arial"/>
          <w:szCs w:val="32"/>
        </w:rPr>
        <w:t xml:space="preserve"> medications for HAE attacks during the study.</w:t>
      </w:r>
    </w:p>
    <w:p w14:paraId="6F42D232" w14:textId="77777777" w:rsidR="00471394" w:rsidRDefault="00471394" w:rsidP="003A37EE">
      <w:pPr>
        <w:pStyle w:val="ListParagraph"/>
        <w:numPr>
          <w:ilvl w:val="0"/>
          <w:numId w:val="28"/>
        </w:numPr>
        <w:ind w:left="360"/>
        <w:rPr>
          <w:rFonts w:cs="Arial"/>
          <w:szCs w:val="32"/>
        </w:rPr>
      </w:pPr>
      <w:r>
        <w:rPr>
          <w:rFonts w:cs="Arial"/>
          <w:szCs w:val="32"/>
        </w:rPr>
        <w:t xml:space="preserve">Endpoints </w:t>
      </w:r>
    </w:p>
    <w:p w14:paraId="5AB8F035" w14:textId="304D91FC" w:rsidR="00D55A8B" w:rsidRDefault="00D55A8B" w:rsidP="00D55A8B">
      <w:pPr>
        <w:pStyle w:val="ListParagraph"/>
        <w:numPr>
          <w:ilvl w:val="1"/>
          <w:numId w:val="28"/>
        </w:numPr>
        <w:ind w:left="720"/>
        <w:rPr>
          <w:rFonts w:cs="Arial"/>
          <w:szCs w:val="32"/>
        </w:rPr>
      </w:pPr>
      <w:r>
        <w:rPr>
          <w:rFonts w:cs="Arial"/>
          <w:szCs w:val="32"/>
        </w:rPr>
        <w:t>Primary: N</w:t>
      </w:r>
      <w:r w:rsidRPr="00D55A8B">
        <w:rPr>
          <w:rFonts w:cs="Arial"/>
          <w:szCs w:val="32"/>
        </w:rPr>
        <w:t xml:space="preserve">umber of hereditary angioedema (HAE) attacks during treatment period </w:t>
      </w:r>
      <w:r>
        <w:rPr>
          <w:rFonts w:cs="Arial"/>
          <w:szCs w:val="32"/>
        </w:rPr>
        <w:t xml:space="preserve">of </w:t>
      </w:r>
      <w:r w:rsidRPr="00D55A8B">
        <w:rPr>
          <w:rFonts w:cs="Arial"/>
          <w:szCs w:val="32"/>
        </w:rPr>
        <w:t>6 months</w:t>
      </w:r>
      <w:r w:rsidR="001B0535">
        <w:rPr>
          <w:rFonts w:cs="Arial"/>
          <w:szCs w:val="32"/>
        </w:rPr>
        <w:t>.</w:t>
      </w:r>
    </w:p>
    <w:p w14:paraId="1B107E96" w14:textId="77777777" w:rsidR="00997487" w:rsidRPr="003668BC" w:rsidRDefault="00997487" w:rsidP="00997487">
      <w:pPr>
        <w:pStyle w:val="ListParagraph"/>
        <w:numPr>
          <w:ilvl w:val="0"/>
          <w:numId w:val="0"/>
        </w:numPr>
        <w:ind w:left="720"/>
        <w:rPr>
          <w:rFonts w:cs="Arial"/>
          <w:szCs w:val="32"/>
        </w:rPr>
      </w:pPr>
    </w:p>
    <w:tbl>
      <w:tblPr>
        <w:tblStyle w:val="TableGrid"/>
        <w:tblW w:w="8370" w:type="dxa"/>
        <w:tblInd w:w="715" w:type="dxa"/>
        <w:tblLook w:val="04A0" w:firstRow="1" w:lastRow="0" w:firstColumn="1" w:lastColumn="0" w:noHBand="0" w:noVBand="1"/>
      </w:tblPr>
      <w:tblGrid>
        <w:gridCol w:w="2970"/>
        <w:gridCol w:w="2700"/>
        <w:gridCol w:w="2700"/>
      </w:tblGrid>
      <w:tr w:rsidR="002C485C" w14:paraId="2A460383" w14:textId="77777777" w:rsidTr="008D2CED">
        <w:tc>
          <w:tcPr>
            <w:tcW w:w="2970" w:type="dxa"/>
            <w:vAlign w:val="center"/>
          </w:tcPr>
          <w:p w14:paraId="03E40716" w14:textId="77777777" w:rsidR="002C485C" w:rsidRPr="008D2CED" w:rsidRDefault="002C485C" w:rsidP="008D2CED">
            <w:pPr>
              <w:jc w:val="center"/>
              <w:rPr>
                <w:rFonts w:cs="Arial"/>
                <w:b/>
                <w:bCs/>
                <w:szCs w:val="32"/>
              </w:rPr>
            </w:pPr>
          </w:p>
        </w:tc>
        <w:tc>
          <w:tcPr>
            <w:tcW w:w="2700" w:type="dxa"/>
            <w:vAlign w:val="center"/>
          </w:tcPr>
          <w:p w14:paraId="5DF084B2" w14:textId="77777777" w:rsidR="002C485C" w:rsidRPr="008D2CED" w:rsidRDefault="002C485C" w:rsidP="008D2CED">
            <w:pPr>
              <w:jc w:val="center"/>
              <w:rPr>
                <w:rFonts w:cs="Arial"/>
                <w:b/>
                <w:bCs/>
                <w:szCs w:val="32"/>
              </w:rPr>
            </w:pPr>
            <w:r w:rsidRPr="008D2CED">
              <w:rPr>
                <w:rFonts w:cs="Arial"/>
                <w:b/>
                <w:bCs/>
                <w:szCs w:val="32"/>
              </w:rPr>
              <w:t>Andembry (n=39)</w:t>
            </w:r>
          </w:p>
        </w:tc>
        <w:tc>
          <w:tcPr>
            <w:tcW w:w="2700" w:type="dxa"/>
            <w:vAlign w:val="center"/>
          </w:tcPr>
          <w:p w14:paraId="6F1F9939" w14:textId="77777777" w:rsidR="002C485C" w:rsidRPr="008D2CED" w:rsidRDefault="002C485C" w:rsidP="008D2CED">
            <w:pPr>
              <w:jc w:val="center"/>
              <w:rPr>
                <w:rFonts w:cs="Arial"/>
                <w:b/>
                <w:bCs/>
                <w:szCs w:val="32"/>
              </w:rPr>
            </w:pPr>
            <w:r w:rsidRPr="008D2CED">
              <w:rPr>
                <w:rFonts w:cs="Arial"/>
                <w:b/>
                <w:bCs/>
                <w:szCs w:val="32"/>
              </w:rPr>
              <w:t>Placebo (n=25)</w:t>
            </w:r>
          </w:p>
        </w:tc>
      </w:tr>
      <w:tr w:rsidR="002C485C" w14:paraId="3C03C727" w14:textId="77777777" w:rsidTr="00970D10">
        <w:tc>
          <w:tcPr>
            <w:tcW w:w="2970" w:type="dxa"/>
          </w:tcPr>
          <w:p w14:paraId="5B019054" w14:textId="77777777" w:rsidR="002C485C" w:rsidRPr="0066226A" w:rsidRDefault="002C485C" w:rsidP="008D2CED">
            <w:pPr>
              <w:rPr>
                <w:rFonts w:cs="Arial"/>
                <w:szCs w:val="32"/>
              </w:rPr>
            </w:pPr>
            <w:r w:rsidRPr="0066226A">
              <w:rPr>
                <w:rFonts w:cs="Arial"/>
                <w:szCs w:val="32"/>
              </w:rPr>
              <w:t xml:space="preserve">Rate of Monthly HAE Attacks </w:t>
            </w:r>
          </w:p>
          <w:p w14:paraId="660ADB40" w14:textId="054B245A" w:rsidR="002C485C" w:rsidRPr="0066226A" w:rsidRDefault="002C485C" w:rsidP="001F4A46">
            <w:pPr>
              <w:ind w:left="360"/>
              <w:rPr>
                <w:rFonts w:cs="Arial"/>
                <w:szCs w:val="32"/>
              </w:rPr>
            </w:pPr>
            <w:r w:rsidRPr="0066226A">
              <w:rPr>
                <w:rFonts w:cs="Arial"/>
                <w:szCs w:val="32"/>
              </w:rPr>
              <w:t>95% CI</w:t>
            </w:r>
          </w:p>
          <w:p w14:paraId="498A264D" w14:textId="77777777" w:rsidR="002C485C" w:rsidRPr="0066226A" w:rsidRDefault="002C485C" w:rsidP="0066226A">
            <w:pPr>
              <w:ind w:left="360"/>
              <w:rPr>
                <w:rFonts w:cs="Arial"/>
                <w:szCs w:val="32"/>
              </w:rPr>
            </w:pPr>
            <w:r w:rsidRPr="0066226A">
              <w:rPr>
                <w:rFonts w:cs="Arial"/>
                <w:szCs w:val="32"/>
              </w:rPr>
              <w:t xml:space="preserve">p-value </w:t>
            </w:r>
          </w:p>
        </w:tc>
        <w:tc>
          <w:tcPr>
            <w:tcW w:w="2700" w:type="dxa"/>
            <w:vAlign w:val="center"/>
          </w:tcPr>
          <w:p w14:paraId="53EC4212" w14:textId="77777777" w:rsidR="002C485C" w:rsidRPr="0066226A" w:rsidRDefault="002C485C" w:rsidP="00970D10">
            <w:pPr>
              <w:jc w:val="center"/>
              <w:rPr>
                <w:rFonts w:cs="Arial"/>
                <w:szCs w:val="32"/>
              </w:rPr>
            </w:pPr>
            <w:r w:rsidRPr="0066226A">
              <w:rPr>
                <w:rFonts w:cs="Arial"/>
                <w:szCs w:val="32"/>
              </w:rPr>
              <w:t>0.22</w:t>
            </w:r>
          </w:p>
          <w:p w14:paraId="29AF8E2C" w14:textId="77777777" w:rsidR="002C485C" w:rsidRPr="0066226A" w:rsidRDefault="002C485C" w:rsidP="00970D10">
            <w:pPr>
              <w:jc w:val="center"/>
              <w:rPr>
                <w:rFonts w:cs="Arial"/>
                <w:szCs w:val="32"/>
              </w:rPr>
            </w:pPr>
            <w:r w:rsidRPr="0066226A">
              <w:rPr>
                <w:rFonts w:cs="Arial"/>
                <w:szCs w:val="32"/>
              </w:rPr>
              <w:t>(0.11,0.47)</w:t>
            </w:r>
          </w:p>
          <w:p w14:paraId="4EEDFB76" w14:textId="77777777" w:rsidR="002C485C" w:rsidRPr="0066226A" w:rsidRDefault="002C485C" w:rsidP="00970D10">
            <w:pPr>
              <w:jc w:val="center"/>
              <w:rPr>
                <w:rFonts w:cs="Arial"/>
                <w:szCs w:val="32"/>
              </w:rPr>
            </w:pPr>
            <w:r w:rsidRPr="0066226A">
              <w:rPr>
                <w:rFonts w:cs="Arial"/>
                <w:szCs w:val="32"/>
              </w:rPr>
              <w:t>&lt;0.001</w:t>
            </w:r>
          </w:p>
        </w:tc>
        <w:tc>
          <w:tcPr>
            <w:tcW w:w="2700" w:type="dxa"/>
            <w:vAlign w:val="center"/>
          </w:tcPr>
          <w:p w14:paraId="1AD4B0AA" w14:textId="77777777" w:rsidR="002C485C" w:rsidRPr="0066226A" w:rsidRDefault="002C485C" w:rsidP="00970D10">
            <w:pPr>
              <w:jc w:val="center"/>
              <w:rPr>
                <w:rFonts w:cs="Arial"/>
                <w:szCs w:val="32"/>
              </w:rPr>
            </w:pPr>
            <w:r w:rsidRPr="0066226A">
              <w:rPr>
                <w:rFonts w:cs="Arial"/>
                <w:szCs w:val="32"/>
              </w:rPr>
              <w:t>2.07</w:t>
            </w:r>
          </w:p>
          <w:p w14:paraId="6C8A3894" w14:textId="77777777" w:rsidR="002C485C" w:rsidRPr="0066226A" w:rsidRDefault="002C485C" w:rsidP="00970D10">
            <w:pPr>
              <w:jc w:val="center"/>
              <w:rPr>
                <w:rFonts w:cs="Arial"/>
                <w:szCs w:val="32"/>
              </w:rPr>
            </w:pPr>
            <w:r w:rsidRPr="0066226A">
              <w:rPr>
                <w:rFonts w:cs="Arial"/>
                <w:szCs w:val="32"/>
              </w:rPr>
              <w:t>(1.49,2.87)</w:t>
            </w:r>
          </w:p>
          <w:p w14:paraId="0DA98945" w14:textId="77777777" w:rsidR="002C485C" w:rsidRPr="0066226A" w:rsidRDefault="002C485C" w:rsidP="00970D10">
            <w:pPr>
              <w:jc w:val="center"/>
              <w:rPr>
                <w:rFonts w:cs="Arial"/>
                <w:szCs w:val="32"/>
              </w:rPr>
            </w:pPr>
            <w:r w:rsidRPr="0066226A">
              <w:rPr>
                <w:rFonts w:cs="Arial"/>
                <w:szCs w:val="32"/>
              </w:rPr>
              <w:t>&lt;0.001</w:t>
            </w:r>
          </w:p>
        </w:tc>
      </w:tr>
      <w:tr w:rsidR="00262B28" w14:paraId="007652BA" w14:textId="77777777" w:rsidTr="008D2CED">
        <w:tc>
          <w:tcPr>
            <w:tcW w:w="2970" w:type="dxa"/>
          </w:tcPr>
          <w:p w14:paraId="15F2CC42" w14:textId="04D11A14" w:rsidR="00262B28" w:rsidRPr="009E3EBA" w:rsidRDefault="00262B28" w:rsidP="009E3EBA">
            <w:pPr>
              <w:rPr>
                <w:rFonts w:cs="Arial"/>
                <w:szCs w:val="32"/>
              </w:rPr>
            </w:pPr>
            <w:r w:rsidRPr="009E3EBA">
              <w:rPr>
                <w:rFonts w:cs="Arial"/>
                <w:szCs w:val="32"/>
              </w:rPr>
              <w:t xml:space="preserve">Percent reduction relative to placebo (95% CI) </w:t>
            </w:r>
          </w:p>
        </w:tc>
        <w:tc>
          <w:tcPr>
            <w:tcW w:w="2700" w:type="dxa"/>
            <w:vAlign w:val="center"/>
          </w:tcPr>
          <w:p w14:paraId="75D4AD2F" w14:textId="77777777" w:rsidR="00262B28" w:rsidRPr="009E3EBA" w:rsidRDefault="00262B28" w:rsidP="001F4A46">
            <w:pPr>
              <w:jc w:val="center"/>
              <w:rPr>
                <w:rFonts w:cs="Arial"/>
                <w:szCs w:val="32"/>
              </w:rPr>
            </w:pPr>
            <w:r w:rsidRPr="009E3EBA">
              <w:rPr>
                <w:rFonts w:cs="Arial"/>
                <w:szCs w:val="32"/>
              </w:rPr>
              <w:t>89.2 (75.6, 95.2)</w:t>
            </w:r>
          </w:p>
        </w:tc>
        <w:tc>
          <w:tcPr>
            <w:tcW w:w="2700" w:type="dxa"/>
            <w:vAlign w:val="center"/>
          </w:tcPr>
          <w:p w14:paraId="1E92CAAF" w14:textId="2B475052" w:rsidR="00262B28" w:rsidRPr="009E3EBA" w:rsidRDefault="00262B28" w:rsidP="001F4A46">
            <w:pPr>
              <w:jc w:val="center"/>
              <w:rPr>
                <w:rFonts w:cs="Arial"/>
                <w:szCs w:val="32"/>
              </w:rPr>
            </w:pPr>
            <w:r>
              <w:rPr>
                <w:rFonts w:cs="Arial"/>
                <w:szCs w:val="32"/>
              </w:rPr>
              <w:t>None</w:t>
            </w:r>
          </w:p>
        </w:tc>
      </w:tr>
    </w:tbl>
    <w:p w14:paraId="0E5283B4" w14:textId="24888E33" w:rsidR="007F499A" w:rsidRDefault="00262B28" w:rsidP="008D2CED">
      <w:pPr>
        <w:ind w:left="720"/>
        <w:rPr>
          <w:rFonts w:cs="Arial"/>
          <w:szCs w:val="32"/>
        </w:rPr>
      </w:pPr>
      <w:r>
        <w:rPr>
          <w:rFonts w:cs="Arial"/>
          <w:szCs w:val="32"/>
        </w:rPr>
        <w:t xml:space="preserve">CI: Confidence Interval </w:t>
      </w:r>
    </w:p>
    <w:p w14:paraId="4FF37781" w14:textId="77777777" w:rsidR="00997487" w:rsidRPr="00D55A8B" w:rsidRDefault="00997487" w:rsidP="00D55A8B">
      <w:pPr>
        <w:rPr>
          <w:rFonts w:cs="Arial"/>
          <w:szCs w:val="32"/>
        </w:rPr>
      </w:pPr>
    </w:p>
    <w:p w14:paraId="2B915441" w14:textId="5B38C653" w:rsidR="001410D5" w:rsidRDefault="009E3EBA" w:rsidP="001410D5">
      <w:pPr>
        <w:pStyle w:val="ListParagraph"/>
        <w:numPr>
          <w:ilvl w:val="0"/>
          <w:numId w:val="33"/>
        </w:numPr>
        <w:ind w:left="720"/>
        <w:rPr>
          <w:rFonts w:cs="Arial"/>
          <w:szCs w:val="32"/>
        </w:rPr>
      </w:pPr>
      <w:r>
        <w:rPr>
          <w:rFonts w:cs="Arial"/>
          <w:szCs w:val="32"/>
        </w:rPr>
        <w:t xml:space="preserve">Secondary: </w:t>
      </w:r>
      <w:r w:rsidR="001410D5">
        <w:rPr>
          <w:rFonts w:cs="Arial"/>
          <w:szCs w:val="32"/>
        </w:rPr>
        <w:t>T</w:t>
      </w:r>
      <w:r w:rsidR="001410D5" w:rsidRPr="001410D5">
        <w:rPr>
          <w:rFonts w:cs="Arial"/>
          <w:szCs w:val="32"/>
        </w:rPr>
        <w:t xml:space="preserve">he proportion of patients achieving </w:t>
      </w:r>
      <w:r w:rsidR="001410D5" w:rsidRPr="00E75044">
        <w:rPr>
          <w:rFonts w:cs="Arial"/>
          <w:szCs w:val="32"/>
        </w:rPr>
        <w:t>≥</w:t>
      </w:r>
      <w:r w:rsidR="001F4A46">
        <w:rPr>
          <w:rFonts w:cs="Arial"/>
          <w:szCs w:val="32"/>
        </w:rPr>
        <w:t xml:space="preserve"> </w:t>
      </w:r>
      <w:r w:rsidR="001410D5" w:rsidRPr="00E75044">
        <w:rPr>
          <w:rFonts w:cs="Arial"/>
          <w:szCs w:val="32"/>
        </w:rPr>
        <w:t>50%, ≥</w:t>
      </w:r>
      <w:r w:rsidR="001F4A46">
        <w:rPr>
          <w:rFonts w:cs="Arial"/>
          <w:szCs w:val="32"/>
        </w:rPr>
        <w:t xml:space="preserve"> </w:t>
      </w:r>
      <w:r w:rsidR="001410D5" w:rsidRPr="00E75044">
        <w:rPr>
          <w:rFonts w:cs="Arial"/>
          <w:szCs w:val="32"/>
        </w:rPr>
        <w:t>70%, ≥</w:t>
      </w:r>
      <w:r w:rsidR="001F4A46">
        <w:rPr>
          <w:rFonts w:cs="Arial"/>
          <w:szCs w:val="32"/>
        </w:rPr>
        <w:t xml:space="preserve"> </w:t>
      </w:r>
      <w:r w:rsidR="001410D5" w:rsidRPr="00E75044">
        <w:rPr>
          <w:rFonts w:cs="Arial"/>
          <w:szCs w:val="32"/>
        </w:rPr>
        <w:t xml:space="preserve">90%, and 100% reductions </w:t>
      </w:r>
      <w:r w:rsidR="001410D5" w:rsidRPr="001410D5">
        <w:rPr>
          <w:rFonts w:cs="Arial"/>
          <w:szCs w:val="32"/>
        </w:rPr>
        <w:t>in monthly HAE attack rate over the 6-month treatment period compared with their 2-month baseline.</w:t>
      </w:r>
    </w:p>
    <w:p w14:paraId="20B6EAB7" w14:textId="77777777" w:rsidR="00997487" w:rsidRPr="003668BC" w:rsidRDefault="00997487" w:rsidP="00997487">
      <w:pPr>
        <w:pStyle w:val="ListParagraph"/>
        <w:numPr>
          <w:ilvl w:val="0"/>
          <w:numId w:val="0"/>
        </w:numPr>
        <w:ind w:left="720"/>
        <w:rPr>
          <w:rFonts w:cs="Arial"/>
          <w:szCs w:val="32"/>
        </w:rPr>
      </w:pPr>
    </w:p>
    <w:tbl>
      <w:tblPr>
        <w:tblStyle w:val="TableGrid"/>
        <w:tblpPr w:leftFromText="187" w:rightFromText="187" w:vertAnchor="text" w:tblpX="710" w:tblpY="1"/>
        <w:tblOverlap w:val="never"/>
        <w:tblW w:w="8375" w:type="dxa"/>
        <w:tblLook w:val="04A0" w:firstRow="1" w:lastRow="0" w:firstColumn="1" w:lastColumn="0" w:noHBand="0" w:noVBand="1"/>
      </w:tblPr>
      <w:tblGrid>
        <w:gridCol w:w="3595"/>
        <w:gridCol w:w="2390"/>
        <w:gridCol w:w="2390"/>
      </w:tblGrid>
      <w:tr w:rsidR="001F4A46" w14:paraId="55AA88C6" w14:textId="77777777" w:rsidTr="008D2CED">
        <w:trPr>
          <w:trHeight w:val="284"/>
        </w:trPr>
        <w:tc>
          <w:tcPr>
            <w:tcW w:w="3595" w:type="dxa"/>
            <w:vAlign w:val="center"/>
          </w:tcPr>
          <w:p w14:paraId="015A189C" w14:textId="31C50982" w:rsidR="001410D5" w:rsidRPr="008D2CED" w:rsidRDefault="001410D5" w:rsidP="008D2CED">
            <w:pPr>
              <w:jc w:val="center"/>
              <w:rPr>
                <w:rFonts w:cs="Arial"/>
                <w:b/>
                <w:bCs/>
                <w:szCs w:val="32"/>
              </w:rPr>
            </w:pPr>
            <w:r w:rsidRPr="008D2CED">
              <w:rPr>
                <w:rFonts w:cs="Arial"/>
                <w:b/>
                <w:bCs/>
                <w:szCs w:val="32"/>
              </w:rPr>
              <w:t>Reduction in monthly HAE attacks</w:t>
            </w:r>
          </w:p>
        </w:tc>
        <w:tc>
          <w:tcPr>
            <w:tcW w:w="2390" w:type="dxa"/>
            <w:vAlign w:val="center"/>
          </w:tcPr>
          <w:p w14:paraId="786EC7B9" w14:textId="77777777" w:rsidR="001410D5" w:rsidRPr="008D2CED" w:rsidRDefault="001410D5" w:rsidP="008D2CED">
            <w:pPr>
              <w:jc w:val="center"/>
              <w:rPr>
                <w:rFonts w:cs="Arial"/>
                <w:b/>
                <w:bCs/>
                <w:szCs w:val="32"/>
              </w:rPr>
            </w:pPr>
            <w:r w:rsidRPr="008D2CED">
              <w:rPr>
                <w:rFonts w:cs="Arial"/>
                <w:b/>
                <w:bCs/>
                <w:szCs w:val="32"/>
              </w:rPr>
              <w:t>Andembry (n=39)</w:t>
            </w:r>
          </w:p>
        </w:tc>
        <w:tc>
          <w:tcPr>
            <w:tcW w:w="2390" w:type="dxa"/>
            <w:vAlign w:val="center"/>
          </w:tcPr>
          <w:p w14:paraId="4CF1071C" w14:textId="77777777" w:rsidR="001410D5" w:rsidRPr="008D2CED" w:rsidRDefault="001410D5" w:rsidP="008D2CED">
            <w:pPr>
              <w:jc w:val="center"/>
              <w:rPr>
                <w:rFonts w:cs="Arial"/>
                <w:b/>
                <w:bCs/>
                <w:szCs w:val="32"/>
              </w:rPr>
            </w:pPr>
            <w:r w:rsidRPr="008D2CED">
              <w:rPr>
                <w:rFonts w:cs="Arial"/>
                <w:b/>
                <w:bCs/>
                <w:szCs w:val="32"/>
              </w:rPr>
              <w:t>Placebo (n=25)</w:t>
            </w:r>
          </w:p>
        </w:tc>
      </w:tr>
      <w:tr w:rsidR="001F4A46" w14:paraId="71DBF52F" w14:textId="77777777" w:rsidTr="008D2CED">
        <w:trPr>
          <w:trHeight w:val="284"/>
        </w:trPr>
        <w:tc>
          <w:tcPr>
            <w:tcW w:w="3595" w:type="dxa"/>
          </w:tcPr>
          <w:p w14:paraId="0A4DF856" w14:textId="39F6EA92" w:rsidR="001410D5" w:rsidRPr="001410D5" w:rsidRDefault="00900D23" w:rsidP="001F4A46">
            <w:pPr>
              <w:ind w:left="360" w:hanging="360"/>
              <w:jc w:val="center"/>
              <w:rPr>
                <w:rFonts w:cs="Arial"/>
                <w:szCs w:val="32"/>
              </w:rPr>
            </w:pPr>
            <w:r w:rsidRPr="00970D10">
              <w:rPr>
                <w:rFonts w:cs="Arial"/>
                <w:szCs w:val="32"/>
              </w:rPr>
              <w:t xml:space="preserve">≥ </w:t>
            </w:r>
            <w:r w:rsidR="001410D5">
              <w:rPr>
                <w:rFonts w:cs="Arial"/>
                <w:szCs w:val="32"/>
              </w:rPr>
              <w:t>50% Reduction</w:t>
            </w:r>
          </w:p>
        </w:tc>
        <w:tc>
          <w:tcPr>
            <w:tcW w:w="2390" w:type="dxa"/>
          </w:tcPr>
          <w:p w14:paraId="6C3CBE00" w14:textId="77777777" w:rsidR="001410D5" w:rsidRDefault="001410D5" w:rsidP="001F4A46">
            <w:pPr>
              <w:jc w:val="center"/>
              <w:rPr>
                <w:rFonts w:cs="Arial"/>
                <w:szCs w:val="32"/>
              </w:rPr>
            </w:pPr>
            <w:r>
              <w:rPr>
                <w:rFonts w:cs="Arial"/>
                <w:szCs w:val="32"/>
              </w:rPr>
              <w:t>95%</w:t>
            </w:r>
          </w:p>
        </w:tc>
        <w:tc>
          <w:tcPr>
            <w:tcW w:w="2390" w:type="dxa"/>
          </w:tcPr>
          <w:p w14:paraId="71520021" w14:textId="77777777" w:rsidR="001410D5" w:rsidRDefault="001410D5" w:rsidP="001F4A46">
            <w:pPr>
              <w:jc w:val="center"/>
              <w:rPr>
                <w:rFonts w:cs="Arial"/>
                <w:szCs w:val="32"/>
              </w:rPr>
            </w:pPr>
            <w:r>
              <w:rPr>
                <w:rFonts w:cs="Arial"/>
                <w:szCs w:val="32"/>
              </w:rPr>
              <w:t>33%</w:t>
            </w:r>
          </w:p>
        </w:tc>
      </w:tr>
      <w:tr w:rsidR="001F4A46" w14:paraId="04AB20B5" w14:textId="77777777" w:rsidTr="008D2CED">
        <w:trPr>
          <w:trHeight w:val="284"/>
        </w:trPr>
        <w:tc>
          <w:tcPr>
            <w:tcW w:w="3595" w:type="dxa"/>
          </w:tcPr>
          <w:p w14:paraId="1E5A0E60" w14:textId="57DED0BD" w:rsidR="001410D5" w:rsidRDefault="00900D23" w:rsidP="001F4A46">
            <w:pPr>
              <w:jc w:val="center"/>
              <w:rPr>
                <w:rFonts w:cs="Arial"/>
                <w:szCs w:val="32"/>
              </w:rPr>
            </w:pPr>
            <w:r w:rsidRPr="009E350F">
              <w:rPr>
                <w:rFonts w:cs="Arial"/>
                <w:szCs w:val="32"/>
              </w:rPr>
              <w:t xml:space="preserve">≥ </w:t>
            </w:r>
            <w:r w:rsidR="001410D5">
              <w:rPr>
                <w:rFonts w:cs="Arial"/>
                <w:szCs w:val="32"/>
              </w:rPr>
              <w:t>70% Reduction</w:t>
            </w:r>
          </w:p>
        </w:tc>
        <w:tc>
          <w:tcPr>
            <w:tcW w:w="2390" w:type="dxa"/>
          </w:tcPr>
          <w:p w14:paraId="7FE64DEA" w14:textId="77777777" w:rsidR="001410D5" w:rsidRDefault="001410D5" w:rsidP="001F4A46">
            <w:pPr>
              <w:jc w:val="center"/>
              <w:rPr>
                <w:rFonts w:cs="Arial"/>
                <w:szCs w:val="32"/>
              </w:rPr>
            </w:pPr>
            <w:r>
              <w:rPr>
                <w:rFonts w:cs="Arial"/>
                <w:szCs w:val="32"/>
              </w:rPr>
              <w:t>92%</w:t>
            </w:r>
          </w:p>
        </w:tc>
        <w:tc>
          <w:tcPr>
            <w:tcW w:w="2390" w:type="dxa"/>
          </w:tcPr>
          <w:p w14:paraId="4148106E" w14:textId="77777777" w:rsidR="001410D5" w:rsidRDefault="001410D5" w:rsidP="001F4A46">
            <w:pPr>
              <w:jc w:val="center"/>
              <w:rPr>
                <w:rFonts w:cs="Arial"/>
                <w:szCs w:val="32"/>
              </w:rPr>
            </w:pPr>
            <w:r>
              <w:rPr>
                <w:rFonts w:cs="Arial"/>
                <w:szCs w:val="32"/>
              </w:rPr>
              <w:t>17%</w:t>
            </w:r>
          </w:p>
        </w:tc>
      </w:tr>
      <w:tr w:rsidR="001F4A46" w14:paraId="61AA70F8" w14:textId="77777777" w:rsidTr="008D2CED">
        <w:trPr>
          <w:trHeight w:val="284"/>
        </w:trPr>
        <w:tc>
          <w:tcPr>
            <w:tcW w:w="3595" w:type="dxa"/>
          </w:tcPr>
          <w:p w14:paraId="341283F1" w14:textId="7B7121C7" w:rsidR="001410D5" w:rsidRPr="001410D5" w:rsidRDefault="00900D23" w:rsidP="001F4A46">
            <w:pPr>
              <w:ind w:left="360" w:hanging="360"/>
              <w:jc w:val="center"/>
              <w:rPr>
                <w:rFonts w:cs="Arial"/>
                <w:szCs w:val="32"/>
              </w:rPr>
            </w:pPr>
            <w:r w:rsidRPr="009E350F">
              <w:rPr>
                <w:rFonts w:cs="Arial"/>
                <w:szCs w:val="32"/>
              </w:rPr>
              <w:t xml:space="preserve">≥ </w:t>
            </w:r>
            <w:r w:rsidR="001410D5">
              <w:rPr>
                <w:rFonts w:cs="Arial"/>
                <w:szCs w:val="32"/>
              </w:rPr>
              <w:t>90% Reduction</w:t>
            </w:r>
          </w:p>
        </w:tc>
        <w:tc>
          <w:tcPr>
            <w:tcW w:w="2390" w:type="dxa"/>
          </w:tcPr>
          <w:p w14:paraId="455C7344" w14:textId="77777777" w:rsidR="001410D5" w:rsidRDefault="001410D5" w:rsidP="001F4A46">
            <w:pPr>
              <w:jc w:val="center"/>
              <w:rPr>
                <w:rFonts w:cs="Arial"/>
                <w:szCs w:val="32"/>
              </w:rPr>
            </w:pPr>
            <w:r>
              <w:rPr>
                <w:rFonts w:cs="Arial"/>
                <w:szCs w:val="32"/>
              </w:rPr>
              <w:t>74%</w:t>
            </w:r>
          </w:p>
        </w:tc>
        <w:tc>
          <w:tcPr>
            <w:tcW w:w="2390" w:type="dxa"/>
          </w:tcPr>
          <w:p w14:paraId="06BED2D2" w14:textId="77777777" w:rsidR="001410D5" w:rsidRDefault="001410D5" w:rsidP="001F4A46">
            <w:pPr>
              <w:jc w:val="center"/>
              <w:rPr>
                <w:rFonts w:cs="Arial"/>
                <w:szCs w:val="32"/>
              </w:rPr>
            </w:pPr>
            <w:r>
              <w:rPr>
                <w:rFonts w:cs="Arial"/>
                <w:szCs w:val="32"/>
              </w:rPr>
              <w:t>8%</w:t>
            </w:r>
          </w:p>
        </w:tc>
      </w:tr>
      <w:tr w:rsidR="001F4A46" w14:paraId="442A7819" w14:textId="77777777" w:rsidTr="008D2CED">
        <w:trPr>
          <w:trHeight w:val="284"/>
        </w:trPr>
        <w:tc>
          <w:tcPr>
            <w:tcW w:w="3595" w:type="dxa"/>
          </w:tcPr>
          <w:p w14:paraId="62BCBA26" w14:textId="446CAF2A" w:rsidR="001410D5" w:rsidRDefault="001410D5" w:rsidP="001F4A46">
            <w:pPr>
              <w:jc w:val="center"/>
              <w:rPr>
                <w:rFonts w:cs="Arial"/>
                <w:szCs w:val="32"/>
              </w:rPr>
            </w:pPr>
            <w:r>
              <w:rPr>
                <w:rFonts w:cs="Arial"/>
                <w:szCs w:val="32"/>
              </w:rPr>
              <w:t>100% Reduction</w:t>
            </w:r>
          </w:p>
        </w:tc>
        <w:tc>
          <w:tcPr>
            <w:tcW w:w="2390" w:type="dxa"/>
          </w:tcPr>
          <w:p w14:paraId="7D3E3EC2" w14:textId="77777777" w:rsidR="001410D5" w:rsidRDefault="001410D5" w:rsidP="001F4A46">
            <w:pPr>
              <w:jc w:val="center"/>
              <w:rPr>
                <w:rFonts w:cs="Arial"/>
                <w:szCs w:val="32"/>
              </w:rPr>
            </w:pPr>
            <w:r>
              <w:rPr>
                <w:rFonts w:cs="Arial"/>
                <w:szCs w:val="32"/>
              </w:rPr>
              <w:t>62%</w:t>
            </w:r>
          </w:p>
        </w:tc>
        <w:tc>
          <w:tcPr>
            <w:tcW w:w="2390" w:type="dxa"/>
          </w:tcPr>
          <w:p w14:paraId="57FA9B73" w14:textId="77777777" w:rsidR="001410D5" w:rsidRDefault="001410D5" w:rsidP="001F4A46">
            <w:pPr>
              <w:jc w:val="center"/>
              <w:rPr>
                <w:rFonts w:cs="Arial"/>
                <w:szCs w:val="32"/>
              </w:rPr>
            </w:pPr>
            <w:r>
              <w:rPr>
                <w:rFonts w:cs="Arial"/>
                <w:szCs w:val="32"/>
              </w:rPr>
              <w:t>0%</w:t>
            </w:r>
          </w:p>
        </w:tc>
      </w:tr>
    </w:tbl>
    <w:p w14:paraId="3825890C" w14:textId="77777777" w:rsidR="00997487" w:rsidRDefault="00997487" w:rsidP="00997487">
      <w:pPr>
        <w:pStyle w:val="ListParagraph"/>
        <w:numPr>
          <w:ilvl w:val="0"/>
          <w:numId w:val="0"/>
        </w:numPr>
        <w:ind w:left="360"/>
        <w:rPr>
          <w:rFonts w:cs="Arial"/>
          <w:szCs w:val="32"/>
        </w:rPr>
      </w:pPr>
    </w:p>
    <w:p w14:paraId="0C95BA36" w14:textId="58E3D9C0" w:rsidR="00997487" w:rsidRDefault="00471394" w:rsidP="008B2E7E">
      <w:pPr>
        <w:pStyle w:val="ListParagraph"/>
        <w:numPr>
          <w:ilvl w:val="0"/>
          <w:numId w:val="42"/>
        </w:numPr>
        <w:rPr>
          <w:rFonts w:cs="Arial"/>
          <w:szCs w:val="32"/>
        </w:rPr>
      </w:pPr>
      <w:r w:rsidRPr="008B2E7E">
        <w:rPr>
          <w:rFonts w:cs="Arial"/>
          <w:szCs w:val="32"/>
        </w:rPr>
        <w:t>Adverse Reactions</w:t>
      </w:r>
      <w:r w:rsidR="00E75044" w:rsidRPr="008B2E7E">
        <w:rPr>
          <w:rFonts w:cs="Arial"/>
          <w:szCs w:val="32"/>
        </w:rPr>
        <w:t>: The most common adverse reactions were nasopharyngitis and abdominal pain</w:t>
      </w:r>
      <w:r w:rsidR="006F11D9" w:rsidRPr="008B2E7E">
        <w:rPr>
          <w:rFonts w:cs="Arial"/>
          <w:szCs w:val="32"/>
        </w:rPr>
        <w:t xml:space="preserve"> </w:t>
      </w:r>
    </w:p>
    <w:p w14:paraId="5811C315" w14:textId="19AFC681" w:rsidR="008B2E7E" w:rsidRDefault="006F11D9" w:rsidP="00997487">
      <w:pPr>
        <w:pStyle w:val="ListParagraph"/>
        <w:numPr>
          <w:ilvl w:val="0"/>
          <w:numId w:val="0"/>
        </w:numPr>
        <w:ind w:left="360"/>
        <w:rPr>
          <w:rFonts w:cs="Arial"/>
          <w:szCs w:val="32"/>
        </w:rPr>
      </w:pPr>
      <w:r w:rsidRPr="008B2E7E">
        <w:rPr>
          <w:rFonts w:cs="Arial"/>
          <w:szCs w:val="32"/>
        </w:rPr>
        <w:t>(incidence &gt;</w:t>
      </w:r>
      <w:r w:rsidR="00900D23">
        <w:rPr>
          <w:rFonts w:cs="Arial"/>
          <w:szCs w:val="32"/>
        </w:rPr>
        <w:t xml:space="preserve"> </w:t>
      </w:r>
      <w:r w:rsidRPr="008B2E7E">
        <w:rPr>
          <w:rFonts w:cs="Arial"/>
          <w:szCs w:val="32"/>
        </w:rPr>
        <w:t>7% and more common than placebo)</w:t>
      </w:r>
    </w:p>
    <w:p w14:paraId="0A34BECE" w14:textId="77777777" w:rsidR="00997487" w:rsidRDefault="00997487" w:rsidP="00997487">
      <w:pPr>
        <w:pStyle w:val="ListParagraph"/>
        <w:numPr>
          <w:ilvl w:val="0"/>
          <w:numId w:val="0"/>
        </w:numPr>
        <w:ind w:left="360"/>
        <w:rPr>
          <w:rFonts w:cs="Arial"/>
          <w:szCs w:val="32"/>
        </w:rPr>
      </w:pPr>
    </w:p>
    <w:tbl>
      <w:tblPr>
        <w:tblStyle w:val="TableGrid"/>
        <w:tblW w:w="8370" w:type="dxa"/>
        <w:tblInd w:w="715" w:type="dxa"/>
        <w:tblLook w:val="04A0" w:firstRow="1" w:lastRow="0" w:firstColumn="1" w:lastColumn="0" w:noHBand="0" w:noVBand="1"/>
      </w:tblPr>
      <w:tblGrid>
        <w:gridCol w:w="2790"/>
        <w:gridCol w:w="2790"/>
        <w:gridCol w:w="2790"/>
      </w:tblGrid>
      <w:tr w:rsidR="00900D23" w14:paraId="048B6775" w14:textId="77777777" w:rsidTr="009E350F">
        <w:trPr>
          <w:trHeight w:val="571"/>
        </w:trPr>
        <w:tc>
          <w:tcPr>
            <w:tcW w:w="2790" w:type="dxa"/>
          </w:tcPr>
          <w:p w14:paraId="0CFF9D8B" w14:textId="77777777" w:rsidR="00900D23" w:rsidRPr="008D2CED" w:rsidRDefault="00900D23" w:rsidP="009E350F">
            <w:pPr>
              <w:rPr>
                <w:rFonts w:cs="Arial"/>
                <w:b/>
                <w:bCs/>
                <w:szCs w:val="32"/>
              </w:rPr>
            </w:pPr>
            <w:r w:rsidRPr="008D2CED">
              <w:rPr>
                <w:rFonts w:cs="Arial"/>
                <w:b/>
                <w:bCs/>
                <w:szCs w:val="32"/>
              </w:rPr>
              <w:t>Adverse Reactions</w:t>
            </w:r>
          </w:p>
        </w:tc>
        <w:tc>
          <w:tcPr>
            <w:tcW w:w="2790" w:type="dxa"/>
            <w:vAlign w:val="center"/>
          </w:tcPr>
          <w:p w14:paraId="454BA0C8" w14:textId="77777777" w:rsidR="00900D23" w:rsidRPr="008D2CED" w:rsidRDefault="00900D23" w:rsidP="009E350F">
            <w:pPr>
              <w:jc w:val="center"/>
              <w:rPr>
                <w:rFonts w:cs="Arial"/>
                <w:b/>
                <w:bCs/>
                <w:szCs w:val="32"/>
              </w:rPr>
            </w:pPr>
            <w:r w:rsidRPr="008D2CED">
              <w:rPr>
                <w:rFonts w:cs="Arial"/>
                <w:b/>
                <w:bCs/>
                <w:szCs w:val="32"/>
              </w:rPr>
              <w:t>Andembry (n= 39)</w:t>
            </w:r>
          </w:p>
          <w:p w14:paraId="0163F6D8" w14:textId="77777777" w:rsidR="00900D23" w:rsidRPr="008D2CED" w:rsidRDefault="00900D23" w:rsidP="009E350F">
            <w:pPr>
              <w:jc w:val="center"/>
              <w:rPr>
                <w:rFonts w:cs="Arial"/>
                <w:b/>
                <w:bCs/>
                <w:szCs w:val="32"/>
              </w:rPr>
            </w:pPr>
            <w:r w:rsidRPr="008D2CED">
              <w:rPr>
                <w:rFonts w:cs="Arial"/>
                <w:b/>
                <w:bCs/>
                <w:szCs w:val="32"/>
              </w:rPr>
              <w:t>n (%)</w:t>
            </w:r>
          </w:p>
        </w:tc>
        <w:tc>
          <w:tcPr>
            <w:tcW w:w="2790" w:type="dxa"/>
            <w:vAlign w:val="center"/>
          </w:tcPr>
          <w:p w14:paraId="73017C4E" w14:textId="77777777" w:rsidR="00900D23" w:rsidRPr="008D2CED" w:rsidRDefault="00900D23" w:rsidP="009E350F">
            <w:pPr>
              <w:jc w:val="center"/>
              <w:rPr>
                <w:rFonts w:cs="Arial"/>
                <w:b/>
                <w:bCs/>
                <w:szCs w:val="32"/>
              </w:rPr>
            </w:pPr>
            <w:r w:rsidRPr="008D2CED">
              <w:rPr>
                <w:rFonts w:cs="Arial"/>
                <w:b/>
                <w:bCs/>
                <w:szCs w:val="32"/>
              </w:rPr>
              <w:t>Placebo (n= 25)</w:t>
            </w:r>
          </w:p>
          <w:p w14:paraId="1B0AB340" w14:textId="77777777" w:rsidR="00900D23" w:rsidRPr="008D2CED" w:rsidRDefault="00900D23" w:rsidP="009E350F">
            <w:pPr>
              <w:jc w:val="center"/>
              <w:rPr>
                <w:rFonts w:cs="Arial"/>
                <w:b/>
                <w:bCs/>
                <w:szCs w:val="32"/>
              </w:rPr>
            </w:pPr>
            <w:r w:rsidRPr="008D2CED">
              <w:rPr>
                <w:rFonts w:cs="Arial"/>
                <w:b/>
                <w:bCs/>
                <w:szCs w:val="32"/>
              </w:rPr>
              <w:t>n (%)</w:t>
            </w:r>
          </w:p>
        </w:tc>
      </w:tr>
      <w:tr w:rsidR="00900D23" w14:paraId="6A6AB66D" w14:textId="77777777" w:rsidTr="009E350F">
        <w:trPr>
          <w:trHeight w:val="285"/>
        </w:trPr>
        <w:tc>
          <w:tcPr>
            <w:tcW w:w="2790" w:type="dxa"/>
          </w:tcPr>
          <w:p w14:paraId="730CB8BC" w14:textId="77777777" w:rsidR="00900D23" w:rsidRDefault="00900D23" w:rsidP="009E350F">
            <w:pPr>
              <w:rPr>
                <w:rFonts w:cs="Arial"/>
                <w:szCs w:val="32"/>
              </w:rPr>
            </w:pPr>
            <w:r>
              <w:rPr>
                <w:rFonts w:cs="Arial"/>
                <w:szCs w:val="32"/>
              </w:rPr>
              <w:t>Nasopharyngitis</w:t>
            </w:r>
          </w:p>
        </w:tc>
        <w:tc>
          <w:tcPr>
            <w:tcW w:w="2790" w:type="dxa"/>
            <w:vAlign w:val="center"/>
          </w:tcPr>
          <w:p w14:paraId="4A17FE34" w14:textId="77777777" w:rsidR="00900D23" w:rsidRDefault="00900D23" w:rsidP="009E350F">
            <w:pPr>
              <w:jc w:val="center"/>
              <w:rPr>
                <w:rFonts w:cs="Arial"/>
                <w:szCs w:val="32"/>
              </w:rPr>
            </w:pPr>
            <w:r>
              <w:rPr>
                <w:rFonts w:cs="Arial"/>
                <w:szCs w:val="32"/>
              </w:rPr>
              <w:t>8 (21)</w:t>
            </w:r>
          </w:p>
        </w:tc>
        <w:tc>
          <w:tcPr>
            <w:tcW w:w="2790" w:type="dxa"/>
            <w:vAlign w:val="center"/>
          </w:tcPr>
          <w:p w14:paraId="157FFF1D" w14:textId="77777777" w:rsidR="00900D23" w:rsidRDefault="00900D23" w:rsidP="009E350F">
            <w:pPr>
              <w:jc w:val="center"/>
              <w:rPr>
                <w:rFonts w:cs="Arial"/>
                <w:szCs w:val="32"/>
              </w:rPr>
            </w:pPr>
            <w:r>
              <w:rPr>
                <w:rFonts w:cs="Arial"/>
                <w:szCs w:val="32"/>
              </w:rPr>
              <w:t>3 (12)</w:t>
            </w:r>
          </w:p>
        </w:tc>
      </w:tr>
      <w:tr w:rsidR="00900D23" w14:paraId="27EAAEC1" w14:textId="77777777" w:rsidTr="009E350F">
        <w:trPr>
          <w:trHeight w:val="285"/>
        </w:trPr>
        <w:tc>
          <w:tcPr>
            <w:tcW w:w="2790" w:type="dxa"/>
          </w:tcPr>
          <w:p w14:paraId="1AE56AF6" w14:textId="77777777" w:rsidR="00900D23" w:rsidRDefault="00900D23" w:rsidP="009E350F">
            <w:pPr>
              <w:rPr>
                <w:rFonts w:cs="Arial"/>
                <w:szCs w:val="32"/>
              </w:rPr>
            </w:pPr>
            <w:r>
              <w:rPr>
                <w:rFonts w:cs="Arial"/>
                <w:szCs w:val="32"/>
              </w:rPr>
              <w:t>Abdominal Pain</w:t>
            </w:r>
          </w:p>
        </w:tc>
        <w:tc>
          <w:tcPr>
            <w:tcW w:w="2790" w:type="dxa"/>
            <w:vAlign w:val="center"/>
          </w:tcPr>
          <w:p w14:paraId="6E452067" w14:textId="77777777" w:rsidR="00900D23" w:rsidRDefault="00900D23" w:rsidP="009E350F">
            <w:pPr>
              <w:jc w:val="center"/>
              <w:rPr>
                <w:rFonts w:cs="Arial"/>
                <w:szCs w:val="32"/>
              </w:rPr>
            </w:pPr>
            <w:r>
              <w:rPr>
                <w:rFonts w:cs="Arial"/>
                <w:szCs w:val="32"/>
              </w:rPr>
              <w:t>3 (8)</w:t>
            </w:r>
          </w:p>
        </w:tc>
        <w:tc>
          <w:tcPr>
            <w:tcW w:w="2790" w:type="dxa"/>
            <w:vAlign w:val="center"/>
          </w:tcPr>
          <w:p w14:paraId="6CF902BB" w14:textId="77777777" w:rsidR="00900D23" w:rsidRDefault="00900D23" w:rsidP="009E350F">
            <w:pPr>
              <w:jc w:val="center"/>
              <w:rPr>
                <w:rFonts w:cs="Arial"/>
                <w:szCs w:val="32"/>
              </w:rPr>
            </w:pPr>
            <w:r>
              <w:rPr>
                <w:rFonts w:cs="Arial"/>
                <w:szCs w:val="32"/>
              </w:rPr>
              <w:t>0</w:t>
            </w:r>
          </w:p>
        </w:tc>
      </w:tr>
    </w:tbl>
    <w:p w14:paraId="754DD3E2" w14:textId="77777777" w:rsidR="00900D23" w:rsidRDefault="00900D23" w:rsidP="00997487">
      <w:pPr>
        <w:pStyle w:val="ListParagraph"/>
        <w:numPr>
          <w:ilvl w:val="0"/>
          <w:numId w:val="0"/>
        </w:numPr>
        <w:ind w:left="360"/>
        <w:rPr>
          <w:rFonts w:cs="Arial"/>
          <w:szCs w:val="32"/>
        </w:rPr>
      </w:pPr>
    </w:p>
    <w:bookmarkEnd w:id="0"/>
    <w:p w14:paraId="26E5A78A" w14:textId="77777777" w:rsidR="00674418" w:rsidRDefault="00674418" w:rsidP="00674418">
      <w:pPr>
        <w:pStyle w:val="Style2"/>
      </w:pPr>
      <w:r>
        <w:t>Price Per Unit (WAC)</w:t>
      </w:r>
    </w:p>
    <w:p w14:paraId="56BED64B" w14:textId="02D52985" w:rsidR="00645339" w:rsidRDefault="00645339" w:rsidP="003A37EE">
      <w:pPr>
        <w:pStyle w:val="ListParagraph"/>
        <w:numPr>
          <w:ilvl w:val="0"/>
          <w:numId w:val="26"/>
        </w:numPr>
        <w:tabs>
          <w:tab w:val="left" w:pos="2612"/>
        </w:tabs>
        <w:ind w:left="360"/>
      </w:pPr>
      <w:r>
        <w:t>Estimated WAC per unit: $57,100</w:t>
      </w:r>
    </w:p>
    <w:p w14:paraId="4DA93A44" w14:textId="66228E6D" w:rsidR="006374D7" w:rsidRDefault="006374D7" w:rsidP="003A37EE">
      <w:pPr>
        <w:pStyle w:val="ListParagraph"/>
        <w:numPr>
          <w:ilvl w:val="0"/>
          <w:numId w:val="26"/>
        </w:numPr>
        <w:tabs>
          <w:tab w:val="left" w:pos="2612"/>
        </w:tabs>
        <w:ind w:left="360"/>
      </w:pPr>
      <w:r>
        <w:t>E</w:t>
      </w:r>
      <w:r w:rsidRPr="006374D7">
        <w:t>stimated annual wholesale acquisition cost (WAC) for maintenance treatment with</w:t>
      </w:r>
      <w:r>
        <w:t xml:space="preserve"> </w:t>
      </w:r>
      <w:r w:rsidRPr="006374D7">
        <w:t>the Andembry autoinjector is $685,200</w:t>
      </w:r>
    </w:p>
    <w:p w14:paraId="1DF2DAEF" w14:textId="291BC273" w:rsidR="00645339" w:rsidRDefault="00645339" w:rsidP="003A37EE">
      <w:pPr>
        <w:pStyle w:val="ListParagraph"/>
        <w:numPr>
          <w:ilvl w:val="0"/>
          <w:numId w:val="26"/>
        </w:numPr>
        <w:tabs>
          <w:tab w:val="left" w:pos="2612"/>
        </w:tabs>
        <w:ind w:left="360"/>
      </w:pPr>
      <w:r w:rsidRPr="006374D7">
        <w:lastRenderedPageBreak/>
        <w:t>WAC for the first year of therapy is $742,300</w:t>
      </w:r>
      <w:r>
        <w:t xml:space="preserve"> </w:t>
      </w:r>
      <w:r w:rsidRPr="006374D7">
        <w:t>(including loading dose)</w:t>
      </w:r>
    </w:p>
    <w:p w14:paraId="00306526" w14:textId="34131986" w:rsidR="00674418" w:rsidRPr="00C02553" w:rsidRDefault="00674418" w:rsidP="00674418">
      <w:pPr>
        <w:pStyle w:val="Style2"/>
      </w:pPr>
      <w:r>
        <w:t>Therapeutic Alternatives</w:t>
      </w:r>
    </w:p>
    <w:p w14:paraId="540DFBF7" w14:textId="602AE4DA" w:rsidR="00232AFC" w:rsidRDefault="00232AFC" w:rsidP="003A37EE">
      <w:pPr>
        <w:pStyle w:val="ListParagraph"/>
        <w:numPr>
          <w:ilvl w:val="0"/>
          <w:numId w:val="37"/>
        </w:numPr>
        <w:ind w:left="360"/>
      </w:pPr>
      <w:r w:rsidRPr="00232AFC">
        <w:t>Andembry is the first FDA-approved Factor XIIa–inhibiting monoclonal antibody for HAE prophylaxis, establishing a new class that acts at the top of the contact activation pathway</w:t>
      </w:r>
      <w:r>
        <w:t xml:space="preserve"> d</w:t>
      </w:r>
      <w:r w:rsidRPr="00232AFC">
        <w:t>i</w:t>
      </w:r>
      <w:r>
        <w:t xml:space="preserve">fferentiating </w:t>
      </w:r>
      <w:r w:rsidRPr="00232AFC">
        <w:t>it from existing options</w:t>
      </w:r>
      <w:r w:rsidR="001B0535">
        <w:t>.</w:t>
      </w:r>
    </w:p>
    <w:p w14:paraId="7E607055" w14:textId="689A598F" w:rsidR="00A40277" w:rsidRDefault="001A306A" w:rsidP="003A37EE">
      <w:pPr>
        <w:pStyle w:val="ListParagraph"/>
        <w:numPr>
          <w:ilvl w:val="0"/>
          <w:numId w:val="37"/>
        </w:numPr>
        <w:ind w:left="360"/>
      </w:pPr>
      <w:r>
        <w:t xml:space="preserve">Andembry is </w:t>
      </w:r>
      <w:r w:rsidR="00AA42D7">
        <w:t xml:space="preserve">self-administered, </w:t>
      </w:r>
      <w:r w:rsidR="00EE358E">
        <w:t>like</w:t>
      </w:r>
      <w:r w:rsidR="00AA42D7">
        <w:t xml:space="preserve"> Takhzyro</w:t>
      </w:r>
      <w:r w:rsidR="009D2D11" w:rsidRPr="009D2D11">
        <w:rPr>
          <w:rFonts w:cs="Arial"/>
          <w:vertAlign w:val="superscript"/>
        </w:rPr>
        <w:t>®</w:t>
      </w:r>
      <w:r w:rsidR="00AA42D7">
        <w:t xml:space="preserve"> and Haegarda</w:t>
      </w:r>
      <w:r w:rsidR="009D2D11" w:rsidRPr="009D2D11">
        <w:rPr>
          <w:rFonts w:cs="Arial"/>
          <w:vertAlign w:val="superscript"/>
        </w:rPr>
        <w:t>®</w:t>
      </w:r>
      <w:r w:rsidR="00AA42D7">
        <w:t>; however, Andembry does</w:t>
      </w:r>
      <w:r>
        <w:t xml:space="preserve"> </w:t>
      </w:r>
      <w:r w:rsidR="00A64F85">
        <w:t>requir</w:t>
      </w:r>
      <w:r w:rsidR="00EE358E">
        <w:t>e</w:t>
      </w:r>
      <w:r w:rsidR="00A64F85">
        <w:t xml:space="preserve"> a single loading dose before transitioning to monthly maintenance injections</w:t>
      </w:r>
      <w:r w:rsidR="001B0535">
        <w:t>.</w:t>
      </w:r>
    </w:p>
    <w:p w14:paraId="51AA9791" w14:textId="0963FF2E" w:rsidR="00A64F85" w:rsidRDefault="002A4971" w:rsidP="003A37EE">
      <w:pPr>
        <w:pStyle w:val="ListParagraph"/>
        <w:numPr>
          <w:ilvl w:val="0"/>
          <w:numId w:val="37"/>
        </w:numPr>
        <w:ind w:left="360"/>
      </w:pPr>
      <w:r>
        <w:t>Andembry’s key clinical advantage is its strong reduction in monthly HAE attacks, greater than reductions observed with other long-term prophylactic agents</w:t>
      </w:r>
      <w:r w:rsidR="001B0535">
        <w:t>.</w:t>
      </w:r>
    </w:p>
    <w:p w14:paraId="434E6752" w14:textId="49ABD28E" w:rsidR="002A4971" w:rsidRDefault="002A4971" w:rsidP="003A37EE">
      <w:pPr>
        <w:pStyle w:val="ListParagraph"/>
        <w:numPr>
          <w:ilvl w:val="0"/>
          <w:numId w:val="37"/>
        </w:numPr>
        <w:ind w:left="360"/>
      </w:pPr>
      <w:r>
        <w:t>Takhzyro is administer</w:t>
      </w:r>
      <w:r w:rsidR="0066226A">
        <w:t>ed</w:t>
      </w:r>
      <w:r>
        <w:t xml:space="preserve"> subcutaneously every 2 to 4 weeks and achieves substantial attack reduction. Haegarda and Cinryze</w:t>
      </w:r>
      <w:r w:rsidR="009D2D11" w:rsidRPr="009D2D11">
        <w:rPr>
          <w:rFonts w:cs="Arial"/>
          <w:vertAlign w:val="superscript"/>
        </w:rPr>
        <w:t>®</w:t>
      </w:r>
      <w:r>
        <w:t>, C1-INH replacement therapies</w:t>
      </w:r>
      <w:r w:rsidR="001F4A46">
        <w:t>,</w:t>
      </w:r>
      <w:r>
        <w:t xml:space="preserve"> remain options but require more frequent dosing and plasma derived products.</w:t>
      </w:r>
    </w:p>
    <w:p w14:paraId="3FB3297F" w14:textId="28C236E1" w:rsidR="001931FE" w:rsidRDefault="00761022" w:rsidP="001931FE">
      <w:pPr>
        <w:pStyle w:val="ListParagraph"/>
        <w:numPr>
          <w:ilvl w:val="0"/>
          <w:numId w:val="37"/>
        </w:numPr>
        <w:ind w:left="360"/>
      </w:pPr>
      <w:r>
        <w:t>Orladey</w:t>
      </w:r>
      <w:r w:rsidR="009D2D11">
        <w:t>o</w:t>
      </w:r>
      <w:r w:rsidR="009D2D11" w:rsidRPr="009D2D11">
        <w:rPr>
          <w:rFonts w:cs="Arial"/>
          <w:vertAlign w:val="superscript"/>
        </w:rPr>
        <w:t>®</w:t>
      </w:r>
      <w:r>
        <w:t>, is the only oral HAE therapy, providing a more modest reduction in monthly attack rates compared with injectable agents such as Andembry or Takhzyro</w:t>
      </w:r>
      <w:r w:rsidR="001B0535">
        <w:t>.</w:t>
      </w:r>
    </w:p>
    <w:p w14:paraId="12BB23DF" w14:textId="77777777" w:rsidR="001931FE" w:rsidRDefault="001931FE" w:rsidP="001931FE"/>
    <w:tbl>
      <w:tblPr>
        <w:tblStyle w:val="TableGrid"/>
        <w:tblW w:w="9810" w:type="dxa"/>
        <w:tblInd w:w="-95" w:type="dxa"/>
        <w:tblLayout w:type="fixed"/>
        <w:tblLook w:val="04A0" w:firstRow="1" w:lastRow="0" w:firstColumn="1" w:lastColumn="0" w:noHBand="0" w:noVBand="1"/>
      </w:tblPr>
      <w:tblGrid>
        <w:gridCol w:w="1635"/>
        <w:gridCol w:w="1695"/>
        <w:gridCol w:w="1575"/>
        <w:gridCol w:w="1635"/>
        <w:gridCol w:w="1635"/>
        <w:gridCol w:w="1635"/>
      </w:tblGrid>
      <w:tr w:rsidR="001827C1" w14:paraId="074955E7" w14:textId="77777777" w:rsidTr="008D2CED">
        <w:trPr>
          <w:trHeight w:val="204"/>
        </w:trPr>
        <w:tc>
          <w:tcPr>
            <w:tcW w:w="1635" w:type="dxa"/>
          </w:tcPr>
          <w:p w14:paraId="4B55A500" w14:textId="1D0327FC" w:rsidR="00181D45" w:rsidRPr="008D2CED" w:rsidRDefault="00181D45" w:rsidP="003A43A6">
            <w:pPr>
              <w:rPr>
                <w:b/>
                <w:bCs/>
              </w:rPr>
            </w:pPr>
          </w:p>
        </w:tc>
        <w:tc>
          <w:tcPr>
            <w:tcW w:w="1695" w:type="dxa"/>
          </w:tcPr>
          <w:p w14:paraId="2FA7D960" w14:textId="1DCF3ED3" w:rsidR="00181D45" w:rsidRPr="008D2CED" w:rsidRDefault="00181D45" w:rsidP="003A43A6">
            <w:pPr>
              <w:rPr>
                <w:b/>
                <w:bCs/>
              </w:rPr>
            </w:pPr>
            <w:r w:rsidRPr="008D2CED">
              <w:rPr>
                <w:b/>
                <w:bCs/>
              </w:rPr>
              <w:t>Andembry</w:t>
            </w:r>
          </w:p>
        </w:tc>
        <w:tc>
          <w:tcPr>
            <w:tcW w:w="1575" w:type="dxa"/>
          </w:tcPr>
          <w:p w14:paraId="554B12B0" w14:textId="6F84E5F7" w:rsidR="00181D45" w:rsidRPr="008D2CED" w:rsidRDefault="00181D45" w:rsidP="003A43A6">
            <w:pPr>
              <w:rPr>
                <w:b/>
                <w:bCs/>
              </w:rPr>
            </w:pPr>
            <w:r w:rsidRPr="008D2CED">
              <w:rPr>
                <w:b/>
                <w:bCs/>
              </w:rPr>
              <w:t>Orladeyo</w:t>
            </w:r>
          </w:p>
        </w:tc>
        <w:tc>
          <w:tcPr>
            <w:tcW w:w="1635" w:type="dxa"/>
          </w:tcPr>
          <w:p w14:paraId="3C18C979" w14:textId="06BFA327" w:rsidR="00181D45" w:rsidRPr="008D2CED" w:rsidRDefault="00181D45" w:rsidP="003A43A6">
            <w:pPr>
              <w:rPr>
                <w:b/>
                <w:bCs/>
              </w:rPr>
            </w:pPr>
            <w:r w:rsidRPr="008D2CED">
              <w:rPr>
                <w:b/>
                <w:bCs/>
              </w:rPr>
              <w:t>Takhzyro</w:t>
            </w:r>
          </w:p>
        </w:tc>
        <w:tc>
          <w:tcPr>
            <w:tcW w:w="1635" w:type="dxa"/>
          </w:tcPr>
          <w:p w14:paraId="1DF5F123" w14:textId="56DEFBCD" w:rsidR="00181D45" w:rsidRPr="008D2CED" w:rsidRDefault="00181D45" w:rsidP="003A43A6">
            <w:pPr>
              <w:rPr>
                <w:b/>
                <w:bCs/>
              </w:rPr>
            </w:pPr>
            <w:r w:rsidRPr="008D2CED">
              <w:rPr>
                <w:b/>
                <w:bCs/>
              </w:rPr>
              <w:t>Haegarda</w:t>
            </w:r>
          </w:p>
        </w:tc>
        <w:tc>
          <w:tcPr>
            <w:tcW w:w="1635" w:type="dxa"/>
          </w:tcPr>
          <w:p w14:paraId="7F309ECF" w14:textId="3865F316" w:rsidR="00181D45" w:rsidRPr="008D2CED" w:rsidRDefault="00181D45" w:rsidP="003A43A6">
            <w:pPr>
              <w:rPr>
                <w:b/>
                <w:bCs/>
              </w:rPr>
            </w:pPr>
            <w:r w:rsidRPr="008D2CED">
              <w:rPr>
                <w:b/>
                <w:bCs/>
              </w:rPr>
              <w:t>Cin</w:t>
            </w:r>
            <w:r w:rsidR="002664C3" w:rsidRPr="008D2CED">
              <w:rPr>
                <w:b/>
                <w:bCs/>
              </w:rPr>
              <w:t>ryze</w:t>
            </w:r>
          </w:p>
        </w:tc>
      </w:tr>
      <w:tr w:rsidR="001827C1" w14:paraId="270AC8CC" w14:textId="77777777" w:rsidTr="008D2CED">
        <w:trPr>
          <w:trHeight w:val="1034"/>
        </w:trPr>
        <w:tc>
          <w:tcPr>
            <w:tcW w:w="1635" w:type="dxa"/>
          </w:tcPr>
          <w:p w14:paraId="23712535" w14:textId="659D930F" w:rsidR="00181D45" w:rsidRDefault="002664C3" w:rsidP="003A43A6">
            <w:r>
              <w:t>Mechanism of Action</w:t>
            </w:r>
          </w:p>
        </w:tc>
        <w:tc>
          <w:tcPr>
            <w:tcW w:w="1695" w:type="dxa"/>
          </w:tcPr>
          <w:p w14:paraId="46AD3520" w14:textId="0EFD3CA2" w:rsidR="00181D45" w:rsidRDefault="00E43ED1" w:rsidP="003A43A6">
            <w:r>
              <w:t>Factor XIIa inhibiting monoclonal antibody</w:t>
            </w:r>
          </w:p>
        </w:tc>
        <w:tc>
          <w:tcPr>
            <w:tcW w:w="1575" w:type="dxa"/>
          </w:tcPr>
          <w:p w14:paraId="7DDBE26A" w14:textId="3C58D711" w:rsidR="00181D45" w:rsidRDefault="00E43ED1" w:rsidP="003A43A6">
            <w:r>
              <w:t>Plasma kallikrein inhibitor</w:t>
            </w:r>
          </w:p>
        </w:tc>
        <w:tc>
          <w:tcPr>
            <w:tcW w:w="1635" w:type="dxa"/>
          </w:tcPr>
          <w:p w14:paraId="7789FBE2" w14:textId="6B337A16" w:rsidR="00181D45" w:rsidRDefault="00E43ED1" w:rsidP="003A43A6">
            <w:r>
              <w:t>Monoclonal antibody against plasma kallikrein</w:t>
            </w:r>
          </w:p>
        </w:tc>
        <w:tc>
          <w:tcPr>
            <w:tcW w:w="1635" w:type="dxa"/>
          </w:tcPr>
          <w:p w14:paraId="03910537" w14:textId="21FDB729" w:rsidR="00181D45" w:rsidRDefault="00E43ED1" w:rsidP="003A43A6">
            <w:r>
              <w:t>C1-INH replacement therapy</w:t>
            </w:r>
          </w:p>
        </w:tc>
        <w:tc>
          <w:tcPr>
            <w:tcW w:w="1635" w:type="dxa"/>
          </w:tcPr>
          <w:p w14:paraId="6D81C90C" w14:textId="1A47DE6F" w:rsidR="00181D45" w:rsidRDefault="00AE1F1F" w:rsidP="003A43A6">
            <w:r w:rsidRPr="00AE1F1F">
              <w:t>C1-INH replacement therapy</w:t>
            </w:r>
          </w:p>
        </w:tc>
      </w:tr>
      <w:tr w:rsidR="001827C1" w14:paraId="647E4686" w14:textId="77777777" w:rsidTr="008D2CED">
        <w:trPr>
          <w:trHeight w:val="421"/>
        </w:trPr>
        <w:tc>
          <w:tcPr>
            <w:tcW w:w="1635" w:type="dxa"/>
          </w:tcPr>
          <w:p w14:paraId="63C60243" w14:textId="2490035D" w:rsidR="00181D45" w:rsidRDefault="002664C3" w:rsidP="003A43A6">
            <w:r>
              <w:t>Route of Administration</w:t>
            </w:r>
          </w:p>
        </w:tc>
        <w:tc>
          <w:tcPr>
            <w:tcW w:w="1695" w:type="dxa"/>
          </w:tcPr>
          <w:p w14:paraId="3E51C178" w14:textId="06711A90" w:rsidR="00181D45" w:rsidRDefault="00AE1F1F" w:rsidP="003A43A6">
            <w:r>
              <w:t>SC</w:t>
            </w:r>
          </w:p>
        </w:tc>
        <w:tc>
          <w:tcPr>
            <w:tcW w:w="1575" w:type="dxa"/>
          </w:tcPr>
          <w:p w14:paraId="6177FF78" w14:textId="47D33AE2" w:rsidR="00181D45" w:rsidRDefault="00AE1F1F" w:rsidP="003A43A6">
            <w:r>
              <w:t>oral</w:t>
            </w:r>
          </w:p>
        </w:tc>
        <w:tc>
          <w:tcPr>
            <w:tcW w:w="1635" w:type="dxa"/>
          </w:tcPr>
          <w:p w14:paraId="5390877E" w14:textId="4FD7F590" w:rsidR="00181D45" w:rsidRDefault="00AE1F1F" w:rsidP="003A43A6">
            <w:r>
              <w:t>SC</w:t>
            </w:r>
          </w:p>
        </w:tc>
        <w:tc>
          <w:tcPr>
            <w:tcW w:w="1635" w:type="dxa"/>
          </w:tcPr>
          <w:p w14:paraId="6AAAD200" w14:textId="66FE9220" w:rsidR="00181D45" w:rsidRDefault="00AE1F1F" w:rsidP="003A43A6">
            <w:r>
              <w:t>SC</w:t>
            </w:r>
          </w:p>
        </w:tc>
        <w:tc>
          <w:tcPr>
            <w:tcW w:w="1635" w:type="dxa"/>
          </w:tcPr>
          <w:p w14:paraId="3647330D" w14:textId="2BC0689F" w:rsidR="00181D45" w:rsidRDefault="00AE1F1F" w:rsidP="003A43A6">
            <w:r>
              <w:t>IV</w:t>
            </w:r>
          </w:p>
        </w:tc>
      </w:tr>
      <w:tr w:rsidR="001827C1" w14:paraId="676EEF99" w14:textId="77777777" w:rsidTr="008D2CED">
        <w:trPr>
          <w:trHeight w:val="408"/>
        </w:trPr>
        <w:tc>
          <w:tcPr>
            <w:tcW w:w="1635" w:type="dxa"/>
          </w:tcPr>
          <w:p w14:paraId="5B64637C" w14:textId="4E768EA4" w:rsidR="00181D45" w:rsidRDefault="002664C3" w:rsidP="003A43A6">
            <w:r>
              <w:t>Mean HAE attacks/ month</w:t>
            </w:r>
          </w:p>
        </w:tc>
        <w:tc>
          <w:tcPr>
            <w:tcW w:w="1695" w:type="dxa"/>
          </w:tcPr>
          <w:p w14:paraId="35497FF6" w14:textId="34AA0984" w:rsidR="00181D45" w:rsidRDefault="003438F3" w:rsidP="003A43A6">
            <w:r>
              <w:t>0.22</w:t>
            </w:r>
          </w:p>
        </w:tc>
        <w:tc>
          <w:tcPr>
            <w:tcW w:w="1575" w:type="dxa"/>
          </w:tcPr>
          <w:p w14:paraId="5FBEDA21" w14:textId="5E54604A" w:rsidR="00181D45" w:rsidRDefault="003438F3" w:rsidP="003A43A6">
            <w:r>
              <w:t>1.31</w:t>
            </w:r>
          </w:p>
        </w:tc>
        <w:tc>
          <w:tcPr>
            <w:tcW w:w="1635" w:type="dxa"/>
          </w:tcPr>
          <w:p w14:paraId="37C3150E" w14:textId="1217AD31" w:rsidR="00181D45" w:rsidRDefault="003438F3" w:rsidP="003A43A6">
            <w:r>
              <w:t>0.26</w:t>
            </w:r>
          </w:p>
        </w:tc>
        <w:tc>
          <w:tcPr>
            <w:tcW w:w="1635" w:type="dxa"/>
          </w:tcPr>
          <w:p w14:paraId="520B9798" w14:textId="01E904F8" w:rsidR="00181D45" w:rsidRDefault="003438F3" w:rsidP="003A43A6">
            <w:r>
              <w:t>0.5</w:t>
            </w:r>
          </w:p>
        </w:tc>
        <w:tc>
          <w:tcPr>
            <w:tcW w:w="1635" w:type="dxa"/>
          </w:tcPr>
          <w:p w14:paraId="21C3966F" w14:textId="7DEACB93" w:rsidR="00181D45" w:rsidRDefault="003438F3" w:rsidP="003A43A6">
            <w:r>
              <w:t>0.7</w:t>
            </w:r>
          </w:p>
        </w:tc>
      </w:tr>
      <w:tr w:rsidR="001827C1" w14:paraId="0C9B6AB2" w14:textId="77777777" w:rsidTr="008D2CED">
        <w:trPr>
          <w:trHeight w:val="408"/>
        </w:trPr>
        <w:tc>
          <w:tcPr>
            <w:tcW w:w="1635" w:type="dxa"/>
          </w:tcPr>
          <w:p w14:paraId="25EAA12B" w14:textId="77FC0EF8" w:rsidR="00181D45" w:rsidRDefault="00AB12BC" w:rsidP="003A43A6">
            <w:r>
              <w:t>% Reduction vs control</w:t>
            </w:r>
          </w:p>
        </w:tc>
        <w:tc>
          <w:tcPr>
            <w:tcW w:w="1695" w:type="dxa"/>
          </w:tcPr>
          <w:p w14:paraId="3535A745" w14:textId="1C9F9DD8" w:rsidR="00181D45" w:rsidRDefault="003438F3" w:rsidP="003A43A6">
            <w:r>
              <w:t>-89.2%</w:t>
            </w:r>
          </w:p>
        </w:tc>
        <w:tc>
          <w:tcPr>
            <w:tcW w:w="1575" w:type="dxa"/>
          </w:tcPr>
          <w:p w14:paraId="665EC1D4" w14:textId="5A95B8AD" w:rsidR="00181D45" w:rsidRDefault="003438F3" w:rsidP="003A43A6">
            <w:r>
              <w:t>-44.2%</w:t>
            </w:r>
          </w:p>
        </w:tc>
        <w:tc>
          <w:tcPr>
            <w:tcW w:w="1635" w:type="dxa"/>
          </w:tcPr>
          <w:p w14:paraId="5C3ED1F5" w14:textId="5BA0E9CA" w:rsidR="00181D45" w:rsidRDefault="004D6098" w:rsidP="003A43A6">
            <w:r>
              <w:t>-87%</w:t>
            </w:r>
          </w:p>
        </w:tc>
        <w:tc>
          <w:tcPr>
            <w:tcW w:w="1635" w:type="dxa"/>
          </w:tcPr>
          <w:p w14:paraId="71098C14" w14:textId="1F43F11C" w:rsidR="00181D45" w:rsidRDefault="004D6098" w:rsidP="003A43A6">
            <w:r>
              <w:t>-87.1%</w:t>
            </w:r>
          </w:p>
        </w:tc>
        <w:tc>
          <w:tcPr>
            <w:tcW w:w="1635" w:type="dxa"/>
          </w:tcPr>
          <w:p w14:paraId="164FC092" w14:textId="6162BBF4" w:rsidR="00181D45" w:rsidRDefault="004D6098" w:rsidP="003A43A6">
            <w:r>
              <w:t>-84.5%</w:t>
            </w:r>
          </w:p>
        </w:tc>
      </w:tr>
      <w:tr w:rsidR="001827C1" w14:paraId="01E2C97A" w14:textId="77777777" w:rsidTr="008D2CED">
        <w:trPr>
          <w:trHeight w:val="1458"/>
        </w:trPr>
        <w:tc>
          <w:tcPr>
            <w:tcW w:w="1635" w:type="dxa"/>
          </w:tcPr>
          <w:p w14:paraId="4158F758" w14:textId="1EDD168F" w:rsidR="00181D45" w:rsidRDefault="00AB12BC" w:rsidP="003A43A6">
            <w:r>
              <w:t>Most Common</w:t>
            </w:r>
            <w:r w:rsidR="00E43ED1">
              <w:t xml:space="preserve"> Adverse Events </w:t>
            </w:r>
          </w:p>
        </w:tc>
        <w:tc>
          <w:tcPr>
            <w:tcW w:w="1695" w:type="dxa"/>
          </w:tcPr>
          <w:p w14:paraId="0D15CC27" w14:textId="6C882649" w:rsidR="00181D45" w:rsidRDefault="004D6098" w:rsidP="003A43A6">
            <w:r>
              <w:t>Nasopharyngitis</w:t>
            </w:r>
            <w:r w:rsidR="00EC67BF">
              <w:t xml:space="preserve"> (21%)</w:t>
            </w:r>
            <w:r>
              <w:t>, abdominal pain</w:t>
            </w:r>
            <w:r w:rsidR="00EC67BF">
              <w:t xml:space="preserve"> (8%)</w:t>
            </w:r>
          </w:p>
        </w:tc>
        <w:tc>
          <w:tcPr>
            <w:tcW w:w="1575" w:type="dxa"/>
          </w:tcPr>
          <w:p w14:paraId="1845BE33" w14:textId="1D5141E2" w:rsidR="00181D45" w:rsidRDefault="004D6098" w:rsidP="003A43A6">
            <w:r>
              <w:t>Abdominal pain</w:t>
            </w:r>
            <w:r w:rsidR="00EC67BF">
              <w:t xml:space="preserve"> </w:t>
            </w:r>
            <w:r w:rsidR="0040092F">
              <w:t>(23%)</w:t>
            </w:r>
            <w:r>
              <w:t>, vomiting</w:t>
            </w:r>
            <w:r w:rsidR="0040092F">
              <w:t xml:space="preserve"> (15%)</w:t>
            </w:r>
            <w:r>
              <w:t>, diarrhea</w:t>
            </w:r>
            <w:r w:rsidR="0040092F">
              <w:t xml:space="preserve"> (</w:t>
            </w:r>
            <w:r w:rsidR="00612072">
              <w:t>15%)</w:t>
            </w:r>
            <w:r>
              <w:t>, back pain</w:t>
            </w:r>
            <w:r w:rsidR="00612072">
              <w:t xml:space="preserve"> (10%)</w:t>
            </w:r>
          </w:p>
        </w:tc>
        <w:tc>
          <w:tcPr>
            <w:tcW w:w="1635" w:type="dxa"/>
          </w:tcPr>
          <w:p w14:paraId="469E6FB0" w14:textId="41E7E049" w:rsidR="00181D45" w:rsidRDefault="004D6098" w:rsidP="003A43A6">
            <w:r>
              <w:t>Injection site reactions</w:t>
            </w:r>
            <w:r w:rsidR="00612072">
              <w:t xml:space="preserve"> (</w:t>
            </w:r>
            <w:r w:rsidR="0087318B">
              <w:t>56%)</w:t>
            </w:r>
            <w:r>
              <w:t>, URI</w:t>
            </w:r>
            <w:r w:rsidR="0087318B">
              <w:t xml:space="preserve"> (44%)</w:t>
            </w:r>
            <w:r>
              <w:t xml:space="preserve">, </w:t>
            </w:r>
            <w:r w:rsidR="00046458">
              <w:t>headache (</w:t>
            </w:r>
            <w:r w:rsidR="0087318B">
              <w:t>33%)</w:t>
            </w:r>
          </w:p>
        </w:tc>
        <w:tc>
          <w:tcPr>
            <w:tcW w:w="1635" w:type="dxa"/>
          </w:tcPr>
          <w:p w14:paraId="472F7F84" w14:textId="10996BE6" w:rsidR="00181D45" w:rsidRDefault="004D6098" w:rsidP="003A43A6">
            <w:r>
              <w:t>Injection site reactions</w:t>
            </w:r>
            <w:r w:rsidR="0006694F">
              <w:t xml:space="preserve"> (35%)</w:t>
            </w:r>
            <w:r>
              <w:t xml:space="preserve">, </w:t>
            </w:r>
            <w:r w:rsidR="0006694F">
              <w:t>hypersensitivity (7%)</w:t>
            </w:r>
            <w:r>
              <w:t>, nasopharyngitis</w:t>
            </w:r>
            <w:r w:rsidR="0006694F">
              <w:t xml:space="preserve"> (19%)</w:t>
            </w:r>
          </w:p>
        </w:tc>
        <w:tc>
          <w:tcPr>
            <w:tcW w:w="1635" w:type="dxa"/>
          </w:tcPr>
          <w:p w14:paraId="043BB6DC" w14:textId="604999C5" w:rsidR="00181D45" w:rsidRDefault="004D6098" w:rsidP="003A43A6">
            <w:r>
              <w:t>Headache</w:t>
            </w:r>
            <w:r w:rsidR="008F4416">
              <w:t xml:space="preserve"> (17%)</w:t>
            </w:r>
            <w:r>
              <w:t>, rash</w:t>
            </w:r>
            <w:r w:rsidR="00E25238">
              <w:t xml:space="preserve"> (21%</w:t>
            </w:r>
            <w:r w:rsidR="001827C1">
              <w:t>), pruritus</w:t>
            </w:r>
            <w:r w:rsidR="008F4416">
              <w:t xml:space="preserve"> (</w:t>
            </w:r>
            <w:r w:rsidR="00E25238">
              <w:t>8</w:t>
            </w:r>
            <w:r w:rsidR="008F4416">
              <w:t>%)</w:t>
            </w:r>
            <w:r>
              <w:t>, vomiting</w:t>
            </w:r>
            <w:r w:rsidR="008F4416">
              <w:t xml:space="preserve"> (8%)</w:t>
            </w:r>
          </w:p>
        </w:tc>
      </w:tr>
    </w:tbl>
    <w:p w14:paraId="1B43A523" w14:textId="1CAE2225" w:rsidR="003A43A6" w:rsidRDefault="00E331B8" w:rsidP="003A43A6">
      <w:r>
        <w:t>SC= subcutaneous, IV= intravenous, URI=</w:t>
      </w:r>
      <w:r w:rsidR="00ED19F1">
        <w:t>upper respiratory infection</w:t>
      </w:r>
    </w:p>
    <w:p w14:paraId="56C0446F" w14:textId="77777777" w:rsidR="00B029EA" w:rsidRPr="008D312B" w:rsidRDefault="00B029EA" w:rsidP="003A43A6"/>
    <w:p w14:paraId="723FF348" w14:textId="77777777" w:rsidR="00674418" w:rsidRDefault="00674418" w:rsidP="00674418">
      <w:pPr>
        <w:pStyle w:val="Style2"/>
      </w:pPr>
      <w:r>
        <w:t>Prior Authorization Approval Criteria</w:t>
      </w:r>
    </w:p>
    <w:p w14:paraId="10A04763" w14:textId="273BE757" w:rsidR="003A43A6" w:rsidRDefault="009D4004" w:rsidP="00674418">
      <w:pPr>
        <w:ind w:left="360" w:hanging="360"/>
        <w:rPr>
          <w:rFonts w:cs="Arial"/>
          <w:b/>
          <w:bCs/>
          <w:szCs w:val="32"/>
        </w:rPr>
      </w:pPr>
      <w:r w:rsidRPr="009D4004">
        <w:rPr>
          <w:rFonts w:cs="Arial"/>
          <w:b/>
          <w:bCs/>
          <w:szCs w:val="32"/>
          <w:u w:val="single"/>
        </w:rPr>
        <w:t>Initial Therapy</w:t>
      </w:r>
    </w:p>
    <w:p w14:paraId="05506DD3" w14:textId="4BABCFC1" w:rsidR="009D4004" w:rsidRPr="009D4004" w:rsidRDefault="009D4004" w:rsidP="003A37EE">
      <w:pPr>
        <w:pStyle w:val="ListParagraph"/>
        <w:numPr>
          <w:ilvl w:val="0"/>
          <w:numId w:val="37"/>
        </w:numPr>
        <w:ind w:left="360"/>
        <w:rPr>
          <w:rFonts w:cs="Arial"/>
          <w:szCs w:val="32"/>
        </w:rPr>
      </w:pPr>
      <w:r w:rsidRPr="009D4004">
        <w:rPr>
          <w:rFonts w:cs="Arial"/>
          <w:szCs w:val="32"/>
        </w:rPr>
        <w:t xml:space="preserve">Must meet all of the following: </w:t>
      </w:r>
    </w:p>
    <w:p w14:paraId="5F125D49" w14:textId="0170E73A" w:rsidR="009D4004" w:rsidRPr="009D4004" w:rsidRDefault="009D4004" w:rsidP="00B43B5C">
      <w:pPr>
        <w:pStyle w:val="ListParagraph"/>
        <w:numPr>
          <w:ilvl w:val="1"/>
          <w:numId w:val="37"/>
        </w:numPr>
        <w:ind w:left="720"/>
        <w:rPr>
          <w:rFonts w:cs="Arial"/>
          <w:szCs w:val="32"/>
        </w:rPr>
      </w:pPr>
      <w:r w:rsidRPr="009D4004">
        <w:rPr>
          <w:rFonts w:cs="Arial"/>
          <w:szCs w:val="32"/>
        </w:rPr>
        <w:t>Prescribed by or in consultation with an immunologist, allergist, or other specialist in the treated disease state;</w:t>
      </w:r>
    </w:p>
    <w:p w14:paraId="7B4E5A6F" w14:textId="63634B20" w:rsidR="009D4004" w:rsidRPr="009D4004" w:rsidRDefault="009D4004" w:rsidP="00B43B5C">
      <w:pPr>
        <w:pStyle w:val="ListParagraph"/>
        <w:numPr>
          <w:ilvl w:val="1"/>
          <w:numId w:val="37"/>
        </w:numPr>
        <w:ind w:left="720"/>
        <w:rPr>
          <w:rFonts w:cs="Arial"/>
          <w:szCs w:val="32"/>
        </w:rPr>
      </w:pPr>
      <w:r w:rsidRPr="009D4004">
        <w:rPr>
          <w:rFonts w:cs="Arial"/>
          <w:szCs w:val="32"/>
        </w:rPr>
        <w:t xml:space="preserve">Patients aged 12 years or older; </w:t>
      </w:r>
    </w:p>
    <w:p w14:paraId="66F54B37" w14:textId="3CC879A9" w:rsidR="009D4004" w:rsidRPr="009D4004" w:rsidRDefault="009D4004" w:rsidP="00B43B5C">
      <w:pPr>
        <w:pStyle w:val="ListParagraph"/>
        <w:numPr>
          <w:ilvl w:val="1"/>
          <w:numId w:val="37"/>
        </w:numPr>
        <w:ind w:left="720"/>
        <w:rPr>
          <w:rFonts w:cs="Arial"/>
          <w:szCs w:val="32"/>
        </w:rPr>
      </w:pPr>
      <w:r w:rsidRPr="009D4004">
        <w:rPr>
          <w:rFonts w:cs="Arial"/>
          <w:szCs w:val="32"/>
        </w:rPr>
        <w:t>Documented diagnosis of hereditary angioedema in the last year;</w:t>
      </w:r>
    </w:p>
    <w:p w14:paraId="0631960E" w14:textId="1F8839A8" w:rsidR="009D4004" w:rsidRPr="00EE13B2" w:rsidRDefault="009D4004" w:rsidP="00EE13B2">
      <w:pPr>
        <w:pStyle w:val="ListParagraph"/>
        <w:numPr>
          <w:ilvl w:val="1"/>
          <w:numId w:val="37"/>
        </w:numPr>
        <w:ind w:left="720"/>
        <w:rPr>
          <w:rFonts w:cs="Arial"/>
          <w:szCs w:val="32"/>
        </w:rPr>
      </w:pPr>
      <w:r w:rsidRPr="009D4004">
        <w:rPr>
          <w:rFonts w:cs="Arial"/>
          <w:szCs w:val="32"/>
        </w:rPr>
        <w:t>Documentation of low (&lt;</w:t>
      </w:r>
      <w:r w:rsidR="00A74539">
        <w:rPr>
          <w:rFonts w:cs="Arial"/>
          <w:szCs w:val="32"/>
        </w:rPr>
        <w:t xml:space="preserve"> </w:t>
      </w:r>
      <w:r w:rsidRPr="009D4004">
        <w:rPr>
          <w:rFonts w:cs="Arial"/>
          <w:szCs w:val="32"/>
        </w:rPr>
        <w:t>50% of normal) C1</w:t>
      </w:r>
      <w:r w:rsidR="00A74539">
        <w:rPr>
          <w:rFonts w:cs="Arial"/>
          <w:szCs w:val="32"/>
        </w:rPr>
        <w:t>-</w:t>
      </w:r>
      <w:r w:rsidRPr="009D4004">
        <w:rPr>
          <w:rFonts w:cs="Arial"/>
          <w:szCs w:val="32"/>
        </w:rPr>
        <w:t xml:space="preserve">INH antigenic or functional level; </w:t>
      </w:r>
      <w:r w:rsidRPr="00EE13B2">
        <w:rPr>
          <w:rFonts w:cs="Arial"/>
          <w:b/>
          <w:bCs/>
          <w:szCs w:val="32"/>
        </w:rPr>
        <w:t>AND</w:t>
      </w:r>
    </w:p>
    <w:p w14:paraId="5A93A8EA" w14:textId="4D4EFBDF" w:rsidR="0034174A" w:rsidRPr="0034174A" w:rsidRDefault="009D4004" w:rsidP="00B43B5C">
      <w:pPr>
        <w:pStyle w:val="ListParagraph"/>
        <w:numPr>
          <w:ilvl w:val="1"/>
          <w:numId w:val="37"/>
        </w:numPr>
        <w:ind w:left="720"/>
        <w:rPr>
          <w:rFonts w:cs="Arial"/>
          <w:szCs w:val="32"/>
        </w:rPr>
      </w:pPr>
      <w:r w:rsidRPr="009D4004">
        <w:rPr>
          <w:rFonts w:cs="Arial"/>
          <w:szCs w:val="32"/>
        </w:rPr>
        <w:t xml:space="preserve">Not used in combination with other products indicated for prophylaxis </w:t>
      </w:r>
    </w:p>
    <w:p w14:paraId="77C90B84" w14:textId="1584B289" w:rsidR="0034174A" w:rsidRDefault="0034174A" w:rsidP="003668BC">
      <w:pPr>
        <w:pStyle w:val="ListParagraph"/>
        <w:numPr>
          <w:ilvl w:val="0"/>
          <w:numId w:val="37"/>
        </w:numPr>
        <w:ind w:left="360"/>
        <w:rPr>
          <w:rFonts w:cs="Arial"/>
          <w:szCs w:val="32"/>
        </w:rPr>
      </w:pPr>
      <w:r w:rsidRPr="0034174A">
        <w:rPr>
          <w:rFonts w:cs="Arial"/>
          <w:szCs w:val="32"/>
        </w:rPr>
        <w:t>Initial approval period: 6 months</w:t>
      </w:r>
      <w:r w:rsidR="009D4004" w:rsidRPr="0034174A">
        <w:rPr>
          <w:rFonts w:cs="Arial"/>
          <w:szCs w:val="32"/>
        </w:rPr>
        <w:t xml:space="preserve"> </w:t>
      </w:r>
    </w:p>
    <w:p w14:paraId="22FE0E8A" w14:textId="77777777" w:rsidR="00B029EA" w:rsidRPr="003668BC" w:rsidRDefault="00B029EA" w:rsidP="00B029EA">
      <w:pPr>
        <w:pStyle w:val="ListParagraph"/>
        <w:numPr>
          <w:ilvl w:val="0"/>
          <w:numId w:val="0"/>
        </w:numPr>
        <w:ind w:left="360"/>
        <w:rPr>
          <w:rFonts w:cs="Arial"/>
          <w:szCs w:val="32"/>
        </w:rPr>
      </w:pPr>
    </w:p>
    <w:p w14:paraId="2B0FE57E" w14:textId="1C622567" w:rsidR="009D4004" w:rsidRDefault="009D4004" w:rsidP="008D2CED">
      <w:pPr>
        <w:rPr>
          <w:rFonts w:cs="Arial"/>
          <w:b/>
          <w:bCs/>
          <w:szCs w:val="32"/>
          <w:u w:val="single"/>
        </w:rPr>
      </w:pPr>
      <w:r w:rsidRPr="009D4004">
        <w:rPr>
          <w:rFonts w:cs="Arial"/>
          <w:b/>
          <w:bCs/>
          <w:szCs w:val="32"/>
          <w:u w:val="single"/>
        </w:rPr>
        <w:t>Continuation of Therapy</w:t>
      </w:r>
    </w:p>
    <w:p w14:paraId="677AB6AF" w14:textId="1F3F49CA" w:rsidR="0034174A" w:rsidRDefault="0034174A" w:rsidP="003A37EE">
      <w:pPr>
        <w:pStyle w:val="ListParagraph"/>
        <w:numPr>
          <w:ilvl w:val="0"/>
          <w:numId w:val="37"/>
        </w:numPr>
        <w:ind w:left="360"/>
        <w:rPr>
          <w:rFonts w:cs="Arial"/>
          <w:szCs w:val="32"/>
        </w:rPr>
      </w:pPr>
      <w:r>
        <w:rPr>
          <w:rFonts w:cs="Arial"/>
          <w:szCs w:val="32"/>
        </w:rPr>
        <w:t>Must meet all of the following:</w:t>
      </w:r>
    </w:p>
    <w:p w14:paraId="15235C18" w14:textId="0C34D407" w:rsidR="0034174A" w:rsidRDefault="0034174A" w:rsidP="00B43B5C">
      <w:pPr>
        <w:pStyle w:val="ListParagraph"/>
        <w:numPr>
          <w:ilvl w:val="1"/>
          <w:numId w:val="37"/>
        </w:numPr>
        <w:ind w:left="720"/>
        <w:rPr>
          <w:rFonts w:cs="Arial"/>
          <w:szCs w:val="32"/>
        </w:rPr>
      </w:pPr>
      <w:r>
        <w:rPr>
          <w:rFonts w:cs="Arial"/>
          <w:szCs w:val="32"/>
        </w:rPr>
        <w:t xml:space="preserve">Documented compliance on current therapy regimen </w:t>
      </w:r>
    </w:p>
    <w:p w14:paraId="3B4E6834" w14:textId="575C79EB" w:rsidR="0034174A" w:rsidRDefault="0034174A" w:rsidP="00B43B5C">
      <w:pPr>
        <w:pStyle w:val="ListParagraph"/>
        <w:numPr>
          <w:ilvl w:val="1"/>
          <w:numId w:val="37"/>
        </w:numPr>
        <w:ind w:left="720"/>
        <w:rPr>
          <w:rFonts w:cs="Arial"/>
          <w:szCs w:val="32"/>
        </w:rPr>
      </w:pPr>
      <w:r>
        <w:rPr>
          <w:rFonts w:cs="Arial"/>
          <w:szCs w:val="32"/>
        </w:rPr>
        <w:t xml:space="preserve">Documentation of benefit therapy based on goals of therapy; </w:t>
      </w:r>
      <w:r w:rsidRPr="006F11D9">
        <w:rPr>
          <w:rFonts w:cs="Arial"/>
          <w:b/>
          <w:bCs/>
          <w:szCs w:val="32"/>
        </w:rPr>
        <w:t>AND</w:t>
      </w:r>
    </w:p>
    <w:p w14:paraId="4470DB3A" w14:textId="332813E9" w:rsidR="0034174A" w:rsidRDefault="0034174A" w:rsidP="00B43B5C">
      <w:pPr>
        <w:pStyle w:val="ListParagraph"/>
        <w:numPr>
          <w:ilvl w:val="1"/>
          <w:numId w:val="37"/>
        </w:numPr>
        <w:ind w:left="720"/>
        <w:rPr>
          <w:rFonts w:cs="Arial"/>
          <w:szCs w:val="32"/>
        </w:rPr>
      </w:pPr>
      <w:r>
        <w:rPr>
          <w:rFonts w:cs="Arial"/>
          <w:szCs w:val="32"/>
        </w:rPr>
        <w:t xml:space="preserve">Not used in combination with other products indicated for prophylaxis </w:t>
      </w:r>
    </w:p>
    <w:p w14:paraId="01148D2F" w14:textId="66BCFA07" w:rsidR="0034174A" w:rsidRDefault="0034174A" w:rsidP="003668BC">
      <w:pPr>
        <w:pStyle w:val="ListParagraph"/>
        <w:numPr>
          <w:ilvl w:val="0"/>
          <w:numId w:val="37"/>
        </w:numPr>
        <w:ind w:left="360"/>
        <w:rPr>
          <w:rFonts w:cs="Arial"/>
          <w:szCs w:val="32"/>
        </w:rPr>
      </w:pPr>
      <w:r>
        <w:rPr>
          <w:rFonts w:cs="Arial"/>
          <w:szCs w:val="32"/>
        </w:rPr>
        <w:lastRenderedPageBreak/>
        <w:t>Continuation approval period: 12 months</w:t>
      </w:r>
    </w:p>
    <w:p w14:paraId="6AC09C11" w14:textId="77777777" w:rsidR="00B029EA" w:rsidRPr="003668BC" w:rsidRDefault="00B029EA" w:rsidP="00B029EA">
      <w:pPr>
        <w:pStyle w:val="ListParagraph"/>
        <w:numPr>
          <w:ilvl w:val="0"/>
          <w:numId w:val="0"/>
        </w:numPr>
        <w:ind w:left="360"/>
        <w:rPr>
          <w:rFonts w:cs="Arial"/>
          <w:szCs w:val="32"/>
        </w:rPr>
      </w:pPr>
    </w:p>
    <w:p w14:paraId="6691BAE4" w14:textId="7C44A7CF" w:rsidR="003A43A6" w:rsidRDefault="009D4004" w:rsidP="008D2CED">
      <w:pPr>
        <w:rPr>
          <w:rFonts w:cs="Arial"/>
          <w:b/>
          <w:bCs/>
          <w:szCs w:val="32"/>
          <w:u w:val="single"/>
        </w:rPr>
      </w:pPr>
      <w:r w:rsidRPr="009D4004">
        <w:rPr>
          <w:rFonts w:cs="Arial"/>
          <w:b/>
          <w:bCs/>
          <w:szCs w:val="32"/>
          <w:u w:val="single"/>
        </w:rPr>
        <w:t>Denial Criteria</w:t>
      </w:r>
    </w:p>
    <w:p w14:paraId="5E93FF5F" w14:textId="09211321" w:rsidR="0034174A" w:rsidRPr="0034174A" w:rsidRDefault="0034174A" w:rsidP="003A37EE">
      <w:pPr>
        <w:pStyle w:val="ListParagraph"/>
        <w:numPr>
          <w:ilvl w:val="0"/>
          <w:numId w:val="39"/>
        </w:numPr>
        <w:ind w:left="360"/>
        <w:rPr>
          <w:rFonts w:cs="Arial"/>
          <w:b/>
          <w:bCs/>
          <w:szCs w:val="32"/>
          <w:u w:val="single"/>
        </w:rPr>
      </w:pPr>
      <w:r>
        <w:rPr>
          <w:rFonts w:cs="Arial"/>
          <w:szCs w:val="32"/>
        </w:rPr>
        <w:t>Therapy will deny in presence of one of the following</w:t>
      </w:r>
      <w:r w:rsidR="006F11D9">
        <w:rPr>
          <w:rFonts w:cs="Arial"/>
          <w:szCs w:val="32"/>
        </w:rPr>
        <w:t>;</w:t>
      </w:r>
      <w:r>
        <w:rPr>
          <w:rFonts w:cs="Arial"/>
          <w:szCs w:val="32"/>
        </w:rPr>
        <w:t xml:space="preserve"> </w:t>
      </w:r>
    </w:p>
    <w:p w14:paraId="7A171DA7" w14:textId="77777777" w:rsidR="006F11D9" w:rsidRPr="006F11D9" w:rsidRDefault="0034174A" w:rsidP="00B43B5C">
      <w:pPr>
        <w:pStyle w:val="ListParagraph"/>
        <w:numPr>
          <w:ilvl w:val="1"/>
          <w:numId w:val="39"/>
        </w:numPr>
        <w:ind w:left="720"/>
        <w:rPr>
          <w:rFonts w:cs="Arial"/>
          <w:b/>
          <w:bCs/>
          <w:szCs w:val="32"/>
          <w:u w:val="single"/>
        </w:rPr>
      </w:pPr>
      <w:r>
        <w:rPr>
          <w:rFonts w:cs="Arial"/>
          <w:szCs w:val="32"/>
        </w:rPr>
        <w:t xml:space="preserve">Any </w:t>
      </w:r>
      <w:r w:rsidR="006F11D9">
        <w:rPr>
          <w:rFonts w:cs="Arial"/>
          <w:szCs w:val="32"/>
        </w:rPr>
        <w:t xml:space="preserve">approval </w:t>
      </w:r>
      <w:r>
        <w:rPr>
          <w:rFonts w:cs="Arial"/>
          <w:szCs w:val="32"/>
        </w:rPr>
        <w:t>criteria</w:t>
      </w:r>
      <w:r w:rsidR="006F11D9">
        <w:rPr>
          <w:rFonts w:cs="Arial"/>
          <w:szCs w:val="32"/>
        </w:rPr>
        <w:t xml:space="preserve"> are not met; </w:t>
      </w:r>
      <w:r w:rsidR="006F11D9" w:rsidRPr="006F11D9">
        <w:rPr>
          <w:rFonts w:cs="Arial"/>
          <w:b/>
          <w:bCs/>
          <w:szCs w:val="32"/>
        </w:rPr>
        <w:t>OR</w:t>
      </w:r>
    </w:p>
    <w:p w14:paraId="2748CEE7" w14:textId="77777777" w:rsidR="00B029EA" w:rsidRPr="00B029EA" w:rsidRDefault="006F11D9" w:rsidP="00B43B5C">
      <w:pPr>
        <w:pStyle w:val="ListParagraph"/>
        <w:numPr>
          <w:ilvl w:val="1"/>
          <w:numId w:val="39"/>
        </w:numPr>
        <w:ind w:left="720"/>
        <w:rPr>
          <w:rFonts w:cs="Arial"/>
          <w:b/>
          <w:bCs/>
          <w:szCs w:val="32"/>
          <w:u w:val="single"/>
        </w:rPr>
      </w:pPr>
      <w:r>
        <w:rPr>
          <w:rFonts w:cs="Arial"/>
          <w:szCs w:val="32"/>
        </w:rPr>
        <w:t xml:space="preserve">Participant is currently pregnant </w:t>
      </w:r>
    </w:p>
    <w:p w14:paraId="26A34FF0" w14:textId="7A303AB3" w:rsidR="006F11D9" w:rsidRPr="00B029EA" w:rsidRDefault="0034174A" w:rsidP="00B029EA">
      <w:pPr>
        <w:ind w:left="360"/>
        <w:rPr>
          <w:rFonts w:cs="Arial"/>
          <w:b/>
          <w:bCs/>
          <w:szCs w:val="32"/>
          <w:u w:val="single"/>
        </w:rPr>
      </w:pPr>
      <w:r w:rsidRPr="00B029EA">
        <w:rPr>
          <w:rFonts w:cs="Arial"/>
          <w:szCs w:val="32"/>
        </w:rPr>
        <w:t xml:space="preserve"> </w:t>
      </w:r>
    </w:p>
    <w:p w14:paraId="4002DB5D" w14:textId="77777777" w:rsidR="00674418" w:rsidRDefault="00674418" w:rsidP="00674418">
      <w:pPr>
        <w:pStyle w:val="Style2"/>
      </w:pPr>
      <w:r>
        <w:t>Implication to State Medicaid Program</w:t>
      </w:r>
    </w:p>
    <w:p w14:paraId="3549C408" w14:textId="7AD0D05B" w:rsidR="003B3B67" w:rsidRDefault="00DF45BA" w:rsidP="008D2CED">
      <w:pPr>
        <w:rPr>
          <w:rFonts w:cs="Arial"/>
          <w:szCs w:val="32"/>
        </w:rPr>
      </w:pPr>
      <w:r w:rsidRPr="00DF45BA">
        <w:rPr>
          <w:rFonts w:cs="Arial"/>
          <w:szCs w:val="32"/>
        </w:rPr>
        <w:t>Expected LOE: 2039-2040</w:t>
      </w:r>
    </w:p>
    <w:p w14:paraId="36A7C5E5" w14:textId="77777777" w:rsidR="00566E67" w:rsidRDefault="00566E67" w:rsidP="003668BC">
      <w:pPr>
        <w:ind w:left="-180"/>
        <w:rPr>
          <w:rFonts w:cs="Arial"/>
          <w:szCs w:val="32"/>
        </w:rPr>
      </w:pPr>
    </w:p>
    <w:p w14:paraId="10A22BE6" w14:textId="77777777" w:rsidR="003B3B67" w:rsidRDefault="003B3B67" w:rsidP="003A37EE">
      <w:pPr>
        <w:pStyle w:val="ListParagraph"/>
        <w:numPr>
          <w:ilvl w:val="0"/>
          <w:numId w:val="39"/>
        </w:numPr>
        <w:ind w:left="360"/>
      </w:pPr>
      <w:r w:rsidRPr="00BF63EE">
        <w:t>Lonvoguran</w:t>
      </w:r>
      <w:r>
        <w:t xml:space="preserve"> (</w:t>
      </w:r>
      <w:r w:rsidRPr="00C3677A">
        <w:t>NTLA-2002</w:t>
      </w:r>
      <w:r>
        <w:t>)</w:t>
      </w:r>
    </w:p>
    <w:p w14:paraId="387ACA2E" w14:textId="77777777" w:rsidR="003B3B67" w:rsidRDefault="003B3B67" w:rsidP="00B43B5C">
      <w:pPr>
        <w:pStyle w:val="ListParagraph"/>
        <w:numPr>
          <w:ilvl w:val="1"/>
          <w:numId w:val="39"/>
        </w:numPr>
        <w:ind w:left="720"/>
      </w:pPr>
      <w:r w:rsidRPr="00BF63EE">
        <w:t>CRISPR-Cas9 gene-editing therapy</w:t>
      </w:r>
    </w:p>
    <w:p w14:paraId="59AB2651" w14:textId="77777777" w:rsidR="003B3B67" w:rsidRDefault="003B3B67" w:rsidP="00B43B5C">
      <w:pPr>
        <w:pStyle w:val="ListParagraph"/>
        <w:numPr>
          <w:ilvl w:val="1"/>
          <w:numId w:val="39"/>
        </w:numPr>
        <w:ind w:left="720"/>
      </w:pPr>
      <w:r>
        <w:t xml:space="preserve">Phase III trial </w:t>
      </w:r>
      <w:r w:rsidRPr="00BF63EE">
        <w:t>HAELO (NCT06634420)</w:t>
      </w:r>
    </w:p>
    <w:p w14:paraId="4CB7AFEF" w14:textId="6E175388" w:rsidR="00DF45BA" w:rsidRPr="003B3B67" w:rsidRDefault="003B3B67" w:rsidP="00B43B5C">
      <w:pPr>
        <w:pStyle w:val="ListParagraph"/>
        <w:numPr>
          <w:ilvl w:val="1"/>
          <w:numId w:val="39"/>
        </w:numPr>
        <w:ind w:left="720"/>
      </w:pPr>
      <w:r>
        <w:t>Estimated completion: April 2026</w:t>
      </w:r>
    </w:p>
    <w:p w14:paraId="15A5304F" w14:textId="36F21852" w:rsidR="00C3677A" w:rsidRDefault="003B3B67" w:rsidP="003A37EE">
      <w:pPr>
        <w:pStyle w:val="ListParagraph"/>
        <w:numPr>
          <w:ilvl w:val="0"/>
          <w:numId w:val="39"/>
        </w:numPr>
        <w:ind w:left="360"/>
        <w:rPr>
          <w:rFonts w:cs="Arial"/>
          <w:szCs w:val="32"/>
        </w:rPr>
      </w:pPr>
      <w:r w:rsidRPr="003B3B67">
        <w:rPr>
          <w:rFonts w:cs="Arial"/>
          <w:szCs w:val="32"/>
        </w:rPr>
        <w:t>ADX-324</w:t>
      </w:r>
    </w:p>
    <w:p w14:paraId="3A04AC38" w14:textId="0FEC7222" w:rsidR="00C3677A" w:rsidRDefault="003B3B67" w:rsidP="00B43B5C">
      <w:pPr>
        <w:pStyle w:val="ListParagraph"/>
        <w:numPr>
          <w:ilvl w:val="1"/>
          <w:numId w:val="39"/>
        </w:numPr>
        <w:ind w:left="720"/>
        <w:rPr>
          <w:rFonts w:cs="Arial"/>
          <w:szCs w:val="32"/>
        </w:rPr>
      </w:pPr>
      <w:r>
        <w:rPr>
          <w:rFonts w:cs="Arial"/>
          <w:szCs w:val="32"/>
        </w:rPr>
        <w:t>Small interfering RNA (</w:t>
      </w:r>
      <w:r w:rsidRPr="003B3B67">
        <w:rPr>
          <w:rFonts w:cs="Arial"/>
          <w:szCs w:val="32"/>
        </w:rPr>
        <w:t>siRNA</w:t>
      </w:r>
      <w:r>
        <w:rPr>
          <w:rFonts w:cs="Arial"/>
          <w:szCs w:val="32"/>
        </w:rPr>
        <w:t xml:space="preserve">) </w:t>
      </w:r>
      <w:r w:rsidRPr="003B3B67">
        <w:rPr>
          <w:rFonts w:cs="Arial"/>
          <w:szCs w:val="32"/>
        </w:rPr>
        <w:t>selectively silence</w:t>
      </w:r>
      <w:r>
        <w:rPr>
          <w:rFonts w:cs="Arial"/>
          <w:szCs w:val="32"/>
        </w:rPr>
        <w:t>s</w:t>
      </w:r>
      <w:r w:rsidRPr="003B3B67">
        <w:rPr>
          <w:rFonts w:cs="Arial"/>
          <w:szCs w:val="32"/>
        </w:rPr>
        <w:t xml:space="preserve"> the mRNA encoding Prekallikrein (PKK)</w:t>
      </w:r>
    </w:p>
    <w:p w14:paraId="70DF31D3" w14:textId="4D91808F" w:rsidR="003B3B67" w:rsidRDefault="003B3B67" w:rsidP="00B43B5C">
      <w:pPr>
        <w:pStyle w:val="ListParagraph"/>
        <w:numPr>
          <w:ilvl w:val="1"/>
          <w:numId w:val="39"/>
        </w:numPr>
        <w:ind w:left="720"/>
        <w:rPr>
          <w:rFonts w:cs="Arial"/>
          <w:szCs w:val="32"/>
        </w:rPr>
      </w:pPr>
      <w:r>
        <w:rPr>
          <w:rFonts w:cs="Arial"/>
          <w:szCs w:val="32"/>
        </w:rPr>
        <w:t xml:space="preserve">Phase III trial </w:t>
      </w:r>
      <w:r w:rsidRPr="003B3B67">
        <w:rPr>
          <w:rFonts w:cs="Arial"/>
          <w:szCs w:val="32"/>
        </w:rPr>
        <w:t>STOP-HAE (NCT06960213</w:t>
      </w:r>
      <w:r>
        <w:rPr>
          <w:rFonts w:cs="Arial"/>
          <w:szCs w:val="32"/>
        </w:rPr>
        <w:t>)</w:t>
      </w:r>
    </w:p>
    <w:p w14:paraId="56D7A8E0" w14:textId="5E3E638F" w:rsidR="003B3B67" w:rsidRPr="003B3B67" w:rsidRDefault="003B3B67" w:rsidP="00B43B5C">
      <w:pPr>
        <w:pStyle w:val="ListParagraph"/>
        <w:numPr>
          <w:ilvl w:val="1"/>
          <w:numId w:val="39"/>
        </w:numPr>
        <w:ind w:left="720"/>
        <w:rPr>
          <w:rFonts w:cs="Arial"/>
          <w:szCs w:val="32"/>
        </w:rPr>
      </w:pPr>
      <w:r>
        <w:rPr>
          <w:rFonts w:cs="Arial"/>
          <w:szCs w:val="32"/>
        </w:rPr>
        <w:t>Estimated competition: December 31, 2026</w:t>
      </w:r>
    </w:p>
    <w:p w14:paraId="6B9E5ACD" w14:textId="6BD38C21" w:rsidR="00B614AA" w:rsidRPr="00B614AA" w:rsidRDefault="00C3677A" w:rsidP="003A37EE">
      <w:pPr>
        <w:pStyle w:val="ListParagraph"/>
        <w:numPr>
          <w:ilvl w:val="0"/>
          <w:numId w:val="39"/>
        </w:numPr>
        <w:ind w:left="360"/>
      </w:pPr>
      <w:r w:rsidRPr="00C3677A">
        <w:t>Navenibart (STAR-0215)</w:t>
      </w:r>
    </w:p>
    <w:p w14:paraId="350E692D" w14:textId="556E2B2A" w:rsidR="00B614AA" w:rsidRDefault="00B43B5C" w:rsidP="00B43B5C">
      <w:pPr>
        <w:pStyle w:val="ListParagraph"/>
        <w:numPr>
          <w:ilvl w:val="1"/>
          <w:numId w:val="39"/>
        </w:numPr>
        <w:ind w:left="720"/>
        <w:rPr>
          <w:rFonts w:cs="Arial"/>
          <w:szCs w:val="32"/>
        </w:rPr>
      </w:pPr>
      <w:r>
        <w:rPr>
          <w:rFonts w:cs="Arial"/>
          <w:szCs w:val="32"/>
        </w:rPr>
        <w:t>M</w:t>
      </w:r>
      <w:r w:rsidR="00B614AA" w:rsidRPr="00B614AA">
        <w:rPr>
          <w:rFonts w:cs="Arial"/>
          <w:szCs w:val="32"/>
        </w:rPr>
        <w:t>onoclonal antibody inhibitor of plasma kallikrein</w:t>
      </w:r>
    </w:p>
    <w:p w14:paraId="04E5C32F" w14:textId="674F26F4" w:rsidR="00B614AA" w:rsidRDefault="00B614AA" w:rsidP="00B43B5C">
      <w:pPr>
        <w:pStyle w:val="ListParagraph"/>
        <w:numPr>
          <w:ilvl w:val="1"/>
          <w:numId w:val="39"/>
        </w:numPr>
        <w:ind w:left="720"/>
        <w:rPr>
          <w:rFonts w:cs="Arial"/>
          <w:szCs w:val="32"/>
        </w:rPr>
      </w:pPr>
      <w:r>
        <w:rPr>
          <w:rFonts w:cs="Arial"/>
          <w:szCs w:val="32"/>
        </w:rPr>
        <w:t xml:space="preserve">Phase III trial </w:t>
      </w:r>
      <w:r w:rsidRPr="00B614AA">
        <w:rPr>
          <w:rFonts w:cs="Arial"/>
          <w:szCs w:val="32"/>
        </w:rPr>
        <w:t>ALPHA-ORBIT (NCT06842823)</w:t>
      </w:r>
      <w:r>
        <w:rPr>
          <w:rFonts w:cs="Arial"/>
          <w:szCs w:val="32"/>
        </w:rPr>
        <w:t xml:space="preserve"> </w:t>
      </w:r>
    </w:p>
    <w:p w14:paraId="75D2745A" w14:textId="6FEEC9DC" w:rsidR="003A43A6" w:rsidRDefault="00B614AA" w:rsidP="00022D8E">
      <w:pPr>
        <w:pStyle w:val="ListParagraph"/>
        <w:numPr>
          <w:ilvl w:val="1"/>
          <w:numId w:val="39"/>
        </w:numPr>
        <w:ind w:left="720"/>
        <w:rPr>
          <w:rFonts w:cs="Arial"/>
          <w:szCs w:val="32"/>
        </w:rPr>
      </w:pPr>
      <w:r>
        <w:rPr>
          <w:rFonts w:cs="Arial"/>
          <w:szCs w:val="32"/>
        </w:rPr>
        <w:t>Estimated competition: March 2027</w:t>
      </w:r>
    </w:p>
    <w:p w14:paraId="7A01D656" w14:textId="77777777" w:rsidR="00B029EA" w:rsidRPr="001931FE" w:rsidRDefault="00B029EA" w:rsidP="00B029EA">
      <w:pPr>
        <w:pStyle w:val="ListParagraph"/>
        <w:numPr>
          <w:ilvl w:val="0"/>
          <w:numId w:val="0"/>
        </w:numPr>
        <w:ind w:left="720"/>
        <w:rPr>
          <w:rFonts w:cs="Arial"/>
          <w:szCs w:val="32"/>
        </w:rPr>
      </w:pPr>
    </w:p>
    <w:p w14:paraId="12094C3D" w14:textId="77777777" w:rsidR="00674418" w:rsidRPr="00417F7D" w:rsidRDefault="00674418" w:rsidP="00674418">
      <w:pPr>
        <w:pStyle w:val="Style2"/>
      </w:pPr>
      <w:r w:rsidRPr="00417F7D">
        <w:t>References:</w:t>
      </w:r>
    </w:p>
    <w:p w14:paraId="16B7AB90" w14:textId="558CD2AE" w:rsidR="001B0535" w:rsidRPr="00E40FDA" w:rsidRDefault="001B0535" w:rsidP="001B0535">
      <w:pPr>
        <w:pStyle w:val="ListParagraph"/>
        <w:numPr>
          <w:ilvl w:val="0"/>
          <w:numId w:val="40"/>
        </w:numPr>
        <w:ind w:left="360"/>
        <w:rPr>
          <w:rFonts w:cs="Arial"/>
          <w:szCs w:val="20"/>
        </w:rPr>
      </w:pPr>
      <w:r w:rsidRPr="001B0535">
        <w:rPr>
          <w:rFonts w:cs="Arial"/>
          <w:szCs w:val="20"/>
        </w:rPr>
        <w:t xml:space="preserve">CSL Behring. CSL312 (garadacimab) in the Prevention of Hereditary Angioedema Attacks. ClinicalTrials.gov [NCT04656418]. U.S. National Library of Medicine. Accessed November </w:t>
      </w:r>
      <w:r>
        <w:rPr>
          <w:rFonts w:cs="Arial"/>
          <w:szCs w:val="20"/>
        </w:rPr>
        <w:t>11</w:t>
      </w:r>
      <w:r w:rsidRPr="001B0535">
        <w:rPr>
          <w:rFonts w:cs="Arial"/>
          <w:szCs w:val="20"/>
        </w:rPr>
        <w:t>, 2025. https://www.clinicaltrials.gov/study/NCT04656418</w:t>
      </w:r>
      <w:r>
        <w:rPr>
          <w:rFonts w:cs="Arial"/>
          <w:szCs w:val="20"/>
        </w:rPr>
        <w:t>.</w:t>
      </w:r>
    </w:p>
    <w:p w14:paraId="559AA07C" w14:textId="167B4B35" w:rsidR="00275C1D" w:rsidRPr="00E40FDA" w:rsidRDefault="00275C1D" w:rsidP="003A37EE">
      <w:pPr>
        <w:pStyle w:val="ListParagraph"/>
        <w:numPr>
          <w:ilvl w:val="0"/>
          <w:numId w:val="40"/>
        </w:numPr>
        <w:ind w:left="360"/>
        <w:rPr>
          <w:rFonts w:cs="Arial"/>
          <w:szCs w:val="20"/>
        </w:rPr>
      </w:pPr>
      <w:r w:rsidRPr="00E40FDA">
        <w:rPr>
          <w:rFonts w:cs="Arial"/>
          <w:szCs w:val="20"/>
        </w:rPr>
        <w:t xml:space="preserve">FDA Package </w:t>
      </w:r>
      <w:r w:rsidR="000B4CB8" w:rsidRPr="00E40FDA">
        <w:rPr>
          <w:rFonts w:cs="Arial"/>
          <w:szCs w:val="20"/>
        </w:rPr>
        <w:t>Insert: Andembry</w:t>
      </w:r>
      <w:r w:rsidRPr="00E40FDA">
        <w:rPr>
          <w:rFonts w:cs="Arial"/>
          <w:szCs w:val="20"/>
        </w:rPr>
        <w:t xml:space="preserve"> [package insert]. </w:t>
      </w:r>
      <w:r w:rsidR="00555732" w:rsidRPr="00E40FDA">
        <w:rPr>
          <w:rFonts w:cs="Arial"/>
          <w:szCs w:val="20"/>
        </w:rPr>
        <w:t>King of Prussia, PA</w:t>
      </w:r>
      <w:r w:rsidRPr="00E40FDA">
        <w:rPr>
          <w:rFonts w:cs="Arial"/>
          <w:szCs w:val="20"/>
        </w:rPr>
        <w:t xml:space="preserve">: </w:t>
      </w:r>
      <w:r w:rsidR="00555732" w:rsidRPr="00E40FDA">
        <w:rPr>
          <w:rFonts w:cs="Arial"/>
          <w:szCs w:val="20"/>
        </w:rPr>
        <w:t>CSL</w:t>
      </w:r>
      <w:r w:rsidR="000B4CB8" w:rsidRPr="00E40FDA">
        <w:rPr>
          <w:rFonts w:cs="Arial"/>
          <w:szCs w:val="20"/>
        </w:rPr>
        <w:t xml:space="preserve"> Behring, LLC</w:t>
      </w:r>
      <w:r w:rsidRPr="00E40FDA">
        <w:rPr>
          <w:rFonts w:cs="Arial"/>
          <w:szCs w:val="20"/>
        </w:rPr>
        <w:t xml:space="preserve">; </w:t>
      </w:r>
      <w:r w:rsidR="0090307D" w:rsidRPr="00E40FDA">
        <w:rPr>
          <w:rFonts w:cs="Arial"/>
          <w:szCs w:val="20"/>
        </w:rPr>
        <w:t>2025</w:t>
      </w:r>
      <w:r w:rsidR="001B0535">
        <w:rPr>
          <w:rFonts w:cs="Arial"/>
          <w:szCs w:val="20"/>
        </w:rPr>
        <w:t>.</w:t>
      </w:r>
    </w:p>
    <w:p w14:paraId="0F83752F" w14:textId="4C2F81A1" w:rsidR="00E40FDA" w:rsidRPr="00E40FDA" w:rsidRDefault="007246DB" w:rsidP="003A37EE">
      <w:pPr>
        <w:pStyle w:val="ListParagraph"/>
        <w:numPr>
          <w:ilvl w:val="0"/>
          <w:numId w:val="40"/>
        </w:numPr>
        <w:ind w:left="360"/>
        <w:rPr>
          <w:rFonts w:cs="Arial"/>
          <w:szCs w:val="20"/>
        </w:rPr>
      </w:pPr>
      <w:r w:rsidRPr="00E40FDA">
        <w:rPr>
          <w:rFonts w:cs="Arial"/>
          <w:szCs w:val="20"/>
        </w:rPr>
        <w:t>IPD Analytics. Andembry. November 11, 2025</w:t>
      </w:r>
      <w:r w:rsidR="001B0535">
        <w:rPr>
          <w:rFonts w:cs="Arial"/>
          <w:szCs w:val="20"/>
        </w:rPr>
        <w:t>.</w:t>
      </w:r>
      <w:r w:rsidR="00E40FDA" w:rsidRPr="00E40FDA">
        <w:t xml:space="preserve"> </w:t>
      </w:r>
    </w:p>
    <w:p w14:paraId="68B750B3" w14:textId="0E39DD0D" w:rsidR="00E40FDA" w:rsidRDefault="00E40FDA" w:rsidP="003A37EE">
      <w:pPr>
        <w:pStyle w:val="ListParagraph"/>
        <w:numPr>
          <w:ilvl w:val="0"/>
          <w:numId w:val="40"/>
        </w:numPr>
        <w:ind w:left="360"/>
        <w:rPr>
          <w:rFonts w:cs="Arial"/>
          <w:szCs w:val="20"/>
        </w:rPr>
      </w:pPr>
      <w:r w:rsidRPr="00E40FDA">
        <w:rPr>
          <w:rFonts w:cs="Arial"/>
          <w:szCs w:val="20"/>
        </w:rPr>
        <w:t xml:space="preserve">Maurer, Marcus, et al. “The international WAO/EAACI guideline for the management of hereditary angioedema—the 2021 revision and update.” Allergy, vol. 77, no. 7, 3 Feb. 2022, pp. 1961–1990, </w:t>
      </w:r>
      <w:r w:rsidR="001B0535" w:rsidRPr="001B0535">
        <w:rPr>
          <w:rFonts w:cs="Arial"/>
          <w:szCs w:val="20"/>
        </w:rPr>
        <w:t>https://doi.org/10.1111/all.15214</w:t>
      </w:r>
      <w:r w:rsidRPr="00E40FDA">
        <w:rPr>
          <w:rFonts w:cs="Arial"/>
          <w:szCs w:val="20"/>
        </w:rPr>
        <w:t>.</w:t>
      </w:r>
    </w:p>
    <w:p w14:paraId="72BC41D4" w14:textId="7296F8D3" w:rsidR="00A444B4" w:rsidRDefault="004C1747" w:rsidP="003A37EE">
      <w:pPr>
        <w:pStyle w:val="ListParagraph"/>
        <w:numPr>
          <w:ilvl w:val="0"/>
          <w:numId w:val="40"/>
        </w:numPr>
        <w:ind w:left="360"/>
        <w:rPr>
          <w:rFonts w:cs="Arial"/>
          <w:szCs w:val="20"/>
        </w:rPr>
      </w:pPr>
      <w:r w:rsidRPr="00E40FDA">
        <w:rPr>
          <w:rFonts w:cs="Arial"/>
          <w:szCs w:val="20"/>
        </w:rPr>
        <w:t>NIH</w:t>
      </w:r>
      <w:r w:rsidR="00A444B4" w:rsidRPr="00E40FDA">
        <w:rPr>
          <w:rFonts w:cs="Arial"/>
          <w:szCs w:val="20"/>
        </w:rPr>
        <w:t>.</w:t>
      </w:r>
      <w:r w:rsidR="006E5D43" w:rsidRPr="00E40FDA">
        <w:rPr>
          <w:rFonts w:cs="Arial"/>
          <w:szCs w:val="20"/>
        </w:rPr>
        <w:t xml:space="preserve"> Hereditary Angioedema.</w:t>
      </w:r>
      <w:r w:rsidR="00812A68" w:rsidRPr="00812A68">
        <w:t xml:space="preserve"> </w:t>
      </w:r>
      <w:r w:rsidR="00812A68" w:rsidRPr="00E40FDA">
        <w:rPr>
          <w:rFonts w:cs="Arial"/>
          <w:szCs w:val="20"/>
        </w:rPr>
        <w:t>https://www.ncbi.nlm.nih.gov/books/NBK482266/.</w:t>
      </w:r>
      <w:r w:rsidR="005F0CB2" w:rsidRPr="00E40FDA">
        <w:rPr>
          <w:rFonts w:cs="Arial"/>
          <w:szCs w:val="20"/>
        </w:rPr>
        <w:t xml:space="preserve"> </w:t>
      </w:r>
      <w:r w:rsidR="006E5D43" w:rsidRPr="00E40FDA">
        <w:rPr>
          <w:rFonts w:cs="Arial"/>
          <w:szCs w:val="20"/>
        </w:rPr>
        <w:t>November 11, 2025.</w:t>
      </w:r>
    </w:p>
    <w:p w14:paraId="02069F2D" w14:textId="07C77BC1" w:rsidR="00777CA4" w:rsidRDefault="00777CA4" w:rsidP="00022D8E"/>
    <w:sectPr w:rsidR="00777CA4" w:rsidSect="000165F0">
      <w:headerReference w:type="even" r:id="rId11"/>
      <w:footerReference w:type="even" r:id="rId12"/>
      <w:footerReference w:type="default" r:id="rId13"/>
      <w:headerReference w:type="first" r:id="rId14"/>
      <w:footerReference w:type="first" r:id="rId15"/>
      <w:type w:val="continuous"/>
      <w:pgSz w:w="12240" w:h="15840" w:code="1"/>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D9716" w14:textId="77777777" w:rsidR="003C470D" w:rsidRPr="00C02553" w:rsidRDefault="003C470D" w:rsidP="00AE77DB">
      <w:r w:rsidRPr="00C02553">
        <w:separator/>
      </w:r>
    </w:p>
  </w:endnote>
  <w:endnote w:type="continuationSeparator" w:id="0">
    <w:p w14:paraId="07FC3434" w14:textId="77777777" w:rsidR="003C470D" w:rsidRPr="00C02553" w:rsidRDefault="003C470D" w:rsidP="00AE77DB">
      <w:r w:rsidRPr="00C02553">
        <w:continuationSeparator/>
      </w:r>
    </w:p>
  </w:endnote>
  <w:endnote w:type="continuationNotice" w:id="1">
    <w:p w14:paraId="40E89377" w14:textId="77777777" w:rsidR="003C470D" w:rsidRPr="00C02553" w:rsidRDefault="003C47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34E1"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A1D60BF"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2479" w14:textId="77777777"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30B90F1F" w14:textId="77777777" w:rsidR="00811A70" w:rsidRPr="00C02553" w:rsidRDefault="00811A70" w:rsidP="00811A70">
    <w:pPr>
      <w:rPr>
        <w:rFonts w:cs="Arial"/>
        <w:sz w:val="16"/>
        <w:szCs w:val="16"/>
      </w:rPr>
    </w:pPr>
    <w:r w:rsidRPr="00C02553">
      <w:rPr>
        <w:rFonts w:cs="Arial"/>
        <w:sz w:val="16"/>
        <w:szCs w:val="16"/>
      </w:rPr>
      <w:t>© 2025 Conduent Business Services, LLC. All rights reserved. Conduent™ and Conduent Design™ are trademarks of Conduent Business Services, LLC in the United States and/or other countries.</w:t>
    </w:r>
  </w:p>
  <w:p w14:paraId="4685F7F2" w14:textId="77777777"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Content>
      <w:p w14:paraId="1C85D708" w14:textId="77777777"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C91C7" w14:textId="77777777"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637158D5" w14:textId="77777777" w:rsidR="005058CB" w:rsidRPr="00C02553" w:rsidRDefault="005058CB" w:rsidP="005058CB">
    <w:pPr>
      <w:jc w:val="both"/>
      <w:rPr>
        <w:rFonts w:cs="Arial"/>
        <w:sz w:val="16"/>
        <w:szCs w:val="16"/>
      </w:rPr>
    </w:pPr>
    <w:r w:rsidRPr="00C02553">
      <w:rPr>
        <w:rFonts w:cs="Arial"/>
        <w:sz w:val="16"/>
        <w:szCs w:val="16"/>
      </w:rPr>
      <w:t>© 2025 Conduent Business Services, LLC. All rights reserved. Conduent™ and Conduent Design™ are trademarks of Conduent Business Services, LLC in the United States and/or other countries.</w:t>
    </w:r>
  </w:p>
  <w:p w14:paraId="0E69BF8B" w14:textId="77777777"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50C2A" w14:textId="77777777" w:rsidR="003C470D" w:rsidRPr="00C02553" w:rsidRDefault="003C470D" w:rsidP="00AE77DB">
      <w:r w:rsidRPr="00C02553">
        <w:separator/>
      </w:r>
    </w:p>
  </w:footnote>
  <w:footnote w:type="continuationSeparator" w:id="0">
    <w:p w14:paraId="78065608" w14:textId="77777777" w:rsidR="003C470D" w:rsidRPr="00C02553" w:rsidRDefault="003C470D" w:rsidP="00AE77DB">
      <w:r w:rsidRPr="00C02553">
        <w:continuationSeparator/>
      </w:r>
    </w:p>
  </w:footnote>
  <w:footnote w:type="continuationNotice" w:id="1">
    <w:p w14:paraId="1BD65871" w14:textId="77777777" w:rsidR="003C470D" w:rsidRPr="00C02553" w:rsidRDefault="003C47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B60BA" w14:textId="77777777" w:rsidR="00006A61" w:rsidRPr="00C02553" w:rsidRDefault="00006A61">
    <w:pPr>
      <w:pStyle w:val="Head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4CCA828E"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DB5ED" w14:textId="77777777" w:rsidR="00006A61" w:rsidRPr="00C02553" w:rsidRDefault="00AB0B9F">
    <w:pPr>
      <w:pStyle w:val="Header"/>
      <w:rPr>
        <w:rFonts w:ascii="Times New Roman" w:hAnsi="Times New Roman"/>
      </w:rPr>
    </w:pPr>
    <w:r w:rsidRPr="00C02553">
      <w:rPr>
        <w:noProof/>
      </w:rPr>
      <w:drawing>
        <wp:anchor distT="0" distB="0" distL="114300" distR="114300" simplePos="0" relativeHeight="251658240" behindDoc="0" locked="0" layoutInCell="1" allowOverlap="1" wp14:anchorId="357763FB" wp14:editId="404365DB">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fs1i8A55xyBIlW" int2:id="Z6SnuUT9">
      <int2:state int2:value="Rejected" int2:type="spell"/>
    </int2:textHash>
    <int2:textHash int2:hashCode="6SHTtOZZ9xYy8I" int2:id="hIiwJsTB">
      <int2:state int2:value="Rejected" int2:type="spell"/>
    </int2:textHash>
    <int2:textHash int2:hashCode="zHfywVRV9vYcFE" int2:id="1OVoZiCA">
      <int2:state int2:value="Rejected" int2:type="spell"/>
    </int2:textHash>
    <int2:textHash int2:hashCode="oJ1LEVCJ0m6Er2" int2:id="e3w6GyA6">
      <int2:state int2:value="Rejected" int2:type="spell"/>
    </int2:textHash>
    <int2:textHash int2:hashCode="VEzoQhhNxf6toT" int2:id="sAihARh8">
      <int2:state int2:value="Rejected" int2:type="spell"/>
    </int2:textHash>
    <int2:textHash int2:hashCode="pP9ah7SMxCn/aE" int2:id="RSh6KM0i">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6A37E4"/>
    <w:multiLevelType w:val="hybridMultilevel"/>
    <w:tmpl w:val="EF2CE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8D40C3"/>
    <w:multiLevelType w:val="multilevel"/>
    <w:tmpl w:val="E1A2A51C"/>
    <w:numStyleLink w:val="References"/>
  </w:abstractNum>
  <w:abstractNum w:abstractNumId="6" w15:restartNumberingAfterBreak="0">
    <w:nsid w:val="08794AF1"/>
    <w:multiLevelType w:val="hybridMultilevel"/>
    <w:tmpl w:val="7506EB4C"/>
    <w:lvl w:ilvl="0" w:tplc="04090001">
      <w:start w:val="1"/>
      <w:numFmt w:val="bullet"/>
      <w:lvlText w:val=""/>
      <w:lvlJc w:val="left"/>
      <w:pPr>
        <w:ind w:left="879" w:hanging="360"/>
      </w:pPr>
      <w:rPr>
        <w:rFonts w:ascii="Symbol" w:hAnsi="Symbol" w:hint="default"/>
      </w:rPr>
    </w:lvl>
    <w:lvl w:ilvl="1" w:tplc="04090003" w:tentative="1">
      <w:start w:val="1"/>
      <w:numFmt w:val="bullet"/>
      <w:lvlText w:val="o"/>
      <w:lvlJc w:val="left"/>
      <w:pPr>
        <w:ind w:left="1599" w:hanging="360"/>
      </w:pPr>
      <w:rPr>
        <w:rFonts w:ascii="Courier New" w:hAnsi="Courier New" w:cs="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cs="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cs="Courier New" w:hint="default"/>
      </w:rPr>
    </w:lvl>
    <w:lvl w:ilvl="8" w:tplc="04090005" w:tentative="1">
      <w:start w:val="1"/>
      <w:numFmt w:val="bullet"/>
      <w:lvlText w:val=""/>
      <w:lvlJc w:val="left"/>
      <w:pPr>
        <w:ind w:left="6639" w:hanging="360"/>
      </w:pPr>
      <w:rPr>
        <w:rFonts w:ascii="Wingdings" w:hAnsi="Wingdings" w:hint="default"/>
      </w:rPr>
    </w:lvl>
  </w:abstractNum>
  <w:abstractNum w:abstractNumId="7" w15:restartNumberingAfterBreak="0">
    <w:nsid w:val="0E1B5AF4"/>
    <w:multiLevelType w:val="hybridMultilevel"/>
    <w:tmpl w:val="38C07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270A9A"/>
    <w:multiLevelType w:val="hybridMultilevel"/>
    <w:tmpl w:val="2F58973A"/>
    <w:lvl w:ilvl="0" w:tplc="B4C0C8C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BF4B25"/>
    <w:multiLevelType w:val="multilevel"/>
    <w:tmpl w:val="13F27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F8504A"/>
    <w:multiLevelType w:val="hybridMultilevel"/>
    <w:tmpl w:val="9154E82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30F69F0"/>
    <w:multiLevelType w:val="hybridMultilevel"/>
    <w:tmpl w:val="E98C5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FE03E6"/>
    <w:multiLevelType w:val="hybridMultilevel"/>
    <w:tmpl w:val="E640B174"/>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166B4998"/>
    <w:multiLevelType w:val="hybridMultilevel"/>
    <w:tmpl w:val="19BC9764"/>
    <w:lvl w:ilvl="0" w:tplc="7D12A4A0">
      <w:start w:val="89"/>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A64D57"/>
    <w:multiLevelType w:val="hybridMultilevel"/>
    <w:tmpl w:val="B1FEE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156943"/>
    <w:multiLevelType w:val="hybridMultilevel"/>
    <w:tmpl w:val="1136B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1C00B6A"/>
    <w:multiLevelType w:val="hybridMultilevel"/>
    <w:tmpl w:val="1D0EF3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2735305"/>
    <w:multiLevelType w:val="hybridMultilevel"/>
    <w:tmpl w:val="1D8CC5D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61F27A7"/>
    <w:multiLevelType w:val="hybridMultilevel"/>
    <w:tmpl w:val="7820E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343475"/>
    <w:multiLevelType w:val="hybridMultilevel"/>
    <w:tmpl w:val="5D66A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6D24FC"/>
    <w:multiLevelType w:val="hybridMultilevel"/>
    <w:tmpl w:val="4E3CA9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6CC3C1E"/>
    <w:multiLevelType w:val="hybridMultilevel"/>
    <w:tmpl w:val="3B8A8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C377C7"/>
    <w:multiLevelType w:val="hybridMultilevel"/>
    <w:tmpl w:val="B9044EAC"/>
    <w:lvl w:ilvl="0" w:tplc="7D12A4A0">
      <w:start w:val="89"/>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DC3203"/>
    <w:multiLevelType w:val="hybridMultilevel"/>
    <w:tmpl w:val="9F285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EB75F1"/>
    <w:multiLevelType w:val="hybridMultilevel"/>
    <w:tmpl w:val="08667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304CBD"/>
    <w:multiLevelType w:val="hybridMultilevel"/>
    <w:tmpl w:val="7A5A4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1787166"/>
    <w:multiLevelType w:val="hybridMultilevel"/>
    <w:tmpl w:val="6E32FB6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4" w15:restartNumberingAfterBreak="0">
    <w:nsid w:val="65C75C27"/>
    <w:multiLevelType w:val="hybridMultilevel"/>
    <w:tmpl w:val="95323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D6B622F"/>
    <w:multiLevelType w:val="hybridMultilevel"/>
    <w:tmpl w:val="32FEA792"/>
    <w:lvl w:ilvl="0" w:tplc="0BDAE79E">
      <w:start w:val="89"/>
      <w:numFmt w:val="bullet"/>
      <w:lvlText w:val=""/>
      <w:lvlJc w:val="left"/>
      <w:pPr>
        <w:ind w:left="720" w:hanging="360"/>
      </w:pPr>
      <w:rPr>
        <w:rFonts w:ascii="Wingdings" w:eastAsia="Times New Roman" w:hAnsi="Wingdings" w:cs="Arial"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B619B8"/>
    <w:multiLevelType w:val="hybridMultilevel"/>
    <w:tmpl w:val="A3B4AE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AE3CD2"/>
    <w:multiLevelType w:val="hybridMultilevel"/>
    <w:tmpl w:val="B94871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39"/>
  </w:num>
  <w:num w:numId="3" w16cid:durableId="1729067566">
    <w:abstractNumId w:val="5"/>
  </w:num>
  <w:num w:numId="4" w16cid:durableId="320159068">
    <w:abstractNumId w:val="21"/>
  </w:num>
  <w:num w:numId="5" w16cid:durableId="1769498754">
    <w:abstractNumId w:val="3"/>
  </w:num>
  <w:num w:numId="6" w16cid:durableId="1094596320">
    <w:abstractNumId w:val="32"/>
  </w:num>
  <w:num w:numId="7" w16cid:durableId="2110008555">
    <w:abstractNumId w:val="2"/>
  </w:num>
  <w:num w:numId="8" w16cid:durableId="489712751">
    <w:abstractNumId w:val="17"/>
  </w:num>
  <w:num w:numId="9" w16cid:durableId="1085147965">
    <w:abstractNumId w:val="25"/>
  </w:num>
  <w:num w:numId="10" w16cid:durableId="917518096">
    <w:abstractNumId w:val="22"/>
  </w:num>
  <w:num w:numId="11" w16cid:durableId="1894998475">
    <w:abstractNumId w:val="1"/>
  </w:num>
  <w:num w:numId="12" w16cid:durableId="1418215296">
    <w:abstractNumId w:val="35"/>
  </w:num>
  <w:num w:numId="13" w16cid:durableId="604729665">
    <w:abstractNumId w:val="14"/>
  </w:num>
  <w:num w:numId="14" w16cid:durableId="1805081292">
    <w:abstractNumId w:val="27"/>
  </w:num>
  <w:num w:numId="15" w16cid:durableId="1137263937">
    <w:abstractNumId w:val="15"/>
  </w:num>
  <w:num w:numId="16" w16cid:durableId="266693354">
    <w:abstractNumId w:val="33"/>
  </w:num>
  <w:num w:numId="17" w16cid:durableId="1089740721">
    <w:abstractNumId w:val="7"/>
  </w:num>
  <w:num w:numId="18" w16cid:durableId="1667051044">
    <w:abstractNumId w:val="8"/>
  </w:num>
  <w:num w:numId="19" w16cid:durableId="1199247327">
    <w:abstractNumId w:val="18"/>
  </w:num>
  <w:num w:numId="20" w16cid:durableId="1113597783">
    <w:abstractNumId w:val="34"/>
  </w:num>
  <w:num w:numId="21" w16cid:durableId="1722367797">
    <w:abstractNumId w:val="20"/>
  </w:num>
  <w:num w:numId="22" w16cid:durableId="827983424">
    <w:abstractNumId w:val="4"/>
  </w:num>
  <w:num w:numId="23" w16cid:durableId="27026143">
    <w:abstractNumId w:val="26"/>
  </w:num>
  <w:num w:numId="24" w16cid:durableId="1226991813">
    <w:abstractNumId w:val="11"/>
  </w:num>
  <w:num w:numId="25" w16cid:durableId="1460225120">
    <w:abstractNumId w:val="29"/>
  </w:num>
  <w:num w:numId="26" w16cid:durableId="1742095537">
    <w:abstractNumId w:val="38"/>
  </w:num>
  <w:num w:numId="27" w16cid:durableId="1564945645">
    <w:abstractNumId w:val="23"/>
  </w:num>
  <w:num w:numId="28" w16cid:durableId="348221756">
    <w:abstractNumId w:val="31"/>
  </w:num>
  <w:num w:numId="29" w16cid:durableId="1235891533">
    <w:abstractNumId w:val="16"/>
  </w:num>
  <w:num w:numId="30" w16cid:durableId="1986157946">
    <w:abstractNumId w:val="9"/>
  </w:num>
  <w:num w:numId="31" w16cid:durableId="1233539356">
    <w:abstractNumId w:val="37"/>
  </w:num>
  <w:num w:numId="32" w16cid:durableId="1691443028">
    <w:abstractNumId w:val="10"/>
  </w:num>
  <w:num w:numId="33" w16cid:durableId="247349456">
    <w:abstractNumId w:val="24"/>
  </w:num>
  <w:num w:numId="34" w16cid:durableId="2073966391">
    <w:abstractNumId w:val="36"/>
  </w:num>
  <w:num w:numId="35" w16cid:durableId="1736539152">
    <w:abstractNumId w:val="13"/>
  </w:num>
  <w:num w:numId="36" w16cid:durableId="1700929626">
    <w:abstractNumId w:val="28"/>
  </w:num>
  <w:num w:numId="37" w16cid:durableId="830103627">
    <w:abstractNumId w:val="30"/>
  </w:num>
  <w:num w:numId="38" w16cid:durableId="748425657">
    <w:abstractNumId w:val="19"/>
  </w:num>
  <w:num w:numId="39" w16cid:durableId="644623669">
    <w:abstractNumId w:val="12"/>
  </w:num>
  <w:num w:numId="40" w16cid:durableId="1155606633">
    <w:abstractNumId w:val="6"/>
  </w:num>
  <w:num w:numId="41" w16cid:durableId="1417441775">
    <w:abstractNumId w:val="32"/>
  </w:num>
  <w:num w:numId="42" w16cid:durableId="18877200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190"/>
    <w:rsid w:val="00000C2D"/>
    <w:rsid w:val="0000457E"/>
    <w:rsid w:val="00006A61"/>
    <w:rsid w:val="000165F0"/>
    <w:rsid w:val="00022D8E"/>
    <w:rsid w:val="000276D9"/>
    <w:rsid w:val="00040AD3"/>
    <w:rsid w:val="00046458"/>
    <w:rsid w:val="00053807"/>
    <w:rsid w:val="000572E5"/>
    <w:rsid w:val="00061541"/>
    <w:rsid w:val="00064162"/>
    <w:rsid w:val="00065C22"/>
    <w:rsid w:val="0006694F"/>
    <w:rsid w:val="00074464"/>
    <w:rsid w:val="00076030"/>
    <w:rsid w:val="00076D4D"/>
    <w:rsid w:val="00082590"/>
    <w:rsid w:val="000913C3"/>
    <w:rsid w:val="000953B9"/>
    <w:rsid w:val="000A413B"/>
    <w:rsid w:val="000A6279"/>
    <w:rsid w:val="000B496B"/>
    <w:rsid w:val="000B4CB8"/>
    <w:rsid w:val="000C3940"/>
    <w:rsid w:val="000C5992"/>
    <w:rsid w:val="000E1479"/>
    <w:rsid w:val="000E231E"/>
    <w:rsid w:val="000E247D"/>
    <w:rsid w:val="000E6B14"/>
    <w:rsid w:val="000E70D8"/>
    <w:rsid w:val="000F2D61"/>
    <w:rsid w:val="001062F6"/>
    <w:rsid w:val="00112FC7"/>
    <w:rsid w:val="00125F5F"/>
    <w:rsid w:val="00126951"/>
    <w:rsid w:val="00126B60"/>
    <w:rsid w:val="00127EF6"/>
    <w:rsid w:val="001310AD"/>
    <w:rsid w:val="001314A5"/>
    <w:rsid w:val="00132C7F"/>
    <w:rsid w:val="001410D5"/>
    <w:rsid w:val="00144DBE"/>
    <w:rsid w:val="00152C8B"/>
    <w:rsid w:val="0015636A"/>
    <w:rsid w:val="00172053"/>
    <w:rsid w:val="00177A80"/>
    <w:rsid w:val="00181D45"/>
    <w:rsid w:val="001827C1"/>
    <w:rsid w:val="001931FE"/>
    <w:rsid w:val="001A306A"/>
    <w:rsid w:val="001A50CB"/>
    <w:rsid w:val="001A74B7"/>
    <w:rsid w:val="001B0535"/>
    <w:rsid w:val="001B2D47"/>
    <w:rsid w:val="001C0250"/>
    <w:rsid w:val="001C44DE"/>
    <w:rsid w:val="001C6DA4"/>
    <w:rsid w:val="001C73B1"/>
    <w:rsid w:val="001D1E7D"/>
    <w:rsid w:val="001D6567"/>
    <w:rsid w:val="001E2CCB"/>
    <w:rsid w:val="001E4CBA"/>
    <w:rsid w:val="001E523C"/>
    <w:rsid w:val="001E61DF"/>
    <w:rsid w:val="001F2B9F"/>
    <w:rsid w:val="001F4A46"/>
    <w:rsid w:val="001F5954"/>
    <w:rsid w:val="00202DD3"/>
    <w:rsid w:val="00206E7D"/>
    <w:rsid w:val="00217E14"/>
    <w:rsid w:val="00217EFD"/>
    <w:rsid w:val="00222134"/>
    <w:rsid w:val="0022233F"/>
    <w:rsid w:val="00226275"/>
    <w:rsid w:val="00232AFC"/>
    <w:rsid w:val="00246564"/>
    <w:rsid w:val="00246A3B"/>
    <w:rsid w:val="00252676"/>
    <w:rsid w:val="00255404"/>
    <w:rsid w:val="0025594F"/>
    <w:rsid w:val="00262B28"/>
    <w:rsid w:val="002664C3"/>
    <w:rsid w:val="00270C5E"/>
    <w:rsid w:val="00275C1D"/>
    <w:rsid w:val="00290A03"/>
    <w:rsid w:val="0029159A"/>
    <w:rsid w:val="00291600"/>
    <w:rsid w:val="002937E1"/>
    <w:rsid w:val="002A02F4"/>
    <w:rsid w:val="002A4971"/>
    <w:rsid w:val="002C241D"/>
    <w:rsid w:val="002C2C41"/>
    <w:rsid w:val="002C485C"/>
    <w:rsid w:val="002C62E7"/>
    <w:rsid w:val="002D5E19"/>
    <w:rsid w:val="002E05E2"/>
    <w:rsid w:val="002E2DD6"/>
    <w:rsid w:val="002E3F28"/>
    <w:rsid w:val="002F0E52"/>
    <w:rsid w:val="002F134A"/>
    <w:rsid w:val="002F2274"/>
    <w:rsid w:val="002F2405"/>
    <w:rsid w:val="002F2E75"/>
    <w:rsid w:val="002F690F"/>
    <w:rsid w:val="00300160"/>
    <w:rsid w:val="0030301F"/>
    <w:rsid w:val="00303B21"/>
    <w:rsid w:val="00313701"/>
    <w:rsid w:val="00314430"/>
    <w:rsid w:val="00316188"/>
    <w:rsid w:val="003171AF"/>
    <w:rsid w:val="00317469"/>
    <w:rsid w:val="0032215C"/>
    <w:rsid w:val="0032616B"/>
    <w:rsid w:val="00326687"/>
    <w:rsid w:val="003275F9"/>
    <w:rsid w:val="003316C5"/>
    <w:rsid w:val="003355AC"/>
    <w:rsid w:val="0034174A"/>
    <w:rsid w:val="003438F3"/>
    <w:rsid w:val="00343D6B"/>
    <w:rsid w:val="00347FB5"/>
    <w:rsid w:val="00355515"/>
    <w:rsid w:val="003608B5"/>
    <w:rsid w:val="003613AF"/>
    <w:rsid w:val="003668BC"/>
    <w:rsid w:val="0036691C"/>
    <w:rsid w:val="003878C1"/>
    <w:rsid w:val="00396C0B"/>
    <w:rsid w:val="003A37EE"/>
    <w:rsid w:val="003A43A6"/>
    <w:rsid w:val="003A630F"/>
    <w:rsid w:val="003B3958"/>
    <w:rsid w:val="003B3B67"/>
    <w:rsid w:val="003B4820"/>
    <w:rsid w:val="003B5F4B"/>
    <w:rsid w:val="003B682F"/>
    <w:rsid w:val="003C470D"/>
    <w:rsid w:val="003C53FC"/>
    <w:rsid w:val="003C7013"/>
    <w:rsid w:val="003D641B"/>
    <w:rsid w:val="003F227C"/>
    <w:rsid w:val="0040092F"/>
    <w:rsid w:val="004023CC"/>
    <w:rsid w:val="00407564"/>
    <w:rsid w:val="00411152"/>
    <w:rsid w:val="004156AA"/>
    <w:rsid w:val="004253A1"/>
    <w:rsid w:val="004313B6"/>
    <w:rsid w:val="00433339"/>
    <w:rsid w:val="00446700"/>
    <w:rsid w:val="00446BBC"/>
    <w:rsid w:val="004472C0"/>
    <w:rsid w:val="00450705"/>
    <w:rsid w:val="00451928"/>
    <w:rsid w:val="0046618B"/>
    <w:rsid w:val="00471394"/>
    <w:rsid w:val="004829D4"/>
    <w:rsid w:val="0048608C"/>
    <w:rsid w:val="00496E57"/>
    <w:rsid w:val="004A710B"/>
    <w:rsid w:val="004B3E10"/>
    <w:rsid w:val="004C0F5D"/>
    <w:rsid w:val="004C1747"/>
    <w:rsid w:val="004C2D7D"/>
    <w:rsid w:val="004C375A"/>
    <w:rsid w:val="004C4954"/>
    <w:rsid w:val="004C5767"/>
    <w:rsid w:val="004D5322"/>
    <w:rsid w:val="004D6098"/>
    <w:rsid w:val="004D78B0"/>
    <w:rsid w:val="004E611F"/>
    <w:rsid w:val="004F2A79"/>
    <w:rsid w:val="004F4D37"/>
    <w:rsid w:val="00501A14"/>
    <w:rsid w:val="00501DE3"/>
    <w:rsid w:val="005058CB"/>
    <w:rsid w:val="005065C5"/>
    <w:rsid w:val="00507DA1"/>
    <w:rsid w:val="0051044D"/>
    <w:rsid w:val="005139E4"/>
    <w:rsid w:val="00515075"/>
    <w:rsid w:val="00520FE9"/>
    <w:rsid w:val="005233E7"/>
    <w:rsid w:val="005328B2"/>
    <w:rsid w:val="00535BD5"/>
    <w:rsid w:val="00540977"/>
    <w:rsid w:val="00547107"/>
    <w:rsid w:val="00551668"/>
    <w:rsid w:val="00555732"/>
    <w:rsid w:val="005572D5"/>
    <w:rsid w:val="00565FF4"/>
    <w:rsid w:val="00566BE4"/>
    <w:rsid w:val="00566E67"/>
    <w:rsid w:val="00570D21"/>
    <w:rsid w:val="00576113"/>
    <w:rsid w:val="00590652"/>
    <w:rsid w:val="0059235F"/>
    <w:rsid w:val="00596936"/>
    <w:rsid w:val="005A2F1E"/>
    <w:rsid w:val="005A4232"/>
    <w:rsid w:val="005C3616"/>
    <w:rsid w:val="005D36B2"/>
    <w:rsid w:val="005D52E7"/>
    <w:rsid w:val="005D78B5"/>
    <w:rsid w:val="005E10EC"/>
    <w:rsid w:val="005E3572"/>
    <w:rsid w:val="005E45E4"/>
    <w:rsid w:val="005F0A81"/>
    <w:rsid w:val="005F0CB2"/>
    <w:rsid w:val="005F0FCF"/>
    <w:rsid w:val="005F3CDC"/>
    <w:rsid w:val="005F6C3A"/>
    <w:rsid w:val="0060042F"/>
    <w:rsid w:val="006008BC"/>
    <w:rsid w:val="00602CFD"/>
    <w:rsid w:val="00606B55"/>
    <w:rsid w:val="00612072"/>
    <w:rsid w:val="00612A7B"/>
    <w:rsid w:val="00616E5E"/>
    <w:rsid w:val="006173A4"/>
    <w:rsid w:val="006205AD"/>
    <w:rsid w:val="00623D7D"/>
    <w:rsid w:val="00625C3A"/>
    <w:rsid w:val="00633E02"/>
    <w:rsid w:val="00635DDB"/>
    <w:rsid w:val="006374D7"/>
    <w:rsid w:val="0064149A"/>
    <w:rsid w:val="00645339"/>
    <w:rsid w:val="00646DFE"/>
    <w:rsid w:val="00647DF4"/>
    <w:rsid w:val="00650530"/>
    <w:rsid w:val="00650C96"/>
    <w:rsid w:val="00653788"/>
    <w:rsid w:val="0065477F"/>
    <w:rsid w:val="00656896"/>
    <w:rsid w:val="00661656"/>
    <w:rsid w:val="0066226A"/>
    <w:rsid w:val="00674418"/>
    <w:rsid w:val="00677C65"/>
    <w:rsid w:val="006841BB"/>
    <w:rsid w:val="00693152"/>
    <w:rsid w:val="00694FAE"/>
    <w:rsid w:val="00696E3A"/>
    <w:rsid w:val="006A0834"/>
    <w:rsid w:val="006A4BBD"/>
    <w:rsid w:val="006A52F1"/>
    <w:rsid w:val="006B561D"/>
    <w:rsid w:val="006B6D5D"/>
    <w:rsid w:val="006C2AEC"/>
    <w:rsid w:val="006D2330"/>
    <w:rsid w:val="006E0F8B"/>
    <w:rsid w:val="006E12F7"/>
    <w:rsid w:val="006E5D43"/>
    <w:rsid w:val="006F0DED"/>
    <w:rsid w:val="006F11D9"/>
    <w:rsid w:val="007068A4"/>
    <w:rsid w:val="00706D67"/>
    <w:rsid w:val="00713052"/>
    <w:rsid w:val="00721367"/>
    <w:rsid w:val="007231FA"/>
    <w:rsid w:val="007246DB"/>
    <w:rsid w:val="00732C67"/>
    <w:rsid w:val="00734418"/>
    <w:rsid w:val="00747B93"/>
    <w:rsid w:val="00757826"/>
    <w:rsid w:val="00761022"/>
    <w:rsid w:val="007632B7"/>
    <w:rsid w:val="0076382F"/>
    <w:rsid w:val="00765768"/>
    <w:rsid w:val="00765D10"/>
    <w:rsid w:val="00766AC8"/>
    <w:rsid w:val="00767486"/>
    <w:rsid w:val="0077070E"/>
    <w:rsid w:val="0077296A"/>
    <w:rsid w:val="00777829"/>
    <w:rsid w:val="00777CA4"/>
    <w:rsid w:val="00792DF0"/>
    <w:rsid w:val="0079438F"/>
    <w:rsid w:val="007954F9"/>
    <w:rsid w:val="007A3034"/>
    <w:rsid w:val="007A527E"/>
    <w:rsid w:val="007A53E7"/>
    <w:rsid w:val="007A78F7"/>
    <w:rsid w:val="007B3333"/>
    <w:rsid w:val="007B379F"/>
    <w:rsid w:val="007B37D6"/>
    <w:rsid w:val="007B5D30"/>
    <w:rsid w:val="007C79EC"/>
    <w:rsid w:val="007D2920"/>
    <w:rsid w:val="007D42DD"/>
    <w:rsid w:val="007E6A37"/>
    <w:rsid w:val="007F1774"/>
    <w:rsid w:val="007F499A"/>
    <w:rsid w:val="00811295"/>
    <w:rsid w:val="00811A70"/>
    <w:rsid w:val="00812A68"/>
    <w:rsid w:val="0081406E"/>
    <w:rsid w:val="00832211"/>
    <w:rsid w:val="008325F4"/>
    <w:rsid w:val="00832AC8"/>
    <w:rsid w:val="00846FA4"/>
    <w:rsid w:val="008524BA"/>
    <w:rsid w:val="00852B74"/>
    <w:rsid w:val="00856928"/>
    <w:rsid w:val="00865538"/>
    <w:rsid w:val="00866603"/>
    <w:rsid w:val="00870875"/>
    <w:rsid w:val="0087318B"/>
    <w:rsid w:val="0088225C"/>
    <w:rsid w:val="00884026"/>
    <w:rsid w:val="00884B1E"/>
    <w:rsid w:val="00884C78"/>
    <w:rsid w:val="008859E1"/>
    <w:rsid w:val="00896264"/>
    <w:rsid w:val="008A07CA"/>
    <w:rsid w:val="008A5D88"/>
    <w:rsid w:val="008B2851"/>
    <w:rsid w:val="008B2E7E"/>
    <w:rsid w:val="008C000E"/>
    <w:rsid w:val="008D0F2F"/>
    <w:rsid w:val="008D237F"/>
    <w:rsid w:val="008D2CED"/>
    <w:rsid w:val="008D312B"/>
    <w:rsid w:val="008D6B05"/>
    <w:rsid w:val="008E6348"/>
    <w:rsid w:val="008E7D2D"/>
    <w:rsid w:val="008F4416"/>
    <w:rsid w:val="008F44C0"/>
    <w:rsid w:val="008F5999"/>
    <w:rsid w:val="00900D23"/>
    <w:rsid w:val="0090307D"/>
    <w:rsid w:val="00903AD6"/>
    <w:rsid w:val="00904D7A"/>
    <w:rsid w:val="009117BA"/>
    <w:rsid w:val="00915332"/>
    <w:rsid w:val="009204BB"/>
    <w:rsid w:val="009337E9"/>
    <w:rsid w:val="00935918"/>
    <w:rsid w:val="00935EC3"/>
    <w:rsid w:val="00951097"/>
    <w:rsid w:val="00953C1E"/>
    <w:rsid w:val="00954C94"/>
    <w:rsid w:val="00960D69"/>
    <w:rsid w:val="0096210F"/>
    <w:rsid w:val="00962633"/>
    <w:rsid w:val="00963187"/>
    <w:rsid w:val="00963ACF"/>
    <w:rsid w:val="00963D1C"/>
    <w:rsid w:val="00964284"/>
    <w:rsid w:val="0097028A"/>
    <w:rsid w:val="00970D10"/>
    <w:rsid w:val="00973BD6"/>
    <w:rsid w:val="00984549"/>
    <w:rsid w:val="00985D28"/>
    <w:rsid w:val="00990A3B"/>
    <w:rsid w:val="00991BF0"/>
    <w:rsid w:val="00993C01"/>
    <w:rsid w:val="00997487"/>
    <w:rsid w:val="009A0FB1"/>
    <w:rsid w:val="009A1FAC"/>
    <w:rsid w:val="009B001A"/>
    <w:rsid w:val="009B1A62"/>
    <w:rsid w:val="009C3CC7"/>
    <w:rsid w:val="009C5190"/>
    <w:rsid w:val="009D2057"/>
    <w:rsid w:val="009D2D11"/>
    <w:rsid w:val="009D3D6C"/>
    <w:rsid w:val="009D4004"/>
    <w:rsid w:val="009D5551"/>
    <w:rsid w:val="009D62DB"/>
    <w:rsid w:val="009E3B42"/>
    <w:rsid w:val="009E3EBA"/>
    <w:rsid w:val="009E73BD"/>
    <w:rsid w:val="009E7852"/>
    <w:rsid w:val="00A05B60"/>
    <w:rsid w:val="00A13266"/>
    <w:rsid w:val="00A14FA6"/>
    <w:rsid w:val="00A15D64"/>
    <w:rsid w:val="00A20575"/>
    <w:rsid w:val="00A32452"/>
    <w:rsid w:val="00A32BBF"/>
    <w:rsid w:val="00A37444"/>
    <w:rsid w:val="00A40277"/>
    <w:rsid w:val="00A4281A"/>
    <w:rsid w:val="00A444B4"/>
    <w:rsid w:val="00A452D8"/>
    <w:rsid w:val="00A459CF"/>
    <w:rsid w:val="00A5014D"/>
    <w:rsid w:val="00A5235F"/>
    <w:rsid w:val="00A53E96"/>
    <w:rsid w:val="00A56F18"/>
    <w:rsid w:val="00A628F8"/>
    <w:rsid w:val="00A62BAA"/>
    <w:rsid w:val="00A64F85"/>
    <w:rsid w:val="00A66172"/>
    <w:rsid w:val="00A72595"/>
    <w:rsid w:val="00A744C3"/>
    <w:rsid w:val="00A74539"/>
    <w:rsid w:val="00AA2A42"/>
    <w:rsid w:val="00AA42D7"/>
    <w:rsid w:val="00AA6B79"/>
    <w:rsid w:val="00AA70AB"/>
    <w:rsid w:val="00AA72E5"/>
    <w:rsid w:val="00AB0B9F"/>
    <w:rsid w:val="00AB12BC"/>
    <w:rsid w:val="00AB1713"/>
    <w:rsid w:val="00AB63BE"/>
    <w:rsid w:val="00AC1EBC"/>
    <w:rsid w:val="00AC2599"/>
    <w:rsid w:val="00AC2DE9"/>
    <w:rsid w:val="00AD2C5F"/>
    <w:rsid w:val="00AE1481"/>
    <w:rsid w:val="00AE1F1F"/>
    <w:rsid w:val="00AE27F9"/>
    <w:rsid w:val="00AE77DB"/>
    <w:rsid w:val="00AF7453"/>
    <w:rsid w:val="00B00FFF"/>
    <w:rsid w:val="00B029EA"/>
    <w:rsid w:val="00B06084"/>
    <w:rsid w:val="00B16735"/>
    <w:rsid w:val="00B17EDE"/>
    <w:rsid w:val="00B22585"/>
    <w:rsid w:val="00B25BF3"/>
    <w:rsid w:val="00B33693"/>
    <w:rsid w:val="00B34C53"/>
    <w:rsid w:val="00B43B5C"/>
    <w:rsid w:val="00B507A5"/>
    <w:rsid w:val="00B52475"/>
    <w:rsid w:val="00B535DA"/>
    <w:rsid w:val="00B56DCC"/>
    <w:rsid w:val="00B56F54"/>
    <w:rsid w:val="00B614AA"/>
    <w:rsid w:val="00B638C2"/>
    <w:rsid w:val="00B758AB"/>
    <w:rsid w:val="00B76277"/>
    <w:rsid w:val="00B772AB"/>
    <w:rsid w:val="00B80395"/>
    <w:rsid w:val="00B80B56"/>
    <w:rsid w:val="00B86372"/>
    <w:rsid w:val="00BA1C17"/>
    <w:rsid w:val="00BA1D65"/>
    <w:rsid w:val="00BB3B4D"/>
    <w:rsid w:val="00BC351E"/>
    <w:rsid w:val="00BC3F77"/>
    <w:rsid w:val="00BC5635"/>
    <w:rsid w:val="00BC5675"/>
    <w:rsid w:val="00BD081C"/>
    <w:rsid w:val="00BD277B"/>
    <w:rsid w:val="00BD47CA"/>
    <w:rsid w:val="00BD62C7"/>
    <w:rsid w:val="00BE020D"/>
    <w:rsid w:val="00BE1360"/>
    <w:rsid w:val="00BE354A"/>
    <w:rsid w:val="00BF5EEF"/>
    <w:rsid w:val="00BF63EE"/>
    <w:rsid w:val="00C02553"/>
    <w:rsid w:val="00C04EB6"/>
    <w:rsid w:val="00C056F9"/>
    <w:rsid w:val="00C1018C"/>
    <w:rsid w:val="00C1150E"/>
    <w:rsid w:val="00C14D52"/>
    <w:rsid w:val="00C2586C"/>
    <w:rsid w:val="00C26001"/>
    <w:rsid w:val="00C34E72"/>
    <w:rsid w:val="00C3677A"/>
    <w:rsid w:val="00C56B1F"/>
    <w:rsid w:val="00C61B52"/>
    <w:rsid w:val="00C62745"/>
    <w:rsid w:val="00C654CA"/>
    <w:rsid w:val="00C763BD"/>
    <w:rsid w:val="00C779A8"/>
    <w:rsid w:val="00C82E19"/>
    <w:rsid w:val="00C96873"/>
    <w:rsid w:val="00CA1735"/>
    <w:rsid w:val="00CA3C4B"/>
    <w:rsid w:val="00CA7252"/>
    <w:rsid w:val="00CB2C5A"/>
    <w:rsid w:val="00CD352C"/>
    <w:rsid w:val="00CD7203"/>
    <w:rsid w:val="00CE0C1C"/>
    <w:rsid w:val="00CE34AF"/>
    <w:rsid w:val="00CE4651"/>
    <w:rsid w:val="00CE4CF4"/>
    <w:rsid w:val="00CF00A4"/>
    <w:rsid w:val="00CF25FB"/>
    <w:rsid w:val="00CF614C"/>
    <w:rsid w:val="00D02F34"/>
    <w:rsid w:val="00D13D87"/>
    <w:rsid w:val="00D15246"/>
    <w:rsid w:val="00D16590"/>
    <w:rsid w:val="00D20720"/>
    <w:rsid w:val="00D250D9"/>
    <w:rsid w:val="00D269A2"/>
    <w:rsid w:val="00D27533"/>
    <w:rsid w:val="00D36F68"/>
    <w:rsid w:val="00D42DA3"/>
    <w:rsid w:val="00D4546D"/>
    <w:rsid w:val="00D47996"/>
    <w:rsid w:val="00D55A8B"/>
    <w:rsid w:val="00D61118"/>
    <w:rsid w:val="00D614F1"/>
    <w:rsid w:val="00D70D50"/>
    <w:rsid w:val="00D71917"/>
    <w:rsid w:val="00DA34A5"/>
    <w:rsid w:val="00DA3A0F"/>
    <w:rsid w:val="00DA4E62"/>
    <w:rsid w:val="00DA6990"/>
    <w:rsid w:val="00DB27BA"/>
    <w:rsid w:val="00DB337A"/>
    <w:rsid w:val="00DC51CB"/>
    <w:rsid w:val="00DD4819"/>
    <w:rsid w:val="00DD4B8A"/>
    <w:rsid w:val="00DD5403"/>
    <w:rsid w:val="00DE1388"/>
    <w:rsid w:val="00DE258E"/>
    <w:rsid w:val="00DE7501"/>
    <w:rsid w:val="00DF3146"/>
    <w:rsid w:val="00DF45BA"/>
    <w:rsid w:val="00DF57C3"/>
    <w:rsid w:val="00E008D9"/>
    <w:rsid w:val="00E01F01"/>
    <w:rsid w:val="00E02431"/>
    <w:rsid w:val="00E02FE0"/>
    <w:rsid w:val="00E06224"/>
    <w:rsid w:val="00E07ABE"/>
    <w:rsid w:val="00E11A3F"/>
    <w:rsid w:val="00E1386E"/>
    <w:rsid w:val="00E2369B"/>
    <w:rsid w:val="00E23EC0"/>
    <w:rsid w:val="00E25238"/>
    <w:rsid w:val="00E30138"/>
    <w:rsid w:val="00E31422"/>
    <w:rsid w:val="00E331B8"/>
    <w:rsid w:val="00E354AA"/>
    <w:rsid w:val="00E40FDA"/>
    <w:rsid w:val="00E43D54"/>
    <w:rsid w:val="00E43ED1"/>
    <w:rsid w:val="00E442FB"/>
    <w:rsid w:val="00E529DB"/>
    <w:rsid w:val="00E53A5E"/>
    <w:rsid w:val="00E6466A"/>
    <w:rsid w:val="00E72221"/>
    <w:rsid w:val="00E75044"/>
    <w:rsid w:val="00E83428"/>
    <w:rsid w:val="00E84C58"/>
    <w:rsid w:val="00E873A5"/>
    <w:rsid w:val="00E905D1"/>
    <w:rsid w:val="00E90D11"/>
    <w:rsid w:val="00E915E5"/>
    <w:rsid w:val="00EA4F82"/>
    <w:rsid w:val="00EB0367"/>
    <w:rsid w:val="00EB4FB9"/>
    <w:rsid w:val="00EB5BC8"/>
    <w:rsid w:val="00EC2738"/>
    <w:rsid w:val="00EC67BF"/>
    <w:rsid w:val="00ED19F1"/>
    <w:rsid w:val="00ED289C"/>
    <w:rsid w:val="00ED4F3C"/>
    <w:rsid w:val="00ED7B42"/>
    <w:rsid w:val="00EE13B2"/>
    <w:rsid w:val="00EE358E"/>
    <w:rsid w:val="00EE3EA5"/>
    <w:rsid w:val="00EE613F"/>
    <w:rsid w:val="00EE6BD1"/>
    <w:rsid w:val="00EF0262"/>
    <w:rsid w:val="00EF0828"/>
    <w:rsid w:val="00EF6F8B"/>
    <w:rsid w:val="00F03898"/>
    <w:rsid w:val="00F1527A"/>
    <w:rsid w:val="00F2696B"/>
    <w:rsid w:val="00F27821"/>
    <w:rsid w:val="00F4092A"/>
    <w:rsid w:val="00F41F69"/>
    <w:rsid w:val="00F43E41"/>
    <w:rsid w:val="00F4790C"/>
    <w:rsid w:val="00F50C4B"/>
    <w:rsid w:val="00F54C08"/>
    <w:rsid w:val="00F553A2"/>
    <w:rsid w:val="00F6068C"/>
    <w:rsid w:val="00F62F33"/>
    <w:rsid w:val="00F63A52"/>
    <w:rsid w:val="00F730BA"/>
    <w:rsid w:val="00F8018F"/>
    <w:rsid w:val="00F903BE"/>
    <w:rsid w:val="00F95D04"/>
    <w:rsid w:val="00FA16EC"/>
    <w:rsid w:val="00FA2482"/>
    <w:rsid w:val="00FA2811"/>
    <w:rsid w:val="00FA4837"/>
    <w:rsid w:val="00FB1D33"/>
    <w:rsid w:val="00FB5E96"/>
    <w:rsid w:val="00FC05A0"/>
    <w:rsid w:val="00FC1DA1"/>
    <w:rsid w:val="00FC6758"/>
    <w:rsid w:val="00FD34EA"/>
    <w:rsid w:val="00FE3F3E"/>
    <w:rsid w:val="00FE4D52"/>
    <w:rsid w:val="00FE5AEE"/>
    <w:rsid w:val="00FF106B"/>
    <w:rsid w:val="0454655C"/>
    <w:rsid w:val="0495FB6C"/>
    <w:rsid w:val="0F22D173"/>
    <w:rsid w:val="0F2EF9AC"/>
    <w:rsid w:val="1692D195"/>
    <w:rsid w:val="1BEBED72"/>
    <w:rsid w:val="1DC144F9"/>
    <w:rsid w:val="232EBCD9"/>
    <w:rsid w:val="243D1454"/>
    <w:rsid w:val="2DEB8A98"/>
    <w:rsid w:val="2E1A0BCA"/>
    <w:rsid w:val="39E6741C"/>
    <w:rsid w:val="4ACC88B7"/>
    <w:rsid w:val="4F108E6D"/>
    <w:rsid w:val="51526A95"/>
    <w:rsid w:val="5289F5CB"/>
    <w:rsid w:val="53A38307"/>
    <w:rsid w:val="5418DEA5"/>
    <w:rsid w:val="59C81E49"/>
    <w:rsid w:val="60BE7897"/>
    <w:rsid w:val="615DD34E"/>
    <w:rsid w:val="679A939E"/>
    <w:rsid w:val="6C8AA361"/>
    <w:rsid w:val="75414DA5"/>
    <w:rsid w:val="7560AAA8"/>
    <w:rsid w:val="778BF912"/>
    <w:rsid w:val="77EC644F"/>
    <w:rsid w:val="78827F83"/>
    <w:rsid w:val="78C3ED1E"/>
    <w:rsid w:val="79D7D0CB"/>
    <w:rsid w:val="7B515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7F4780"/>
  <w15:docId w15:val="{53319CE2-CEAA-4AD9-993F-7A76FA66A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3A6"/>
    <w:rPr>
      <w:rFonts w:ascii="Arial" w:hAnsi="Arial"/>
      <w:szCs w:val="24"/>
    </w:rPr>
  </w:style>
  <w:style w:type="paragraph" w:styleId="Heading1">
    <w:name w:val="heading 1"/>
    <w:basedOn w:val="Title2"/>
    <w:next w:val="Normal"/>
    <w:link w:val="Heading1Char"/>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customStyle="1" w:styleId="Heading1Char">
    <w:name w:val="Heading 1 Char"/>
    <w:basedOn w:val="DefaultParagraphFont"/>
    <w:link w:val="Heading1"/>
    <w:rsid w:val="003A43A6"/>
    <w:rPr>
      <w:rFonts w:ascii="Arial" w:hAnsi="Arial" w:cs="Arial"/>
      <w:b/>
      <w:color w:val="595959"/>
      <w:sz w:val="40"/>
      <w:szCs w:val="40"/>
      <w:lang w:val="it-IT"/>
    </w:rPr>
  </w:style>
  <w:style w:type="character" w:styleId="PlaceholderText">
    <w:name w:val="Placeholder Text"/>
    <w:basedOn w:val="DefaultParagraphFont"/>
    <w:uiPriority w:val="99"/>
    <w:semiHidden/>
    <w:rsid w:val="001410D5"/>
    <w:rPr>
      <w:color w:val="666666"/>
    </w:rPr>
  </w:style>
  <w:style w:type="paragraph" w:styleId="Revision">
    <w:name w:val="Revision"/>
    <w:hidden/>
    <w:uiPriority w:val="99"/>
    <w:semiHidden/>
    <w:rsid w:val="00960D69"/>
    <w:rPr>
      <w:rFonts w:ascii="Arial" w:hAnsi="Arial"/>
      <w:szCs w:val="24"/>
    </w:rPr>
  </w:style>
  <w:style w:type="paragraph" w:customStyle="1" w:styleId="Style2">
    <w:name w:val="Style2"/>
    <w:basedOn w:val="Heading1"/>
    <w:link w:val="Style2Char"/>
    <w:qFormat/>
    <w:rsid w:val="00674418"/>
    <w:pPr>
      <w:spacing w:before="120" w:after="120" w:line="240" w:lineRule="auto"/>
      <w:jc w:val="left"/>
    </w:pPr>
    <w:rPr>
      <w:color w:val="002060"/>
      <w:sz w:val="32"/>
      <w:szCs w:val="32"/>
    </w:rPr>
  </w:style>
  <w:style w:type="character" w:customStyle="1" w:styleId="Style2Char">
    <w:name w:val="Style2 Char"/>
    <w:basedOn w:val="Heading1Char"/>
    <w:link w:val="Style2"/>
    <w:rsid w:val="00674418"/>
    <w:rPr>
      <w:rFonts w:ascii="Arial" w:hAnsi="Arial" w:cs="Arial"/>
      <w:b/>
      <w:color w:val="002060"/>
      <w:sz w:val="32"/>
      <w:szCs w:val="32"/>
      <w:lang w:val="it-IT"/>
    </w:rPr>
  </w:style>
  <w:style w:type="character" w:styleId="CommentReference">
    <w:name w:val="annotation reference"/>
    <w:basedOn w:val="DefaultParagraphFont"/>
    <w:uiPriority w:val="99"/>
    <w:semiHidden/>
    <w:unhideWhenUsed/>
    <w:rsid w:val="001F4A46"/>
    <w:rPr>
      <w:sz w:val="16"/>
      <w:szCs w:val="16"/>
    </w:rPr>
  </w:style>
  <w:style w:type="paragraph" w:styleId="CommentSubject">
    <w:name w:val="annotation subject"/>
    <w:basedOn w:val="CommentText"/>
    <w:next w:val="CommentText"/>
    <w:link w:val="CommentSubjectChar"/>
    <w:uiPriority w:val="99"/>
    <w:semiHidden/>
    <w:unhideWhenUsed/>
    <w:rsid w:val="001F4A46"/>
    <w:rPr>
      <w:b/>
      <w:bCs/>
    </w:rPr>
  </w:style>
  <w:style w:type="character" w:customStyle="1" w:styleId="CommentTextChar">
    <w:name w:val="Comment Text Char"/>
    <w:basedOn w:val="DefaultParagraphFont"/>
    <w:link w:val="CommentText"/>
    <w:semiHidden/>
    <w:rsid w:val="001F4A46"/>
    <w:rPr>
      <w:rFonts w:ascii="Arial" w:hAnsi="Arial"/>
    </w:rPr>
  </w:style>
  <w:style w:type="character" w:customStyle="1" w:styleId="CommentSubjectChar">
    <w:name w:val="Comment Subject Char"/>
    <w:basedOn w:val="CommentTextChar"/>
    <w:link w:val="CommentSubject"/>
    <w:uiPriority w:val="99"/>
    <w:semiHidden/>
    <w:rsid w:val="001F4A4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2560752\AppData\Local\Microsoft\Olk\Attachments\ooa-60a7b143-439e-470f-9c41-d7b9e6a92f5b\ae82fcc9d5db1977495ee4286f1046ce82ebff04c5d31fd39ae8bd3056b3b05e\NDFB-%20Andemb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c626da6d0afa7058de7cd05ed520ec03">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81c9995cbbe671f8198193bc0cf7741c"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2.xml><?xml version="1.0" encoding="utf-8"?>
<ds:datastoreItem xmlns:ds="http://schemas.openxmlformats.org/officeDocument/2006/customXml" ds:itemID="{0F9992BC-7C11-4A83-A97F-D2E41AE80BFC}">
  <ds:schemaRefs>
    <ds:schemaRef ds:uri="http://schemas.microsoft.com/office/2006/metadata/properties"/>
    <ds:schemaRef ds:uri="http://schemas.microsoft.com/office/infopath/2007/PartnerControls"/>
    <ds:schemaRef ds:uri="1e4a61f8-8acd-406c-9ffc-156367cd3fec"/>
    <ds:schemaRef ds:uri="54a97082-99d0-4cd5-8c93-88769c19209d"/>
    <ds:schemaRef ds:uri="http://schemas.microsoft.com/sharepoint/v3"/>
  </ds:schemaRefs>
</ds:datastoreItem>
</file>

<file path=customXml/itemProps3.xml><?xml version="1.0" encoding="utf-8"?>
<ds:datastoreItem xmlns:ds="http://schemas.openxmlformats.org/officeDocument/2006/customXml" ds:itemID="{9E6771F2-916C-420C-A34B-F7A9CBF38D6C}"/>
</file>

<file path=customXml/itemProps4.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NDFB- Andembry</Template>
  <TotalTime>1</TotalTime>
  <Pages>5</Pages>
  <Words>1774</Words>
  <Characters>10523</Characters>
  <Application>Microsoft Office Word</Application>
  <DocSecurity>0</DocSecurity>
  <Lines>339</Lines>
  <Paragraphs>232</Paragraphs>
  <ScaleCrop>false</ScaleCrop>
  <HeadingPairs>
    <vt:vector size="2" baseType="variant">
      <vt:variant>
        <vt:lpstr>Title</vt:lpstr>
      </vt:variant>
      <vt:variant>
        <vt:i4>1</vt:i4>
      </vt:variant>
    </vt:vector>
  </HeadingPairs>
  <TitlesOfParts>
    <vt:vector size="1" baseType="lpstr">
      <vt:lpstr>PDL Edit Template</vt:lpstr>
    </vt:vector>
  </TitlesOfParts>
  <Company>DSS</Company>
  <LinksUpToDate>false</LinksUpToDate>
  <CharactersWithSpaces>12065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PDL Edit Template</dc:title>
  <dc:creator>Sayles Aissa C</dc:creator>
  <cp:lastModifiedBy>Sayles, Aissa</cp:lastModifiedBy>
  <cp:revision>2</cp:revision>
  <cp:lastPrinted>2018-10-31T20:17:00Z</cp:lastPrinted>
  <dcterms:created xsi:type="dcterms:W3CDTF">2025-12-18T17:29:00Z</dcterms:created>
  <dcterms:modified xsi:type="dcterms:W3CDTF">2025-12-18T17:29:00Z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